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Motion Graphics &amp; Animasi Teks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Membuat elemen visual bergerak dan Lower Third sederhana.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Nama yang muncul di berita TV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Keyframe &amp; Easing</w:t>
            </w:r>
          </w:p>
        </w:tc>
        <w:tc>
          <w:tcPr>
            <w:tcW w:w="3543" w:type="dxa"/>
            <w:gridSpan w:val="2"/>
          </w:tcPr>
          <w:p>
            <w:r>
              <w:t>Konsep animasi posisi, skala, dan opasitas serta gerakan alami (Ease).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Lower Third</w:t>
            </w:r>
          </w:p>
        </w:tc>
        <w:tc>
          <w:tcPr>
            <w:tcW w:w="3543" w:type="dxa"/>
            <w:gridSpan w:val="2"/>
          </w:tcPr>
          <w:p>
            <w:r>
              <w:t>Membuat banner nama bergerak muncul dari samping layar.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Animasi Nama</w:t>
            </w:r>
          </w:p>
        </w:tc>
        <w:tc>
          <w:tcPr>
            <w:tcW w:w="3543" w:type="dxa"/>
            <w:gridSpan w:val="2"/>
          </w:tcPr>
          <w:p>
            <w:r>
              <w:t>Peserta membuat animasi teks nama dan jabatan untuk video.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Gerakan halus tidak mengalihkan fokus.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fungsi keyframe.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17: Text Animation.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