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Pendukung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Penggunaan Tools Daring &amp; AI Assistant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Memanfaatkan AI secara etis untuk mempercepat workflow desain.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AI asisten, bukan pengganti ide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Prompting &amp; Etika AI</w:t>
            </w:r>
          </w:p>
        </w:tc>
        <w:tc>
          <w:tcPr>
            <w:tcW w:w="3543" w:type="dxa"/>
            <w:gridSpan w:val="2"/>
          </w:tcPr>
          <w:p>
            <w:r>
              <w:t>Cara menyusun prompt untuk brainstorming ide dan Generative Fill.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Image Expansion</w:t>
            </w:r>
          </w:p>
        </w:tc>
        <w:tc>
          <w:tcPr>
            <w:tcW w:w="3543" w:type="dxa"/>
            <w:gridSpan w:val="2"/>
          </w:tcPr>
          <w:p>
            <w:r>
              <w:t>Memperluas background foto menggunakan AI secara natural.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Aset AI</w:t>
            </w:r>
          </w:p>
        </w:tc>
        <w:tc>
          <w:tcPr>
            <w:tcW w:w="3543" w:type="dxa"/>
            <w:gridSpan w:val="2"/>
          </w:tcPr>
          <w:p>
            <w:r>
              <w:t>Generasi aset pendukung desain lalu diedit ulang (human touch).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AI mempercepat proses, manusia menjaga rasa.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etika AI.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18: AI Integrated Design.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