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21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Hak Cipta, Lisensi Aset, &amp; Etika Profesi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Memahami legalitas penggunaan aset (font/foto) dalam desain.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Bahaya denda font bajakan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Jenis Lisensi (CC, Commercial)</w:t>
            </w:r>
          </w:p>
        </w:tc>
        <w:tc>
          <w:tcPr>
            <w:tcW w:w="3543" w:type="dxa"/>
            <w:gridSpan w:val="2"/>
          </w:tcPr>
          <w:p>
            <w:r>
              <w:t>Mengenal Creative Commons, Desktop License, dan Editorial Use.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Cek Lisensi</w:t>
            </w:r>
          </w:p>
        </w:tc>
        <w:tc>
          <w:tcPr>
            <w:tcW w:w="3543" w:type="dxa"/>
            <w:gridSpan w:val="2"/>
          </w:tcPr>
          <w:p>
            <w:r>
              <w:t>Cara membaca EULA font dan syarat pakai stock photo gratis.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Audit Lisensi</w:t>
            </w:r>
          </w:p>
        </w:tc>
        <w:tc>
          <w:tcPr>
            <w:tcW w:w="3543" w:type="dxa"/>
            <w:gridSpan w:val="2"/>
          </w:tcPr>
          <w:p>
            <w:r>
              <w:t>Memeriksa aset di portofolio masing-masing apakah sudah legal.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Gunakan aset legal untuk ketenangan bisnis.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studi kasus HKI.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21: Audit Lisensi.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