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7E7C" w14:textId="77777777" w:rsidR="00EE6AB3" w:rsidRPr="00761C61" w:rsidRDefault="00000000">
      <w:pPr>
        <w:spacing w:after="60"/>
        <w:jc w:val="center"/>
        <w:rPr>
          <w:sz w:val="22"/>
          <w:szCs w:val="22"/>
        </w:rPr>
      </w:pPr>
      <w:r w:rsidRPr="00761C61">
        <w:rPr>
          <w:b/>
          <w:bCs/>
          <w:sz w:val="22"/>
          <w:szCs w:val="22"/>
        </w:rPr>
        <w:t>Agentic AI for Healthcare Payment Integrity:</w:t>
      </w:r>
    </w:p>
    <w:p w14:paraId="4B8E19E9" w14:textId="77777777" w:rsidR="00EE6AB3" w:rsidRPr="00761C61" w:rsidRDefault="00000000">
      <w:pPr>
        <w:spacing w:after="60"/>
        <w:jc w:val="center"/>
        <w:rPr>
          <w:sz w:val="22"/>
          <w:szCs w:val="22"/>
        </w:rPr>
      </w:pPr>
      <w:r w:rsidRPr="00761C61">
        <w:rPr>
          <w:b/>
          <w:bCs/>
          <w:sz w:val="22"/>
          <w:szCs w:val="22"/>
        </w:rPr>
        <w:t>Bridging the Gap Between FWA Detection and SIU Investigation</w:t>
      </w:r>
    </w:p>
    <w:p w14:paraId="2584E8B2" w14:textId="1F18A5F0" w:rsidR="00EE6AB3" w:rsidRPr="00761C61" w:rsidRDefault="00000000">
      <w:pPr>
        <w:spacing w:after="40"/>
        <w:jc w:val="center"/>
        <w:rPr>
          <w:sz w:val="22"/>
          <w:szCs w:val="22"/>
        </w:rPr>
      </w:pPr>
      <w:r w:rsidRPr="00761C61">
        <w:rPr>
          <w:i/>
          <w:iCs/>
          <w:sz w:val="22"/>
          <w:szCs w:val="22"/>
        </w:rPr>
        <w:t xml:space="preserve">Topic 2: Clinical Decision Making and Pattern Recognition in Healthcare </w:t>
      </w:r>
    </w:p>
    <w:p w14:paraId="76DFCCED" w14:textId="5E708E86" w:rsidR="00EE6AB3" w:rsidRPr="00761C61" w:rsidRDefault="00000000">
      <w:pPr>
        <w:spacing w:after="40"/>
        <w:jc w:val="center"/>
        <w:rPr>
          <w:sz w:val="22"/>
          <w:szCs w:val="22"/>
        </w:rPr>
      </w:pPr>
      <w:r w:rsidRPr="00761C61">
        <w:rPr>
          <w:sz w:val="22"/>
          <w:szCs w:val="22"/>
        </w:rPr>
        <w:t>Aryamani Boruah | | June 2026</w:t>
      </w:r>
    </w:p>
    <w:p w14:paraId="727B3D87" w14:textId="77777777" w:rsidR="00EE6AB3" w:rsidRPr="00761C61" w:rsidRDefault="00000000">
      <w:pPr>
        <w:pStyle w:val="Heading1"/>
        <w:rPr>
          <w:sz w:val="22"/>
          <w:szCs w:val="22"/>
        </w:rPr>
      </w:pPr>
      <w:r w:rsidRPr="00761C61">
        <w:rPr>
          <w:sz w:val="22"/>
          <w:szCs w:val="22"/>
        </w:rPr>
        <w:t>Defining the Concept</w:t>
      </w:r>
    </w:p>
    <w:p w14:paraId="7CF457BB" w14:textId="77777777" w:rsidR="00EE6AB3" w:rsidRPr="00761C61" w:rsidRDefault="00000000">
      <w:pPr>
        <w:spacing w:after="100" w:line="230" w:lineRule="auto"/>
        <w:rPr>
          <w:sz w:val="22"/>
          <w:szCs w:val="22"/>
        </w:rPr>
      </w:pPr>
      <w:r w:rsidRPr="00761C61">
        <w:rPr>
          <w:sz w:val="22"/>
          <w:szCs w:val="22"/>
        </w:rPr>
        <w:t>This report addresses AI-driven Fraud, Waste, and Abuse (FWA) detection and investigation in healthcare payment integrity, a domain at the intersection of clinical decision making, pattern recognition, agentic generative AI, and chain reasoning as defined in Track 2. Agentic generative AI refers to systems that reason through multi-step tasks autonomously toward a defined goal; chain reasoning refers to documented step-by-step inference that produces an auditable decision trail. FWA costs the United States healthcare system $308.6 billion annually, with healthcare fraud accounting for $105 billion of those losses (Coalition Against Insurance Fraud, 2022; Pang &amp; Li, 2025).</w:t>
      </w:r>
    </w:p>
    <w:p w14:paraId="44D6A316" w14:textId="77777777" w:rsidR="00EE6AB3" w:rsidRPr="00761C61" w:rsidRDefault="00000000">
      <w:pPr>
        <w:spacing w:after="100" w:line="230" w:lineRule="auto"/>
        <w:rPr>
          <w:sz w:val="22"/>
          <w:szCs w:val="22"/>
        </w:rPr>
      </w:pPr>
      <w:r w:rsidRPr="00761C61">
        <w:rPr>
          <w:sz w:val="22"/>
          <w:szCs w:val="22"/>
        </w:rPr>
        <w:t>The current standard combines rule-based systems and machine learning models that flag providers whose billing patterns deviate from peer benchmarks, reducing false-positive rates from 30 to 50 percent to under 10 percent (Mobisoft Infotech, 2026). Flagged claims route to the Special Investigations Unit (SIU), where investigators manually determine whether anomalies constitute genuine fraud. Under AMA policy and NAIC model regulations, AI may flag and approve but cannot deny; all denial determinations require human review (American Medical Association, 2026).</w:t>
      </w:r>
    </w:p>
    <w:p w14:paraId="1DB833DD" w14:textId="77777777" w:rsidR="00761C61" w:rsidRPr="00761C61" w:rsidRDefault="00761C61">
      <w:pPr>
        <w:pStyle w:val="Heading1"/>
        <w:rPr>
          <w:sz w:val="22"/>
          <w:szCs w:val="22"/>
        </w:rPr>
      </w:pPr>
      <w:r w:rsidRPr="00761C61">
        <w:rPr>
          <w:b w:val="0"/>
          <w:bCs w:val="0"/>
          <w:sz w:val="22"/>
          <w:szCs w:val="22"/>
        </w:rPr>
        <w:t>The problem is what happens between the flag and the human decision. SIU teams spend 20 to 30 percent of their time on administrative data gathering rather than investigation, case turnaround averages 270 days in the private sector, and up to 80 percent of flagged leads do not warrant full investigation (Integr8 AI, 2025). SIU headcount growth consistently lags caseload growth across the industry, and the federal government recovers only a fraction of total fraud losses annually, confirming the investigation gap is systemic rather than incidental (Coalition Against Insurance Fraud, 2024; Leder-Luis &amp; Malani, 2025). As FraudOps (2026b) states directly, detection AI and investigation AI are not the same thing</w:t>
      </w:r>
      <w:r w:rsidRPr="00761C61">
        <w:rPr>
          <w:sz w:val="22"/>
          <w:szCs w:val="22"/>
        </w:rPr>
        <w:t>.</w:t>
      </w:r>
    </w:p>
    <w:p w14:paraId="72968961" w14:textId="41ACD019" w:rsidR="00EE6AB3" w:rsidRPr="00761C61" w:rsidRDefault="00000000">
      <w:pPr>
        <w:pStyle w:val="Heading1"/>
        <w:rPr>
          <w:sz w:val="22"/>
          <w:szCs w:val="22"/>
        </w:rPr>
      </w:pPr>
      <w:r w:rsidRPr="00761C61">
        <w:rPr>
          <w:sz w:val="22"/>
          <w:szCs w:val="22"/>
        </w:rPr>
        <w:t>Relevant Trends</w:t>
      </w:r>
    </w:p>
    <w:p w14:paraId="14214873" w14:textId="77777777" w:rsidR="00EE6AB3" w:rsidRPr="00761C61" w:rsidRDefault="00000000">
      <w:pPr>
        <w:spacing w:after="100" w:line="230" w:lineRule="auto"/>
        <w:rPr>
          <w:sz w:val="22"/>
          <w:szCs w:val="22"/>
        </w:rPr>
      </w:pPr>
      <w:r w:rsidRPr="00761C61">
        <w:rPr>
          <w:sz w:val="22"/>
          <w:szCs w:val="22"/>
        </w:rPr>
        <w:t>Three converging trends reshape the market. First, the industry has recognized that detection and investigation are two separate problems. Payer organizations reported a 32 percent year-over-year increase in suspected overpayment cases against stable SIU headcount, and industry practitioners formally named autonomous investigation triage as the highest-priority unmet need across the industry (Black Book Research, 2025; Integr8 AI, 2025). Second, agentic AI has matured enough to execute complex multi-step reasoning in production healthcare environments. Health plan investment jumped from 15 percent in 2024 to 52 percent in 2025, and a multi-agent framework evaluated on 42.8 million real Medicare claims achieved 0.98 precision projecting $1.07 to $1.75 billion in Year 1 recoveries (Cohere Health, 2026; Anonymous, 2025). Third, AI systems that cannot explain their decisions are becoming legally indefensible. The AMA June 2026 policy requires disclosure of clinical logic underlying AI-assisted coverage determinations, and current post-hoc methods including SHAP and LIME carry systemic limitations that undermine their validity when challenged (Razzaq &amp; Shah, 2025).</w:t>
      </w:r>
    </w:p>
    <w:p w14:paraId="00355938" w14:textId="77777777" w:rsidR="00EE6AB3" w:rsidRPr="00761C61" w:rsidRDefault="00000000">
      <w:pPr>
        <w:pStyle w:val="Heading2"/>
        <w:rPr>
          <w:sz w:val="22"/>
          <w:szCs w:val="22"/>
        </w:rPr>
      </w:pPr>
      <w:r w:rsidRPr="00761C61">
        <w:rPr>
          <w:sz w:val="22"/>
          <w:szCs w:val="22"/>
        </w:rPr>
        <w:t>Opportunities</w:t>
      </w:r>
    </w:p>
    <w:p w14:paraId="19AC657B" w14:textId="1606A63B" w:rsidR="00EE6AB3" w:rsidRPr="00761C61" w:rsidRDefault="00E85E1A">
      <w:pPr>
        <w:spacing w:after="100" w:line="230" w:lineRule="auto"/>
        <w:rPr>
          <w:sz w:val="22"/>
          <w:szCs w:val="22"/>
        </w:rPr>
      </w:pPr>
      <w:r w:rsidRPr="00761C61">
        <w:rPr>
          <w:sz w:val="22"/>
          <w:szCs w:val="22"/>
        </w:rPr>
        <w:t>Closing the investigation gap creates cascading benefits across the payment integrity ecosystem. Health plans recover more overpayments from a growing caseload without proportional headcount growth — the 32 percent year-over-year increase in suspected overpayment cases represents recovery potential that current investigative capacity cannot pursue (Black Book Research, 2025). SIU investigators shift from administrative data gathering to genuine investigative judgment, applying their clinical and compliance expertise where it matters. Deloitte projects AI-driven technologies across the claims lifecycle could save insurers between $80 billion and $160 billion by 2032 (Ethos Risk, 2026). And at the market level, investigation AI establishes itself as a distinct and necessary capability alongside detection — creating a new category of payment integrity investment that does not yet have a production leader.</w:t>
      </w:r>
    </w:p>
    <w:p w14:paraId="05BDD2A4" w14:textId="77777777" w:rsidR="00EE6AB3" w:rsidRPr="00761C61" w:rsidRDefault="00000000">
      <w:pPr>
        <w:pStyle w:val="Heading2"/>
        <w:rPr>
          <w:sz w:val="22"/>
          <w:szCs w:val="22"/>
        </w:rPr>
      </w:pPr>
      <w:r w:rsidRPr="00761C61">
        <w:rPr>
          <w:sz w:val="22"/>
          <w:szCs w:val="22"/>
        </w:rPr>
        <w:lastRenderedPageBreak/>
        <w:t>Threats</w:t>
      </w:r>
    </w:p>
    <w:p w14:paraId="5E468CD6" w14:textId="77777777" w:rsidR="00EE6AB3" w:rsidRPr="00761C61" w:rsidRDefault="00000000">
      <w:pPr>
        <w:spacing w:after="60" w:line="230" w:lineRule="auto"/>
        <w:rPr>
          <w:sz w:val="22"/>
          <w:szCs w:val="22"/>
        </w:rPr>
      </w:pPr>
      <w:r w:rsidRPr="00761C61">
        <w:rPr>
          <w:sz w:val="22"/>
          <w:szCs w:val="22"/>
        </w:rPr>
        <w:t>Generative AI enables fraud that outpaces static detection: GAN-based adversarial attacks achieve a 99 percent success rate against production insurance fraud models without accessing model architecture, and generative AI projects to quadruple fraud losses by 2027 with annual growth exceeding 30 percent (Pang &amp; Li, 2025; Kurshan et al., 2024; Wang et al., 2025). This does not argue against the investment direction; it argues for urgency.</w:t>
      </w:r>
    </w:p>
    <w:p w14:paraId="5395E708" w14:textId="77777777" w:rsidR="00EE6AB3" w:rsidRPr="00761C61" w:rsidRDefault="00000000">
      <w:pPr>
        <w:spacing w:after="60" w:line="230" w:lineRule="auto"/>
        <w:rPr>
          <w:sz w:val="22"/>
          <w:szCs w:val="22"/>
        </w:rPr>
      </w:pPr>
      <w:r w:rsidRPr="00761C61">
        <w:rPr>
          <w:sz w:val="22"/>
          <w:szCs w:val="22"/>
        </w:rPr>
        <w:t>The regulatory boundary around autonomous AI decision making is firm: the AMA June 2026 policy explicitly opposes autonomous AI substituting physician-level review in coverage determinations, and any system crossing this boundary faces material compliance exposure (American Medical Association, 2026). This defines the design constraint, not a reason to retreat.</w:t>
      </w:r>
    </w:p>
    <w:p w14:paraId="38CD0289" w14:textId="380138DA" w:rsidR="00EE6AB3" w:rsidRPr="00761C61" w:rsidRDefault="00000000">
      <w:pPr>
        <w:spacing w:after="100" w:line="230" w:lineRule="auto"/>
        <w:rPr>
          <w:sz w:val="22"/>
          <w:szCs w:val="22"/>
        </w:rPr>
      </w:pPr>
      <w:r w:rsidRPr="00761C61">
        <w:rPr>
          <w:sz w:val="22"/>
          <w:szCs w:val="22"/>
        </w:rPr>
        <w:t xml:space="preserve">Agentic systems in production frequently fail in ways conventional metrics cannot </w:t>
      </w:r>
      <w:r w:rsidR="00E85E1A" w:rsidRPr="00761C61">
        <w:rPr>
          <w:sz w:val="22"/>
          <w:szCs w:val="22"/>
        </w:rPr>
        <w:t>detect</w:t>
      </w:r>
      <w:r w:rsidRPr="00761C61">
        <w:rPr>
          <w:sz w:val="22"/>
          <w:szCs w:val="22"/>
        </w:rPr>
        <w:t xml:space="preserve"> agents violate operational policies and skip verification steps invisibly (Akshathala et al., 2026). This is the most consequential threat; it makes embedded behavioral evaluation not an optional feature but a prerequisite for responsible deployment in a compliance-sensitive environment.</w:t>
      </w:r>
    </w:p>
    <w:p w14:paraId="2BE71970" w14:textId="77777777" w:rsidR="00EE6AB3" w:rsidRPr="00761C61" w:rsidRDefault="00000000">
      <w:pPr>
        <w:pStyle w:val="Heading1"/>
        <w:rPr>
          <w:sz w:val="22"/>
          <w:szCs w:val="22"/>
        </w:rPr>
      </w:pPr>
      <w:r w:rsidRPr="00761C61">
        <w:rPr>
          <w:sz w:val="22"/>
          <w:szCs w:val="22"/>
        </w:rPr>
        <w:t>Strategic Recommendation</w:t>
      </w:r>
    </w:p>
    <w:p w14:paraId="2903C7FC" w14:textId="77777777" w:rsidR="00761C61" w:rsidRPr="00761C61" w:rsidRDefault="00761C61" w:rsidP="00761C61">
      <w:pPr>
        <w:pStyle w:val="font-claude-response-body"/>
        <w:rPr>
          <w:sz w:val="22"/>
          <w:szCs w:val="22"/>
        </w:rPr>
      </w:pPr>
      <w:r w:rsidRPr="00761C61">
        <w:rPr>
          <w:sz w:val="22"/>
          <w:szCs w:val="22"/>
        </w:rPr>
        <w:t>Cotiviti should invest in an agentic AI investigation layer positioned between its existing machine learning detection output and the SIU analyst. Cotiviti is recognized as a leading platform for real-time provider billing anomaly detection (Mobisoft Infotech, 2026), yet acknowledges that SIUs are often understaffed, lack necessary tools, and that trained analysts currently vet each flagged lead manually (Cotiviti, 2024). No production competitor delivers autonomous pre-investigation reasoning before the analyst receives a case, and the closest research-stage framework has not yet reached production SIU deployment (Anonymous, 2025). Alternatively, Cotiviti could pursue this through a strategic partnership with an emerging investigation AI platform.</w:t>
      </w:r>
    </w:p>
    <w:p w14:paraId="111BD523" w14:textId="219F86C3" w:rsidR="00761C61" w:rsidRPr="00761C61" w:rsidRDefault="00761C61" w:rsidP="00761C61">
      <w:pPr>
        <w:pStyle w:val="font-claude-response-body"/>
        <w:rPr>
          <w:sz w:val="22"/>
          <w:szCs w:val="22"/>
        </w:rPr>
      </w:pPr>
      <w:r w:rsidRPr="00761C61">
        <w:rPr>
          <w:sz w:val="22"/>
          <w:szCs w:val="22"/>
        </w:rPr>
        <w:t xml:space="preserve">The proposed layer intercepts each flagged claim before human review, reasons through the billing evidence, evaluates provider patterns against peer benchmarks, assesses coding consistency, verifies prior authorization compliance, and considers alternative explanations before reaching a finding. The agent delivers a structured case package specifying findings, confidence level, alternatives </w:t>
      </w:r>
      <w:r w:rsidRPr="00761C61">
        <w:rPr>
          <w:sz w:val="22"/>
          <w:szCs w:val="22"/>
        </w:rPr>
        <w:t>considered and</w:t>
      </w:r>
      <w:r w:rsidRPr="00761C61">
        <w:rPr>
          <w:sz w:val="22"/>
          <w:szCs w:val="22"/>
        </w:rPr>
        <w:t xml:space="preserve"> recommended next step. The agent produces investigative arguments, not decisions. All denial determinations remain with the SIU analyst, preserving AMA June 2026 compliance.</w:t>
      </w:r>
    </w:p>
    <w:p w14:paraId="73CC47E0" w14:textId="77777777" w:rsidR="00761C61" w:rsidRPr="00761C61" w:rsidRDefault="00761C61" w:rsidP="00761C61">
      <w:pPr>
        <w:pStyle w:val="font-claude-response-body"/>
        <w:rPr>
          <w:sz w:val="22"/>
          <w:szCs w:val="22"/>
        </w:rPr>
      </w:pPr>
      <w:r w:rsidRPr="00761C61">
        <w:rPr>
          <w:sz w:val="22"/>
          <w:szCs w:val="22"/>
        </w:rPr>
        <w:t>The benefit is quantifiable: eliminating administrative data gathering addresses the 20 to 30 percent time burden and 270-day average case turnaround (Integr8 AI, 2025), and AI-assisted investigation can double case volume without proportional headcount growth (Shift Technology, 2023). An embedded evaluation layer quality-checks each case package across reasoning completeness, evidence accuracy, step sequencing, and compliance adherence before delivery, producing the native audit trail AMA June 2026 demands (Akshathala et al., 2026). The core architectural principle governs this investment: human judgment fails when positioned as final validation on raw flags rather than as deliberate judgment on documented cases (Anonymous, 2025)</w:t>
      </w:r>
    </w:p>
    <w:p w14:paraId="1565375C" w14:textId="77777777" w:rsidR="00EE6AB3" w:rsidRPr="00761C61" w:rsidRDefault="00000000">
      <w:pPr>
        <w:rPr>
          <w:sz w:val="22"/>
          <w:szCs w:val="22"/>
        </w:rPr>
      </w:pPr>
      <w:r w:rsidRPr="00761C61">
        <w:rPr>
          <w:sz w:val="22"/>
          <w:szCs w:val="22"/>
        </w:rPr>
        <w:br w:type="page"/>
      </w:r>
    </w:p>
    <w:p w14:paraId="67098023" w14:textId="77777777" w:rsidR="00EE6AB3" w:rsidRPr="00761C61" w:rsidRDefault="00000000">
      <w:pPr>
        <w:spacing w:after="160"/>
        <w:jc w:val="center"/>
        <w:rPr>
          <w:sz w:val="22"/>
          <w:szCs w:val="22"/>
        </w:rPr>
      </w:pPr>
      <w:r w:rsidRPr="00761C61">
        <w:rPr>
          <w:b/>
          <w:bCs/>
          <w:sz w:val="22"/>
          <w:szCs w:val="22"/>
        </w:rPr>
        <w:lastRenderedPageBreak/>
        <w:t>References</w:t>
      </w:r>
    </w:p>
    <w:p w14:paraId="7285B5FF" w14:textId="77777777" w:rsidR="00EE6AB3" w:rsidRPr="00761C61" w:rsidRDefault="00000000">
      <w:pPr>
        <w:spacing w:after="100" w:line="230" w:lineRule="auto"/>
        <w:ind w:left="720" w:hanging="720"/>
        <w:rPr>
          <w:sz w:val="22"/>
          <w:szCs w:val="22"/>
        </w:rPr>
      </w:pPr>
      <w:r w:rsidRPr="00761C61">
        <w:rPr>
          <w:sz w:val="22"/>
          <w:szCs w:val="22"/>
        </w:rPr>
        <w:t>Akshathala, S., Adnan, B., Ramesh, M., Vaidhyanathan, K., Muhammed, B., &amp; Parthasarathy, K. (2026). Beyond task completion: An assessment framework for evaluating agentic AI systems. AGENT '26: Proceedings of the 2026 International Workshop on Agentic Engineering, 9-17. https://doi.org/10.1145/3786167.3788414</w:t>
      </w:r>
    </w:p>
    <w:p w14:paraId="0EA3FE70" w14:textId="77777777" w:rsidR="00EE6AB3" w:rsidRPr="00761C61" w:rsidRDefault="00000000">
      <w:pPr>
        <w:spacing w:after="100" w:line="230" w:lineRule="auto"/>
        <w:ind w:left="720" w:hanging="720"/>
        <w:rPr>
          <w:sz w:val="22"/>
          <w:szCs w:val="22"/>
        </w:rPr>
      </w:pPr>
      <w:r w:rsidRPr="00761C61">
        <w:rPr>
          <w:sz w:val="22"/>
          <w:szCs w:val="22"/>
        </w:rPr>
        <w:t>American Medical Association. (2026, June 10). AMA policy on artificial intelligence in coverage determinations. American Medical Association. https://www.ama-assn.org</w:t>
      </w:r>
    </w:p>
    <w:p w14:paraId="4464B979" w14:textId="77777777" w:rsidR="00EE6AB3" w:rsidRPr="00761C61" w:rsidRDefault="00000000">
      <w:pPr>
        <w:spacing w:after="100" w:line="230" w:lineRule="auto"/>
        <w:ind w:left="720" w:hanging="720"/>
        <w:rPr>
          <w:sz w:val="22"/>
          <w:szCs w:val="22"/>
        </w:rPr>
      </w:pPr>
      <w:r w:rsidRPr="00761C61">
        <w:rPr>
          <w:sz w:val="22"/>
          <w:szCs w:val="22"/>
        </w:rPr>
        <w:t>Anonymous. (2025). INFER: A multi-agent framework for detecting fraud, waste, and abuse in Medicare claims [Manuscript submitted for publication]. International Conference on Machine Learning.</w:t>
      </w:r>
    </w:p>
    <w:p w14:paraId="672C25EE" w14:textId="77777777" w:rsidR="00EE6AB3" w:rsidRPr="00761C61" w:rsidRDefault="00000000">
      <w:pPr>
        <w:spacing w:after="100" w:line="230" w:lineRule="auto"/>
        <w:ind w:left="720" w:hanging="720"/>
        <w:rPr>
          <w:sz w:val="22"/>
          <w:szCs w:val="22"/>
        </w:rPr>
      </w:pPr>
      <w:r w:rsidRPr="00761C61">
        <w:rPr>
          <w:sz w:val="22"/>
          <w:szCs w:val="22"/>
        </w:rPr>
        <w:t>Black Book Research. (2025, June). Health plans double down on AI-powered fraud and claims integrity solutions. Black Book Research.</w:t>
      </w:r>
    </w:p>
    <w:p w14:paraId="23B80689" w14:textId="77777777" w:rsidR="00EE6AB3" w:rsidRPr="00761C61" w:rsidRDefault="00000000">
      <w:pPr>
        <w:spacing w:after="100" w:line="230" w:lineRule="auto"/>
        <w:ind w:left="720" w:hanging="720"/>
        <w:rPr>
          <w:sz w:val="22"/>
          <w:szCs w:val="22"/>
        </w:rPr>
      </w:pPr>
      <w:r w:rsidRPr="00761C61">
        <w:rPr>
          <w:sz w:val="22"/>
          <w:szCs w:val="22"/>
        </w:rPr>
        <w:t>Coalition Against Insurance Fraud. (2022). The impact of insurance fraud on the U.S. economy. Coalition Against Insurance Fraud / Colorado State University Global White Collar Crime Task Force. https://insurancefraud.org</w:t>
      </w:r>
    </w:p>
    <w:p w14:paraId="65DF7EE6" w14:textId="77777777" w:rsidR="00EE6AB3" w:rsidRPr="00761C61" w:rsidRDefault="00000000">
      <w:pPr>
        <w:spacing w:after="100" w:line="230" w:lineRule="auto"/>
        <w:ind w:left="720" w:hanging="720"/>
        <w:rPr>
          <w:sz w:val="22"/>
          <w:szCs w:val="22"/>
        </w:rPr>
      </w:pPr>
      <w:r w:rsidRPr="00761C61">
        <w:rPr>
          <w:sz w:val="22"/>
          <w:szCs w:val="22"/>
        </w:rPr>
        <w:t>Cohere Health. (2026, February). Agentic AI for health plans: Key Gartner 2026 insights. Cohere Health. https://coherehealth.com</w:t>
      </w:r>
    </w:p>
    <w:p w14:paraId="4A14222F" w14:textId="77777777" w:rsidR="00EE6AB3" w:rsidRPr="00761C61" w:rsidRDefault="00000000">
      <w:pPr>
        <w:spacing w:after="100" w:line="230" w:lineRule="auto"/>
        <w:ind w:left="720" w:hanging="720"/>
        <w:rPr>
          <w:sz w:val="22"/>
          <w:szCs w:val="22"/>
        </w:rPr>
      </w:pPr>
      <w:r w:rsidRPr="00761C61">
        <w:rPr>
          <w:sz w:val="22"/>
          <w:szCs w:val="22"/>
        </w:rPr>
        <w:t>Cotiviti. (2024). Fighting fraud, waste, and abuse: How payers can strengthen payment integrity with AI. Cotiviti.</w:t>
      </w:r>
    </w:p>
    <w:p w14:paraId="01703CBF" w14:textId="77777777" w:rsidR="00EE6AB3" w:rsidRPr="00761C61" w:rsidRDefault="00000000">
      <w:pPr>
        <w:spacing w:after="100" w:line="230" w:lineRule="auto"/>
        <w:ind w:left="720" w:hanging="720"/>
        <w:rPr>
          <w:sz w:val="22"/>
          <w:szCs w:val="22"/>
        </w:rPr>
      </w:pPr>
      <w:r w:rsidRPr="00761C61">
        <w:rPr>
          <w:sz w:val="22"/>
          <w:szCs w:val="22"/>
        </w:rPr>
        <w:t>Ethos Risk. (2026, May 6). AI in SIU investigations: Tools, threats, and trends. Ethos Risk Services. https://www.ethosrisk.com</w:t>
      </w:r>
    </w:p>
    <w:p w14:paraId="49D70C6E" w14:textId="77777777" w:rsidR="00EE6AB3" w:rsidRPr="00761C61" w:rsidRDefault="00000000">
      <w:pPr>
        <w:spacing w:after="100" w:line="230" w:lineRule="auto"/>
        <w:ind w:left="720" w:hanging="720"/>
        <w:rPr>
          <w:sz w:val="22"/>
          <w:szCs w:val="22"/>
        </w:rPr>
      </w:pPr>
      <w:r w:rsidRPr="00761C61">
        <w:rPr>
          <w:sz w:val="22"/>
          <w:szCs w:val="22"/>
        </w:rPr>
        <w:t>FraudOps. (2026a, April). Insurance AI deployments jumped 87% in 2025: Detection systems generate investigation workload, not reduce it. FraudOps. https://www.fraudops.ai</w:t>
      </w:r>
    </w:p>
    <w:p w14:paraId="5A04B5C5" w14:textId="77777777" w:rsidR="00EE6AB3" w:rsidRPr="00761C61" w:rsidRDefault="00000000">
      <w:pPr>
        <w:spacing w:after="100" w:line="230" w:lineRule="auto"/>
        <w:ind w:left="720" w:hanging="720"/>
        <w:rPr>
          <w:sz w:val="22"/>
          <w:szCs w:val="22"/>
        </w:rPr>
      </w:pPr>
      <w:r w:rsidRPr="00761C61">
        <w:rPr>
          <w:sz w:val="22"/>
          <w:szCs w:val="22"/>
        </w:rPr>
        <w:t xml:space="preserve">FraudOps. (2026b, June). AI in insurance fraud investigation: What </w:t>
      </w:r>
      <w:proofErr w:type="gramStart"/>
      <w:r w:rsidRPr="00761C61">
        <w:rPr>
          <w:sz w:val="22"/>
          <w:szCs w:val="22"/>
        </w:rPr>
        <w:t>actually works</w:t>
      </w:r>
      <w:proofErr w:type="gramEnd"/>
      <w:r w:rsidRPr="00761C61">
        <w:rPr>
          <w:sz w:val="22"/>
          <w:szCs w:val="22"/>
        </w:rPr>
        <w:t xml:space="preserve"> for investigator teams in 2026. FraudOps. https://www.fraudops.ai</w:t>
      </w:r>
    </w:p>
    <w:p w14:paraId="01BE3BC2" w14:textId="77777777" w:rsidR="00EE6AB3" w:rsidRPr="00761C61" w:rsidRDefault="00000000">
      <w:pPr>
        <w:spacing w:after="100" w:line="230" w:lineRule="auto"/>
        <w:ind w:left="720" w:hanging="720"/>
        <w:rPr>
          <w:sz w:val="22"/>
          <w:szCs w:val="22"/>
        </w:rPr>
      </w:pPr>
      <w:r w:rsidRPr="00761C61">
        <w:rPr>
          <w:sz w:val="22"/>
          <w:szCs w:val="22"/>
        </w:rPr>
        <w:t>Integr8 AI. (2025, February). Leveraging AI to evolve SIU performance. Integr8 AI.</w:t>
      </w:r>
    </w:p>
    <w:p w14:paraId="7A07383F" w14:textId="77777777" w:rsidR="00EE6AB3" w:rsidRPr="00761C61" w:rsidRDefault="00000000">
      <w:pPr>
        <w:spacing w:after="100" w:line="230" w:lineRule="auto"/>
        <w:ind w:left="720" w:hanging="720"/>
        <w:rPr>
          <w:sz w:val="22"/>
          <w:szCs w:val="22"/>
        </w:rPr>
      </w:pPr>
      <w:r w:rsidRPr="00761C61">
        <w:rPr>
          <w:sz w:val="22"/>
          <w:szCs w:val="22"/>
        </w:rPr>
        <w:t>Kurshan, E., Mehta, D., &amp; Balch, T. (2024). AI versus AI in financial crimes and detection: GenAI crime waves to co-evolutionary AI. Proceedings of the 5th ACM International Conference on AI in Finance (ICAIF '24), 745-751. https://doi.org/10.1145/3677052.3698655</w:t>
      </w:r>
    </w:p>
    <w:p w14:paraId="0205C0A1" w14:textId="77777777" w:rsidR="00EE6AB3" w:rsidRPr="00761C61" w:rsidRDefault="00000000">
      <w:pPr>
        <w:spacing w:after="100" w:line="230" w:lineRule="auto"/>
        <w:ind w:left="720" w:hanging="720"/>
        <w:rPr>
          <w:sz w:val="22"/>
          <w:szCs w:val="22"/>
        </w:rPr>
      </w:pPr>
      <w:r w:rsidRPr="00761C61">
        <w:rPr>
          <w:sz w:val="22"/>
          <w:szCs w:val="22"/>
        </w:rPr>
        <w:t>Mobisoft Infotech. (2026). AI in health insurance: Claims automation and fraud detection. Mobisoft Infotech. https://mobisoftinfotech.com</w:t>
      </w:r>
    </w:p>
    <w:p w14:paraId="31BB8E92" w14:textId="77777777" w:rsidR="00EE6AB3" w:rsidRPr="00761C61" w:rsidRDefault="00000000">
      <w:pPr>
        <w:spacing w:after="100" w:line="230" w:lineRule="auto"/>
        <w:ind w:left="720" w:hanging="720"/>
        <w:rPr>
          <w:sz w:val="22"/>
          <w:szCs w:val="22"/>
        </w:rPr>
      </w:pPr>
      <w:r w:rsidRPr="00761C61">
        <w:rPr>
          <w:sz w:val="22"/>
          <w:szCs w:val="22"/>
        </w:rPr>
        <w:t xml:space="preserve">Pang, Y., &amp; Li, C. (2025). An attack method for medical insurance claim fraud detection based on generative adversarial network. </w:t>
      </w:r>
      <w:proofErr w:type="spellStart"/>
      <w:r w:rsidRPr="00761C61">
        <w:rPr>
          <w:sz w:val="22"/>
          <w:szCs w:val="22"/>
        </w:rPr>
        <w:t>arXiv</w:t>
      </w:r>
      <w:proofErr w:type="spellEnd"/>
      <w:r w:rsidRPr="00761C61">
        <w:rPr>
          <w:sz w:val="22"/>
          <w:szCs w:val="22"/>
        </w:rPr>
        <w:t xml:space="preserve"> preprint arXiv:2506.19871.</w:t>
      </w:r>
    </w:p>
    <w:p w14:paraId="035945B8" w14:textId="77777777" w:rsidR="00EE6AB3" w:rsidRPr="00761C61" w:rsidRDefault="00000000">
      <w:pPr>
        <w:spacing w:after="100" w:line="230" w:lineRule="auto"/>
        <w:ind w:left="720" w:hanging="720"/>
        <w:rPr>
          <w:sz w:val="22"/>
          <w:szCs w:val="22"/>
        </w:rPr>
      </w:pPr>
      <w:r w:rsidRPr="00761C61">
        <w:rPr>
          <w:sz w:val="22"/>
          <w:szCs w:val="22"/>
        </w:rPr>
        <w:t>Razzaq, A., &amp; Shah, M. A. (2025, August). Next-generation machine learning in healthcare fraud detection: Current trends, challenges, and future research directions. MDPI Information, 16(9), 730. https://doi.org/10.3390/info16090730</w:t>
      </w:r>
    </w:p>
    <w:p w14:paraId="12D463B0" w14:textId="77777777" w:rsidR="00EE6AB3" w:rsidRPr="00761C61" w:rsidRDefault="00000000">
      <w:pPr>
        <w:spacing w:after="100" w:line="230" w:lineRule="auto"/>
        <w:ind w:left="720" w:hanging="720"/>
        <w:rPr>
          <w:sz w:val="22"/>
          <w:szCs w:val="22"/>
        </w:rPr>
      </w:pPr>
      <w:r w:rsidRPr="00761C61">
        <w:rPr>
          <w:sz w:val="22"/>
          <w:szCs w:val="22"/>
        </w:rPr>
        <w:t>Shift Technology. (2023, June). Shift market forces: Employing artificial intelligence to amplify the health payer SIU. Shift Technology. https://www.shift-technology.com</w:t>
      </w:r>
    </w:p>
    <w:p w14:paraId="7901011E" w14:textId="77777777" w:rsidR="00EE6AB3" w:rsidRDefault="00000000">
      <w:pPr>
        <w:spacing w:after="100" w:line="230" w:lineRule="auto"/>
        <w:ind w:left="720" w:hanging="720"/>
        <w:rPr>
          <w:sz w:val="22"/>
          <w:szCs w:val="22"/>
        </w:rPr>
      </w:pPr>
      <w:r w:rsidRPr="00761C61">
        <w:rPr>
          <w:sz w:val="22"/>
          <w:szCs w:val="22"/>
        </w:rPr>
        <w:t>Wang, J., Chen, M., &amp; Okunola, A. (2025, October 14). The impact of generative AI (GenAI) on synthetic identity evasion tactics: A study on prompt engineering and model drift in existing machine learning fraud detection systems [Preprint].</w:t>
      </w:r>
    </w:p>
    <w:p w14:paraId="7D1CCC9D" w14:textId="77777777" w:rsidR="00761C61" w:rsidRPr="00761C61" w:rsidRDefault="00761C61" w:rsidP="00761C61">
      <w:pPr>
        <w:pStyle w:val="font-claude-response-body"/>
        <w:rPr>
          <w:sz w:val="22"/>
          <w:szCs w:val="22"/>
        </w:rPr>
      </w:pPr>
      <w:r w:rsidRPr="00761C61">
        <w:rPr>
          <w:sz w:val="22"/>
          <w:szCs w:val="22"/>
        </w:rPr>
        <w:t xml:space="preserve">Coalition Against Insurance Fraud. (2024). 2024 Insurer SIU Benchmarking Study. Coalition Against Insurance Fraud. </w:t>
      </w:r>
      <w:hyperlink r:id="rId5" w:history="1">
        <w:r w:rsidRPr="00761C61">
          <w:rPr>
            <w:rStyle w:val="Hyperlink"/>
            <w:sz w:val="22"/>
            <w:szCs w:val="22"/>
          </w:rPr>
          <w:t>https://insurancefraud.org</w:t>
        </w:r>
      </w:hyperlink>
    </w:p>
    <w:p w14:paraId="5CE534EB" w14:textId="5912D5A7" w:rsidR="00761C61" w:rsidRPr="00761C61" w:rsidRDefault="00761C61" w:rsidP="00761C61">
      <w:pPr>
        <w:pStyle w:val="font-claude-response-body"/>
        <w:rPr>
          <w:sz w:val="22"/>
          <w:szCs w:val="22"/>
        </w:rPr>
      </w:pPr>
      <w:r w:rsidRPr="00761C61">
        <w:rPr>
          <w:sz w:val="22"/>
          <w:szCs w:val="22"/>
        </w:rPr>
        <w:lastRenderedPageBreak/>
        <w:t xml:space="preserve">Leder-Luis, J., &amp; Malani, A. (2025, March). The economics of healthcare fraud. Boston University. </w:t>
      </w:r>
      <w:hyperlink r:id="rId6" w:history="1">
        <w:r w:rsidRPr="00761C61">
          <w:rPr>
            <w:rStyle w:val="Hyperlink"/>
            <w:sz w:val="22"/>
            <w:szCs w:val="22"/>
          </w:rPr>
          <w:t>https://sites.bu.edu/jetson/files/2025/03/Economics_of_healthcare_fraud.pdf</w:t>
        </w:r>
      </w:hyperlink>
    </w:p>
    <w:p w14:paraId="3694E638" w14:textId="77777777" w:rsidR="00EE6AB3" w:rsidRPr="00761C61" w:rsidRDefault="00000000">
      <w:pPr>
        <w:spacing w:before="200" w:after="100"/>
        <w:rPr>
          <w:sz w:val="22"/>
          <w:szCs w:val="22"/>
        </w:rPr>
      </w:pPr>
      <w:r w:rsidRPr="00761C61">
        <w:rPr>
          <w:b/>
          <w:bCs/>
          <w:sz w:val="22"/>
          <w:szCs w:val="22"/>
        </w:rPr>
        <w:t>Research Methodology</w:t>
      </w:r>
    </w:p>
    <w:p w14:paraId="0950B1A9" w14:textId="66D6CA11" w:rsidR="00761C61" w:rsidRPr="00761C61" w:rsidRDefault="00000000" w:rsidP="00761C61">
      <w:pPr>
        <w:spacing w:after="100" w:line="230" w:lineRule="auto"/>
        <w:rPr>
          <w:sz w:val="22"/>
          <w:szCs w:val="22"/>
        </w:rPr>
      </w:pPr>
      <w:r w:rsidRPr="00761C61">
        <w:rPr>
          <w:sz w:val="22"/>
          <w:szCs w:val="22"/>
        </w:rPr>
        <w:t xml:space="preserve">I used Claude (Anthropic, claude-sonnet-4-6) as a research and synthesis partner throughout this assessment. I collected academic papers, industry reports, and regulatory documents and used Claude to extract key findings, assess source quality, and navigate domain-specific terminology across healthcare payment integrity. I worked with Claude to decide which trends, opportunities, and threats were sufficiently grounded to include, and to pressure-test every argument before writing. </w:t>
      </w:r>
    </w:p>
    <w:p w14:paraId="77BC6686" w14:textId="7812C793" w:rsidR="00EE6AB3" w:rsidRPr="00761C61" w:rsidRDefault="00EE6AB3">
      <w:pPr>
        <w:spacing w:after="100" w:line="230" w:lineRule="auto"/>
        <w:ind w:left="720" w:hanging="720"/>
        <w:rPr>
          <w:sz w:val="22"/>
          <w:szCs w:val="22"/>
        </w:rPr>
      </w:pPr>
    </w:p>
    <w:sectPr w:rsidR="00EE6AB3" w:rsidRPr="00761C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40FA"/>
    <w:multiLevelType w:val="hybridMultilevel"/>
    <w:tmpl w:val="E33C0D62"/>
    <w:lvl w:ilvl="0" w:tplc="C3C88C86">
      <w:start w:val="1"/>
      <w:numFmt w:val="bullet"/>
      <w:lvlText w:val="●"/>
      <w:lvlJc w:val="left"/>
      <w:pPr>
        <w:ind w:left="720" w:hanging="360"/>
      </w:pPr>
    </w:lvl>
    <w:lvl w:ilvl="1" w:tplc="741012C6">
      <w:start w:val="1"/>
      <w:numFmt w:val="bullet"/>
      <w:lvlText w:val="○"/>
      <w:lvlJc w:val="left"/>
      <w:pPr>
        <w:ind w:left="1440" w:hanging="360"/>
      </w:pPr>
    </w:lvl>
    <w:lvl w:ilvl="2" w:tplc="B526171E">
      <w:start w:val="1"/>
      <w:numFmt w:val="bullet"/>
      <w:lvlText w:val="■"/>
      <w:lvlJc w:val="left"/>
      <w:pPr>
        <w:ind w:left="2160" w:hanging="360"/>
      </w:pPr>
    </w:lvl>
    <w:lvl w:ilvl="3" w:tplc="600AFB18">
      <w:start w:val="1"/>
      <w:numFmt w:val="bullet"/>
      <w:lvlText w:val="●"/>
      <w:lvlJc w:val="left"/>
      <w:pPr>
        <w:ind w:left="2880" w:hanging="360"/>
      </w:pPr>
    </w:lvl>
    <w:lvl w:ilvl="4" w:tplc="84E2728C">
      <w:start w:val="1"/>
      <w:numFmt w:val="bullet"/>
      <w:lvlText w:val="○"/>
      <w:lvlJc w:val="left"/>
      <w:pPr>
        <w:ind w:left="3600" w:hanging="360"/>
      </w:pPr>
    </w:lvl>
    <w:lvl w:ilvl="5" w:tplc="F812886C">
      <w:start w:val="1"/>
      <w:numFmt w:val="bullet"/>
      <w:lvlText w:val="■"/>
      <w:lvlJc w:val="left"/>
      <w:pPr>
        <w:ind w:left="4320" w:hanging="360"/>
      </w:pPr>
    </w:lvl>
    <w:lvl w:ilvl="6" w:tplc="2EDADA1A">
      <w:start w:val="1"/>
      <w:numFmt w:val="bullet"/>
      <w:lvlText w:val="●"/>
      <w:lvlJc w:val="left"/>
      <w:pPr>
        <w:ind w:left="5040" w:hanging="360"/>
      </w:pPr>
    </w:lvl>
    <w:lvl w:ilvl="7" w:tplc="99389324">
      <w:start w:val="1"/>
      <w:numFmt w:val="bullet"/>
      <w:lvlText w:val="●"/>
      <w:lvlJc w:val="left"/>
      <w:pPr>
        <w:ind w:left="5760" w:hanging="360"/>
      </w:pPr>
    </w:lvl>
    <w:lvl w:ilvl="8" w:tplc="45AC40DA">
      <w:start w:val="1"/>
      <w:numFmt w:val="bullet"/>
      <w:lvlText w:val="●"/>
      <w:lvlJc w:val="left"/>
      <w:pPr>
        <w:ind w:left="6480" w:hanging="360"/>
      </w:pPr>
    </w:lvl>
  </w:abstractNum>
  <w:num w:numId="1" w16cid:durableId="1218663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AB3"/>
    <w:rsid w:val="00215965"/>
    <w:rsid w:val="007137CD"/>
    <w:rsid w:val="00761C61"/>
    <w:rsid w:val="007B3616"/>
    <w:rsid w:val="00E85E1A"/>
    <w:rsid w:val="00EE6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B6587"/>
  <w15:docId w15:val="{A4DC376E-D4A0-6D4F-B15B-6A98E120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rPr>
  </w:style>
  <w:style w:type="paragraph" w:styleId="Heading2">
    <w:name w:val="heading 2"/>
    <w:uiPriority w:val="9"/>
    <w:unhideWhenUsed/>
    <w:qFormat/>
    <w:pPr>
      <w:spacing w:before="120" w:after="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61C6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tes.bu.edu/jetson/files/2025/03/Economics_of_healthcare_fraud.pdf" TargetMode="External"/><Relationship Id="rId5" Type="http://schemas.openxmlformats.org/officeDocument/2006/relationships/hyperlink" Target="https://insurancefraud.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Aryamani Boruah</cp:lastModifiedBy>
  <cp:revision>3</cp:revision>
  <dcterms:created xsi:type="dcterms:W3CDTF">2026-06-28T15:18:00Z</dcterms:created>
  <dcterms:modified xsi:type="dcterms:W3CDTF">2026-06-28T15:19:00Z</dcterms:modified>
</cp:coreProperties>
</file>