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ENTERPRISE SECURITY POLICY AUDIT &amp; GAP ANALYSIS</w:t>
      </w:r>
    </w:p>
    <w:p>
      <w:pPr>
        <w:spacing w:before="0" w:after="160"/>
      </w:pPr>
      <w:r>
        <w:rPr>
          <w:rFonts w:ascii="Calibri" w:hAnsi="Calibri"/>
          <w:i/>
          <w:color w:val="35598C"/>
          <w:sz w:val="24"/>
        </w:rPr>
        <w:t>Comprehensive Critique, Vulnerability Assessment, and Remediation Roadmap</w:t>
      </w:r>
    </w:p>
    <w:p>
      <w:pPr>
        <w:spacing w:before="0" w:after="360"/>
      </w:pPr>
      <w:r>
        <w:rPr>
          <w:rFonts w:ascii="Calibri" w:hAnsi="Calibri"/>
          <w:color w:val="646464"/>
          <w:sz w:val="19"/>
        </w:rPr>
        <w:t>Document Ref: SPR-ISO-2026-V1  |  Alignment: ISO/IEC 27001:2022 &amp; NIST SP 800-53  |  Classification: Confidential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1. Executive Summary</w:t>
      </w:r>
    </w:p>
    <w:p>
      <w:pPr>
        <w:spacing w:before="0" w:after="120" w:line="276" w:lineRule="auto"/>
      </w:pPr>
      <w:r>
        <w:rPr>
          <w:rFonts w:ascii="Calibri" w:hAnsi="Calibri"/>
          <w:color w:val="222222"/>
          <w:sz w:val="22"/>
        </w:rPr>
        <w:t>This document provides a comprehensive security policy review and strategic remediation framework for the organization's current Information Security Policy. Utilizing standard industry benchmarks—primarily ISO/IEC 27001:2022 Annex A controls and NIST SP 800-53 Rev. 5—this audit evaluates existing policy gaps, assesses operational risks, and delivers actionable, prioritized recommendations to achieve robust defense-in-depth governance.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2. Assessment Methodology &amp; Framework Alignment</w:t>
      </w:r>
    </w:p>
    <w:p>
      <w:pPr>
        <w:spacing w:before="0" w:after="120" w:line="276" w:lineRule="auto"/>
      </w:pPr>
      <w:r>
        <w:rPr>
          <w:rFonts w:ascii="Calibri" w:hAnsi="Calibri"/>
          <w:color w:val="222222"/>
          <w:sz w:val="22"/>
        </w:rPr>
        <w:t>The audit was performed across six core operational security domains using a formal Capability Maturity Model Integration (CMMI) scale from Level 1 (Initial/Ad-hoc) to Level 5 (Optimized). Recommendations are evaluated against business impact, technical feasibility, and regulatory compliance standards.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3. Policy Gap Identification &amp; Risk Assessment</w:t>
      </w:r>
    </w:p>
    <w:p>
      <w:pPr>
        <w:spacing w:before="0" w:after="120" w:line="276" w:lineRule="auto"/>
      </w:pPr>
      <w:r>
        <w:rPr>
          <w:rFonts w:ascii="Calibri" w:hAnsi="Calibri"/>
          <w:color w:val="222222"/>
          <w:sz w:val="22"/>
        </w:rPr>
        <w:t>A detailed breakdown of critical vulnerabilities identified within the legacy policy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02C57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102C57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Identified Weakness / Deficit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102C57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Risk Level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02C57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Impact Summary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Access Control &amp; IAM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Missing mandatory Multi-Factor Authentication (MFA) and explicit Zero Trust Principle of Least Privilege.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B40000"/>
                <w:sz w:val="19"/>
              </w:rPr>
              <w:t>CRITICAL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High susceptibility to credential stuffing, password spraying, and lateral threat movement.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Remote Work &amp; BYOD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Unregulated personal device access; missing Mobile Device Management (MDM) enforcement.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D26400"/>
                <w:sz w:val="19"/>
              </w:rPr>
              <w:t>HIGH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Risk of enterprise data exfiltration, unencrypted local storage breaches, and malware ingress.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Data Protection &amp; Encryption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Lack of mandated AES-256 encryption for data-at-rest and TLS 1.3 for data-in-transit.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D26400"/>
                <w:sz w:val="19"/>
              </w:rPr>
              <w:t>HIGH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Non-compliance with GDPR/CCPA; risk of eavesdropping and unencrypted physical storage theft.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Incident Management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Undefined escalation SLA thresholds and absence of mandatory 72-hour regulatory breach disclosure.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D26400"/>
                <w:sz w:val="19"/>
              </w:rPr>
              <w:t>HIGH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Delayed incident response velocity, extended containment time, and severe regulatory fine exposure.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Patch &amp; Vulnerability Management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No SLAs for critical vulnerability patching (e.g., zero-days); ad-hoc scan schedules.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B40000"/>
                <w:sz w:val="19"/>
              </w:rPr>
              <w:t>CRITICAL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Exposes perimeter infrastructure to known operational exploits and ransomware deployment.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222222"/>
                <w:sz w:val="19"/>
              </w:rPr>
              <w:t>Third-Party &amp; Vendor Security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Absence of mandatory vendor risk assessments, SOC 2 Type II audits, or supply chain controls.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B48C00"/>
                <w:sz w:val="19"/>
              </w:rPr>
              <w:t>MEDIUM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222222"/>
                <w:sz w:val="19"/>
              </w:rPr>
              <w:t>Supply chain compromise via unvetted third-party integrations and service providers.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4. Strategic Recommendations &amp; Policy Enhancements</w:t>
      </w:r>
    </w:p>
    <w:p>
      <w:pPr>
        <w:keepNext/>
        <w:spacing w:before="280" w:after="80"/>
      </w:pPr>
      <w:r>
        <w:rPr>
          <w:rFonts w:ascii="Calibri" w:hAnsi="Calibri"/>
          <w:b/>
          <w:color w:val="35598C"/>
          <w:sz w:val="26"/>
        </w:rPr>
        <w:t>4.1 Access Control &amp; Identity Governance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Phishing-Resistant MFA:</w:t>
      </w:r>
      <w:r>
        <w:rPr>
          <w:rFonts w:ascii="Calibri" w:hAnsi="Calibri"/>
          <w:color w:val="222222"/>
          <w:sz w:val="22"/>
        </w:rPr>
        <w:t xml:space="preserve"> Enforce FIDO2/WebAuthn phishing-resistant Multi-Factor Authentication across all internal applications, VPNs, and cloud services.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Least Privilege Architecture:</w:t>
      </w:r>
      <w:r>
        <w:rPr>
          <w:rFonts w:ascii="Calibri" w:hAnsi="Calibri"/>
          <w:color w:val="222222"/>
          <w:sz w:val="22"/>
        </w:rPr>
        <w:t xml:space="preserve"> Transition to Role-Based Access Control (RBAC) paired with Attribute-Based Access Control (ABAC), conducting quarterly user access reviews.</w:t>
      </w:r>
    </w:p>
    <w:p>
      <w:pPr>
        <w:keepNext/>
        <w:spacing w:before="280" w:after="80"/>
      </w:pPr>
      <w:r>
        <w:rPr>
          <w:rFonts w:ascii="Calibri" w:hAnsi="Calibri"/>
          <w:b/>
          <w:color w:val="35598C"/>
          <w:sz w:val="26"/>
        </w:rPr>
        <w:t>4.2 Data Protection &amp; Cryptography Standards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Encryption Benchmarks:</w:t>
      </w:r>
      <w:r>
        <w:rPr>
          <w:rFonts w:ascii="Calibri" w:hAnsi="Calibri"/>
          <w:color w:val="222222"/>
          <w:sz w:val="22"/>
        </w:rPr>
        <w:t xml:space="preserve"> Mandate full-disk AES-256 encryption for all corporate endpoints and databases. Require TLS 1.3 for all web transport.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Data Loss Prevention (DLP):</w:t>
      </w:r>
      <w:r>
        <w:rPr>
          <w:rFonts w:ascii="Calibri" w:hAnsi="Calibri"/>
          <w:color w:val="222222"/>
          <w:sz w:val="22"/>
        </w:rPr>
        <w:t xml:space="preserve"> Deploy automated Data Loss Prevention (DLP) agents to prevent unauthorized exfiltration of PII, PHI, and IP.</w:t>
      </w:r>
    </w:p>
    <w:p>
      <w:pPr>
        <w:keepNext/>
        <w:spacing w:before="280" w:after="80"/>
      </w:pPr>
      <w:r>
        <w:rPr>
          <w:rFonts w:ascii="Calibri" w:hAnsi="Calibri"/>
          <w:b/>
          <w:color w:val="35598C"/>
          <w:sz w:val="26"/>
        </w:rPr>
        <w:t>4.3 Vulnerability Management &amp; Patch SLAs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Critical Vulnerabilities (CVSS 9.0-10.0):</w:t>
      </w:r>
      <w:r>
        <w:rPr>
          <w:rFonts w:ascii="Calibri" w:hAnsi="Calibri"/>
          <w:color w:val="222222"/>
          <w:sz w:val="22"/>
        </w:rPr>
        <w:t xml:space="preserve"> Remediation mandated within 48 hours of public CVE disclosure.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High Vulnerabilities (CVSS 7.0-8.9):</w:t>
      </w:r>
      <w:r>
        <w:rPr>
          <w:rFonts w:ascii="Calibri" w:hAnsi="Calibri"/>
          <w:color w:val="222222"/>
          <w:sz w:val="22"/>
        </w:rPr>
        <w:t xml:space="preserve"> Remediation mandated within 14 business days.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Medium Vulnerabilities (CVSS 4.0-6.9):</w:t>
      </w:r>
      <w:r>
        <w:rPr>
          <w:rFonts w:ascii="Calibri" w:hAnsi="Calibri"/>
          <w:color w:val="222222"/>
          <w:sz w:val="22"/>
        </w:rPr>
        <w:t xml:space="preserve"> Remediation mandated within 30 business days.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5. Implementation Roadmap &amp; Timeline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Phase 1: Immediate Remediation (Days 1–30):</w:t>
      </w:r>
      <w:r>
        <w:rPr>
          <w:rFonts w:ascii="Calibri" w:hAnsi="Calibri"/>
          <w:color w:val="222222"/>
          <w:sz w:val="22"/>
        </w:rPr>
        <w:t xml:space="preserve"> Deploy MFA across perimeter, establish interim patch SLAs, and mandate remote work MDM registration.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Phase 2: Policy Standardization (Days 31–90):</w:t>
      </w:r>
      <w:r>
        <w:rPr>
          <w:rFonts w:ascii="Calibri" w:hAnsi="Calibri"/>
          <w:color w:val="222222"/>
          <w:sz w:val="22"/>
        </w:rPr>
        <w:t xml:space="preserve"> Formalize ISO 27001 mapping, roll out enterprise DLP agents, and implement vendor risk scoring.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Phase 3: Governance &amp; Optimization (Days 91–180):</w:t>
      </w:r>
      <w:r>
        <w:rPr>
          <w:rFonts w:ascii="Calibri" w:hAnsi="Calibri"/>
          <w:color w:val="222222"/>
          <w:sz w:val="22"/>
        </w:rPr>
        <w:t xml:space="preserve"> Automated continuous compliance checks, biannual penetration testing, and annual policy reviews.</w:t>
      </w:r>
    </w:p>
    <w:p>
      <w:pPr>
        <w:keepNext/>
        <w:spacing w:before="360" w:after="120"/>
      </w:pPr>
      <w:r>
        <w:rPr>
          <w:rFonts w:ascii="Calibri" w:hAnsi="Calibri"/>
          <w:b/>
          <w:color w:val="102C57"/>
          <w:sz w:val="32"/>
        </w:rPr>
        <w:t>6. Compliance &amp; Regulatory Alignment Summary</w:t>
      </w:r>
    </w:p>
    <w:p>
      <w:pPr>
        <w:spacing w:before="0" w:after="120" w:line="276" w:lineRule="auto"/>
      </w:pPr>
      <w:r>
        <w:rPr>
          <w:rFonts w:ascii="Calibri" w:hAnsi="Calibri"/>
          <w:color w:val="222222"/>
          <w:sz w:val="22"/>
        </w:rPr>
        <w:t>Adoption of these recommendations ensures compliance with key international standards: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ISO/IEC 27001:2022:</w:t>
      </w:r>
      <w:r>
        <w:rPr>
          <w:rFonts w:ascii="Calibri" w:hAnsi="Calibri"/>
          <w:color w:val="222222"/>
          <w:sz w:val="22"/>
        </w:rPr>
        <w:t xml:space="preserve"> Fully addresses Clause 5 (Leadership), Clause 6 (Planning), and Annex A controls (A.5 to A.8).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NIST SP 800-53 Rev. 5:</w:t>
      </w:r>
      <w:r>
        <w:rPr>
          <w:rFonts w:ascii="Calibri" w:hAnsi="Calibri"/>
          <w:color w:val="222222"/>
          <w:sz w:val="22"/>
        </w:rPr>
        <w:t xml:space="preserve"> Satisfies Access Control (AC), Risk Assessment (RA), and System and Information Integrity (SI) control families.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22222"/>
          <w:sz w:val="22"/>
        </w:rPr>
        <w:t>• GDPR Article 32:</w:t>
      </w:r>
      <w:r>
        <w:rPr>
          <w:rFonts w:ascii="Calibri" w:hAnsi="Calibri"/>
          <w:color w:val="222222"/>
          <w:sz w:val="22"/>
        </w:rPr>
        <w:t xml:space="preserve"> Meets Article 32 mandates for technical and organizational measures to ensure processing security.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