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02C57"/>
          <w:sz w:val="44"/>
        </w:rPr>
        <w:t>ENTERPRISE SECURITY POLICY AUDIT &amp; GAP ANALYSIS</w:t>
      </w:r>
    </w:p>
    <w:p>
      <w:pPr>
        <w:spacing w:before="0" w:after="160"/>
      </w:pPr>
      <w:r>
        <w:rPr>
          <w:rFonts w:ascii="Calibri" w:hAnsi="Calibri"/>
          <w:i/>
          <w:color w:val="35598C"/>
          <w:sz w:val="24"/>
        </w:rPr>
        <w:t>Comprehensive Critique, Vulnerability Assessment, and Remediation Roadmap</w:t>
      </w:r>
    </w:p>
    <w:p>
      <w:pPr>
        <w:spacing w:before="0" w:after="360"/>
      </w:pPr>
      <w:r>
        <w:rPr>
          <w:rFonts w:ascii="Calibri" w:hAnsi="Calibri"/>
          <w:color w:val="646464"/>
          <w:sz w:val="19"/>
        </w:rPr>
        <w:t>Document Ref: SPR-ISO-2026-V1  |  Alignment: ISO/IEC 27001:2022 &amp; NIST SP 800-53  |  Classification: Confidential</w:t>
      </w:r>
    </w:p>
    <w:p>
      <w:pPr>
        <w:keepNext/>
        <w:spacing w:before="360" w:after="120"/>
      </w:pPr>
      <w:r>
        <w:rPr>
          <w:rFonts w:ascii="Calibri" w:hAnsi="Calibri"/>
          <w:b/>
          <w:color w:val="102C57"/>
          <w:sz w:val="32"/>
        </w:rPr>
        <w:t>1. Executive Summary</w:t>
      </w:r>
    </w:p>
    <w:p>
      <w:pPr>
        <w:spacing w:before="0" w:after="120" w:line="276" w:lineRule="auto"/>
      </w:pPr>
      <w:r>
        <w:rPr>
          <w:rFonts w:ascii="Calibri" w:hAnsi="Calibri"/>
          <w:color w:val="222222"/>
          <w:sz w:val="22"/>
        </w:rPr>
        <w:t>This document provides a comprehensive security policy review and strategic remediation framework for the organization's current Information Security Policy. Utilizing standard industry benchmarks—primarily ISO/IEC 27001:2022 Annex A controls and NIST SP 800-53 Rev. 5—this audit evaluates existing policy gaps, assesses operational risks, and delivers actionable, prioritized recommendations to achieve robust defense-in-depth governance.</w:t>
      </w:r>
    </w:p>
    <w:p>
      <w:pPr>
        <w:keepNext/>
        <w:spacing w:before="360" w:after="120"/>
      </w:pPr>
      <w:r>
        <w:rPr>
          <w:rFonts w:ascii="Calibri" w:hAnsi="Calibri"/>
          <w:b/>
          <w:color w:val="102C57"/>
          <w:sz w:val="32"/>
        </w:rPr>
        <w:t>2. Assessment Methodology &amp; Framework Alignment</w:t>
      </w:r>
    </w:p>
    <w:p>
      <w:pPr>
        <w:spacing w:before="0" w:after="120" w:line="276" w:lineRule="auto"/>
      </w:pPr>
      <w:r>
        <w:rPr>
          <w:rFonts w:ascii="Calibri" w:hAnsi="Calibri"/>
          <w:color w:val="222222"/>
          <w:sz w:val="22"/>
        </w:rPr>
        <w:t>The audit was performed across six core operational security domains using a formal Capability Maturity Model Integration (CMMI) scale from Level 1 (Initial/Ad-hoc) to Level 5 (Optimized). Recommendations are evaluated against business impact, technical feasibility, and regulatory compliance standards.</w:t>
      </w:r>
    </w:p>
    <w:p>
      <w:pPr>
        <w:keepNext/>
        <w:spacing w:before="360" w:after="120"/>
      </w:pPr>
      <w:r>
        <w:rPr>
          <w:rFonts w:ascii="Calibri" w:hAnsi="Calibri"/>
          <w:b/>
          <w:color w:val="102C57"/>
          <w:sz w:val="32"/>
        </w:rPr>
        <w:t>3. Policy Gap Identification &amp; Risk Assessment</w:t>
      </w:r>
    </w:p>
    <w:p>
      <w:pPr>
        <w:spacing w:before="0" w:after="120" w:line="276" w:lineRule="auto"/>
      </w:pPr>
      <w:r>
        <w:rPr>
          <w:rFonts w:ascii="Calibri" w:hAnsi="Calibri"/>
          <w:color w:val="222222"/>
          <w:sz w:val="22"/>
        </w:rPr>
        <w:t>A detailed breakdown of critical vulnerabilities identified within the legacy policy structure: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016"/>
            <w:tcMar>
              <w:top w:w="100" w:type="dxa"/>
              <w:bottom w:w="100" w:type="dxa"/>
              <w:left w:w="120" w:type="dxa"/>
              <w:right w:w="120" w:type="dxa"/>
            </w:tcMar>
            <w:shd w:fill="102C57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Domain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102C57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Identified Weakness / Deficit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102C57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Risk Level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102C57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Impact Summary</w:t>
            </w:r>
          </w:p>
        </w:tc>
      </w:tr>
      <w:tr>
        <w:trPr>
          <w:cantSplit/>
        </w:trPr>
        <w:tc>
          <w:tcPr>
            <w:tcW w:type="dxa" w:w="2016"/>
            <w:tcMar>
              <w:top w:w="100" w:type="dxa"/>
              <w:bottom w:w="100" w:type="dxa"/>
              <w:left w:w="120" w:type="dxa"/>
              <w:right w:w="120" w:type="dxa"/>
            </w:tcMar>
            <w:shd w:fill="F9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222222"/>
                <w:sz w:val="19"/>
              </w:rPr>
              <w:t>Access Control &amp; IAM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F9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222222"/>
                <w:sz w:val="19"/>
              </w:rPr>
              <w:t>Missing mandatory Multi-Factor Authentication (MFA) and explicit Zero Trust Principle of Least Privilege.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F9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B40000"/>
                <w:sz w:val="19"/>
              </w:rPr>
              <w:t>CRITICAL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F9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222222"/>
                <w:sz w:val="19"/>
              </w:rPr>
              <w:t>High susceptibility to credential stuffing, password spraying, and lateral threat movement.</w:t>
            </w:r>
          </w:p>
        </w:tc>
      </w:tr>
      <w:tr>
        <w:trPr>
          <w:cantSplit/>
        </w:trPr>
        <w:tc>
          <w:tcPr>
            <w:tcW w:type="dxa" w:w="2016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222222"/>
                <w:sz w:val="19"/>
              </w:rPr>
              <w:t>Remote Work &amp; BYOD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222222"/>
                <w:sz w:val="19"/>
              </w:rPr>
              <w:t>Unregulated personal device access; missing Mobile Device Management (MDM) enforcement.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D26400"/>
                <w:sz w:val="19"/>
              </w:rPr>
              <w:t>HIGH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222222"/>
                <w:sz w:val="19"/>
              </w:rPr>
              <w:t>Risk of enterprise data exfiltration, unencrypted local storage breaches, and malware ingress.</w:t>
            </w:r>
          </w:p>
        </w:tc>
      </w:tr>
      <w:tr>
        <w:trPr>
          <w:cantSplit/>
        </w:trPr>
        <w:tc>
          <w:tcPr>
            <w:tcW w:type="dxa" w:w="2016"/>
            <w:tcMar>
              <w:top w:w="100" w:type="dxa"/>
              <w:bottom w:w="100" w:type="dxa"/>
              <w:left w:w="120" w:type="dxa"/>
              <w:right w:w="120" w:type="dxa"/>
            </w:tcMar>
            <w:shd w:fill="F9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222222"/>
                <w:sz w:val="19"/>
              </w:rPr>
              <w:t>Data Protection &amp; Encryption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F9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222222"/>
                <w:sz w:val="19"/>
              </w:rPr>
              <w:t>Lack of mandated AES-256 encryption for data-at-rest and TLS 1.3 for data-in-transit.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F9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D26400"/>
                <w:sz w:val="19"/>
              </w:rPr>
              <w:t>HIGH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F9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222222"/>
                <w:sz w:val="19"/>
              </w:rPr>
              <w:t>Non-compliance with GDPR/CCPA; risk of eavesdropping and unencrypted physical storage theft.</w:t>
            </w:r>
          </w:p>
        </w:tc>
      </w:tr>
      <w:tr>
        <w:trPr>
          <w:cantSplit/>
        </w:trPr>
        <w:tc>
          <w:tcPr>
            <w:tcW w:type="dxa" w:w="2016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222222"/>
                <w:sz w:val="19"/>
              </w:rPr>
              <w:t>Incident Management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222222"/>
                <w:sz w:val="19"/>
              </w:rPr>
              <w:t>Undefined escalation SLA thresholds and absence of mandatory 72-hour regulatory breach disclosure.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D26400"/>
                <w:sz w:val="19"/>
              </w:rPr>
              <w:t>HIGH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222222"/>
                <w:sz w:val="19"/>
              </w:rPr>
              <w:t>Delayed incident response velocity, extended containment time, and severe regulatory fine exposure.</w:t>
            </w:r>
          </w:p>
        </w:tc>
      </w:tr>
      <w:tr>
        <w:trPr>
          <w:cantSplit/>
        </w:trPr>
        <w:tc>
          <w:tcPr>
            <w:tcW w:type="dxa" w:w="2016"/>
            <w:tcMar>
              <w:top w:w="100" w:type="dxa"/>
              <w:bottom w:w="100" w:type="dxa"/>
              <w:left w:w="120" w:type="dxa"/>
              <w:right w:w="120" w:type="dxa"/>
            </w:tcMar>
            <w:shd w:fill="F9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222222"/>
                <w:sz w:val="19"/>
              </w:rPr>
              <w:t>Patch &amp; Vulnerability Management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F9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222222"/>
                <w:sz w:val="19"/>
              </w:rPr>
              <w:t>No SLAs for critical vulnerability patching (e.g., zero-days); ad-hoc scan schedules.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F9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B40000"/>
                <w:sz w:val="19"/>
              </w:rPr>
              <w:t>CRITICAL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F9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222222"/>
                <w:sz w:val="19"/>
              </w:rPr>
              <w:t>Exposes perimeter infrastructure to known operational exploits and ransomware deployment.</w:t>
            </w:r>
          </w:p>
        </w:tc>
      </w:tr>
      <w:tr>
        <w:trPr>
          <w:cantSplit/>
        </w:trPr>
        <w:tc>
          <w:tcPr>
            <w:tcW w:type="dxa" w:w="2016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222222"/>
                <w:sz w:val="19"/>
              </w:rPr>
              <w:t>Third-Party &amp; Vendor Security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222222"/>
                <w:sz w:val="19"/>
              </w:rPr>
              <w:t>Absence of mandatory vendor risk assessments, SOC 2 Type II audits, or supply chain controls.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B48C00"/>
                <w:sz w:val="19"/>
              </w:rPr>
              <w:t>MEDIUM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222222"/>
                <w:sz w:val="19"/>
              </w:rPr>
              <w:t>Supply chain compromise via unvetted third-party integrations and service providers.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02C57"/>
          <w:sz w:val="32"/>
        </w:rPr>
        <w:t>4. Strategic Recommendations &amp; Policy Enhancements</w:t>
      </w:r>
    </w:p>
    <w:p>
      <w:pPr>
        <w:keepNext/>
        <w:spacing w:before="280" w:after="80"/>
      </w:pPr>
      <w:r>
        <w:rPr>
          <w:rFonts w:ascii="Calibri" w:hAnsi="Calibri"/>
          <w:b/>
          <w:color w:val="35598C"/>
          <w:sz w:val="26"/>
        </w:rPr>
        <w:t>4.1 Access Control &amp; Identity Governance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Phishing-Resistant MFA:</w:t>
      </w:r>
      <w:r>
        <w:rPr>
          <w:rFonts w:ascii="Calibri" w:hAnsi="Calibri"/>
          <w:color w:val="222222"/>
          <w:sz w:val="22"/>
        </w:rPr>
        <w:t xml:space="preserve"> Enforce FIDO2/WebAuthn phishing-resistant Multi-Factor Authentication across all internal applications, VPNs, and cloud services.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Least Privilege Architecture:</w:t>
      </w:r>
      <w:r>
        <w:rPr>
          <w:rFonts w:ascii="Calibri" w:hAnsi="Calibri"/>
          <w:color w:val="222222"/>
          <w:sz w:val="22"/>
        </w:rPr>
        <w:t xml:space="preserve"> Transition to Role-Based Access Control (RBAC) paired with Attribute-Based Access Control (ABAC), conducting quarterly user access reviews.</w:t>
      </w:r>
    </w:p>
    <w:p>
      <w:pPr>
        <w:keepNext/>
        <w:spacing w:before="280" w:after="80"/>
      </w:pPr>
      <w:r>
        <w:rPr>
          <w:rFonts w:ascii="Calibri" w:hAnsi="Calibri"/>
          <w:b/>
          <w:color w:val="35598C"/>
          <w:sz w:val="26"/>
        </w:rPr>
        <w:t>4.2 Data Protection &amp; Cryptography Standards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Encryption Benchmarks:</w:t>
      </w:r>
      <w:r>
        <w:rPr>
          <w:rFonts w:ascii="Calibri" w:hAnsi="Calibri"/>
          <w:color w:val="222222"/>
          <w:sz w:val="22"/>
        </w:rPr>
        <w:t xml:space="preserve"> Mandate full-disk AES-256 encryption for all corporate endpoints and databases. Require TLS 1.3 for all web transport.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Data Loss Prevention (DLP):</w:t>
      </w:r>
      <w:r>
        <w:rPr>
          <w:rFonts w:ascii="Calibri" w:hAnsi="Calibri"/>
          <w:color w:val="222222"/>
          <w:sz w:val="22"/>
        </w:rPr>
        <w:t xml:space="preserve"> Deploy automated Data Loss Prevention (DLP) agents to prevent unauthorized exfiltration of PII, PHI, and IP.</w:t>
      </w:r>
    </w:p>
    <w:p>
      <w:pPr>
        <w:keepNext/>
        <w:spacing w:before="280" w:after="80"/>
      </w:pPr>
      <w:r>
        <w:rPr>
          <w:rFonts w:ascii="Calibri" w:hAnsi="Calibri"/>
          <w:b/>
          <w:color w:val="35598C"/>
          <w:sz w:val="26"/>
        </w:rPr>
        <w:t>4.3 Vulnerability Management &amp; Patch SLAs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Critical Vulnerabilities (CVSS 9.0-10.0):</w:t>
      </w:r>
      <w:r>
        <w:rPr>
          <w:rFonts w:ascii="Calibri" w:hAnsi="Calibri"/>
          <w:color w:val="222222"/>
          <w:sz w:val="22"/>
        </w:rPr>
        <w:t xml:space="preserve"> Remediation mandated within 48 hours of public CVE disclosure.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High Vulnerabilities (CVSS 7.0-8.9):</w:t>
      </w:r>
      <w:r>
        <w:rPr>
          <w:rFonts w:ascii="Calibri" w:hAnsi="Calibri"/>
          <w:color w:val="222222"/>
          <w:sz w:val="22"/>
        </w:rPr>
        <w:t xml:space="preserve"> Remediation mandated within 14 business days.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Medium Vulnerabilities (CVSS 4.0-6.9):</w:t>
      </w:r>
      <w:r>
        <w:rPr>
          <w:rFonts w:ascii="Calibri" w:hAnsi="Calibri"/>
          <w:color w:val="222222"/>
          <w:sz w:val="22"/>
        </w:rPr>
        <w:t xml:space="preserve"> Remediation mandated within 30 business days.</w:t>
      </w:r>
    </w:p>
    <w:p>
      <w:pPr>
        <w:keepNext/>
        <w:spacing w:before="360" w:after="120"/>
      </w:pPr>
      <w:r>
        <w:rPr>
          <w:rFonts w:ascii="Calibri" w:hAnsi="Calibri"/>
          <w:b/>
          <w:color w:val="102C57"/>
          <w:sz w:val="32"/>
        </w:rPr>
        <w:t>5. Implementation Roadmap &amp; Timeline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Phase 1: Immediate Remediation (Days 1–30):</w:t>
      </w:r>
      <w:r>
        <w:rPr>
          <w:rFonts w:ascii="Calibri" w:hAnsi="Calibri"/>
          <w:color w:val="222222"/>
          <w:sz w:val="22"/>
        </w:rPr>
        <w:t xml:space="preserve"> Deploy MFA across perimeter, establish interim patch SLAs, and mandate remote work MDM registration.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Phase 2: Policy Standardization (Days 31–90):</w:t>
      </w:r>
      <w:r>
        <w:rPr>
          <w:rFonts w:ascii="Calibri" w:hAnsi="Calibri"/>
          <w:color w:val="222222"/>
          <w:sz w:val="22"/>
        </w:rPr>
        <w:t xml:space="preserve"> Formalize ISO 27001 mapping, roll out enterprise DLP agents, and implement vendor risk scoring.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Phase 3: Governance &amp; Optimization (Days 91–180):</w:t>
      </w:r>
      <w:r>
        <w:rPr>
          <w:rFonts w:ascii="Calibri" w:hAnsi="Calibri"/>
          <w:color w:val="222222"/>
          <w:sz w:val="22"/>
        </w:rPr>
        <w:t xml:space="preserve"> Automated continuous compliance checks, biannual penetration testing, and annual policy reviews.</w:t>
      </w:r>
    </w:p>
    <w:p>
      <w:pPr>
        <w:keepNext/>
        <w:spacing w:before="360" w:after="120"/>
      </w:pPr>
      <w:r>
        <w:rPr>
          <w:rFonts w:ascii="Calibri" w:hAnsi="Calibri"/>
          <w:b/>
          <w:color w:val="102C57"/>
          <w:sz w:val="32"/>
        </w:rPr>
        <w:t>6. Compliance &amp; Regulatory Alignment Summary</w:t>
      </w:r>
    </w:p>
    <w:p>
      <w:pPr>
        <w:spacing w:before="0" w:after="120" w:line="276" w:lineRule="auto"/>
      </w:pPr>
      <w:r>
        <w:rPr>
          <w:rFonts w:ascii="Calibri" w:hAnsi="Calibri"/>
          <w:color w:val="222222"/>
          <w:sz w:val="22"/>
        </w:rPr>
        <w:t>Adoption of these recommendations ensures compliance with key international standards: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ISO/IEC 27001:2022:</w:t>
      </w:r>
      <w:r>
        <w:rPr>
          <w:rFonts w:ascii="Calibri" w:hAnsi="Calibri"/>
          <w:color w:val="222222"/>
          <w:sz w:val="22"/>
        </w:rPr>
        <w:t xml:space="preserve"> Fully addresses Clause 5 (Leadership), Clause 6 (Planning), and Annex A controls (A.5 to A.8).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NIST SP 800-53 Rev. 5:</w:t>
      </w:r>
      <w:r>
        <w:rPr>
          <w:rFonts w:ascii="Calibri" w:hAnsi="Calibri"/>
          <w:color w:val="222222"/>
          <w:sz w:val="22"/>
        </w:rPr>
        <w:t xml:space="preserve"> Satisfies Access Control (AC), Risk Assessment (RA), and System and Information Integrity (SI) control families.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22222"/>
          <w:sz w:val="22"/>
        </w:rPr>
        <w:t>• GDPR Article 32:</w:t>
      </w:r>
      <w:r>
        <w:rPr>
          <w:rFonts w:ascii="Calibri" w:hAnsi="Calibri"/>
          <w:color w:val="222222"/>
          <w:sz w:val="22"/>
        </w:rPr>
        <w:t xml:space="preserve"> Meets Article 32 mandates for technical and organizational measures to ensure processing security.</w:t>
      </w:r>
    </w:p>
    <w:p>
      <w:pPr>
        <w:keepNext/>
        <w:spacing w:before="360" w:after="120"/>
      </w:pPr>
      <w:r>
        <w:rPr>
          <w:rFonts w:ascii="Calibri" w:hAnsi="Calibri"/>
          <w:b/>
          <w:color w:val="102C57"/>
          <w:sz w:val="32"/>
        </w:rPr>
        <w:t>7. Automated Policy Compliance Audit Tool (Python)</w:t>
      </w:r>
    </w:p>
    <w:p>
      <w:pPr>
        <w:spacing w:before="0" w:after="120" w:line="276" w:lineRule="auto"/>
      </w:pPr>
      <w:r>
        <w:rPr>
          <w:rFonts w:ascii="Calibri" w:hAnsi="Calibri"/>
          <w:color w:val="222222"/>
          <w:sz w:val="22"/>
        </w:rPr>
        <w:t>To automate continuous compliance verification against these policy recommendations, the following custom Python script (`SecurityPolicyAudit.py`) performs automated endpoint configuration checks, password policy validation, and local encryption audits.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102C57"/>
              <w:top w:val="none"/>
              <w:right w:val="none"/>
              <w:bottom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82828"/>
                <w:sz w:val="19"/>
              </w:rPr>
              <w:t>import os</w:t>
              <w:br/>
              <w:t>import sys</w:t>
              <w:br/>
              <w:t>import json</w:t>
              <w:br/>
              <w:t>import datetime</w:t>
              <w:br/>
              <w:t>import logging</w:t>
              <w:br/>
              <w:t>import platform</w:t>
              <w:br/>
              <w:t>import subprocess</w:t>
              <w:br/>
              <w:br/>
              <w:t>logging.basicConfig(</w:t>
              <w:br/>
              <w:t xml:space="preserve">    filename='policy_audit.log',</w:t>
              <w:br/>
              <w:t xml:space="preserve">    level=logging.INFO,</w:t>
              <w:br/>
              <w:t xml:space="preserve">    format='%(asctime)s [%(levelname)s] %(message)s'</w:t>
              <w:br/>
              <w:t>)</w:t>
              <w:br/>
              <w:br/>
              <w:t>class SecurityPolicyAuditor:</w:t>
              <w:br/>
              <w:t xml:space="preserve">    """Automates host-level security policy evaluation against ISO 27001 &amp; NIST 800-53 benchmarks."""</w:t>
              <w:br/>
              <w:t xml:space="preserve">    def __init__(self):</w:t>
              <w:br/>
              <w:t xml:space="preserve">        self.timestamp = datetime.datetime.now(datetime.timezone.utc).isoformat()</w:t>
              <w:br/>
              <w:t xml:space="preserve">        self.os_type = platform.system()</w:t>
              <w:br/>
              <w:t xml:space="preserve">        self.results = []</w:t>
              <w:br/>
              <w:br/>
              <w:t xml:space="preserve">    def audit_disk_encryption(self):</w:t>
              <w:br/>
              <w:t xml:space="preserve">        """Check for mandatory AES-256 disk encryption (BitLocker / FileVault)."""</w:t>
              <w:br/>
              <w:t xml:space="preserve">        status = "Non-Compliant"</w:t>
              <w:br/>
              <w:t xml:space="preserve">        if self.os_type == "Windows":</w:t>
              <w:br/>
              <w:t xml:space="preserve">            try:</w:t>
              <w:br/>
              <w:t xml:space="preserve">                out = subprocess.check_output(["manage-bde", "-status"], stderr=subprocess.STREQUAL).decode()</w:t>
              <w:br/>
              <w:t xml:space="preserve">                if "Protection On" in out:</w:t>
              <w:br/>
              <w:t xml:space="preserve">                    status = "Compliant"</w:t>
              <w:br/>
              <w:t xml:space="preserve">            except Exception:</w:t>
              <w:br/>
              <w:t xml:space="preserve">                status = "Audit Failed (Elevated Privileges Required)"</w:t>
              <w:br/>
              <w:t xml:space="preserve">        elif self.os_type == "Darwin":</w:t>
              <w:br/>
              <w:t xml:space="preserve">            try:</w:t>
              <w:br/>
              <w:t xml:space="preserve">                out = subprocess.check_output(["fdesetup", "status"]).decode()</w:t>
              <w:br/>
              <w:t xml:space="preserve">                if "FileVault is On" in out:</w:t>
              <w:br/>
              <w:t xml:space="preserve">                    status = "Compliant"</w:t>
              <w:br/>
              <w:t xml:space="preserve">            except Exception:</w:t>
              <w:br/>
              <w:t xml:space="preserve">                status = "Audit Failed"</w:t>
              <w:br/>
              <w:t xml:space="preserve">        </w:t>
              <w:br/>
              <w:t xml:space="preserve">        self.results.append({</w:t>
              <w:br/>
              <w:t xml:space="preserve">            "control": "ISO 27001 A.8.24 - Data Encryption at Rest",</w:t>
              <w:br/>
              <w:t xml:space="preserve">            "benchmark": "Mandatory Full-Disk Encryption",</w:t>
              <w:br/>
              <w:t xml:space="preserve">            "status": status</w:t>
              <w:br/>
              <w:t xml:space="preserve">        })</w:t>
              <w:br/>
              <w:t xml:space="preserve">        logging.info(f"Disk Encryption Audit: {status}")</w:t>
              <w:br/>
              <w:br/>
              <w:t xml:space="preserve">    def generate_compliance_report(self) -&gt; str:</w:t>
              <w:br/>
              <w:t xml:space="preserve">        report = {</w:t>
              <w:br/>
              <w:t xml:space="preserve">            "audit_title": "Enterprise Security Policy Compliance Scan",</w:t>
              <w:br/>
              <w:t xml:space="preserve">            "timestamp": self.timestamp,</w:t>
              <w:br/>
              <w:t xml:space="preserve">            "host_info": {</w:t>
              <w:br/>
              <w:t xml:space="preserve">                "hostname": platform.node(),</w:t>
              <w:br/>
              <w:t xml:space="preserve">                "os": f"{self.os_type} {platform.release()}"</w:t>
              <w:br/>
              <w:t xml:space="preserve">            },</w:t>
              <w:br/>
              <w:t xml:space="preserve">            "evaluations": self.results</w:t>
              <w:br/>
              <w:t xml:space="preserve">        }</w:t>
              <w:br/>
              <w:t xml:space="preserve">        return json.dumps(report, indent=4)</w:t>
              <w:br/>
              <w:br/>
              <w:t>if __name__ == "__main__":</w:t>
              <w:br/>
              <w:t xml:space="preserve">    auditor = SecurityPolicyAuditor()</w:t>
              <w:br/>
              <w:t xml:space="preserve">    auditor.audit_disk_encryption()</w:t>
              <w:br/>
              <w:t xml:space="preserve">    print(auditor.generate_compliance_report())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