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bidi/>
        <w:spacing w:after="70"/>
        <w:jc w:val="center"/>
      </w:pPr>
      <w:r>
        <w:rPr>
          <w:rFonts w:ascii="Arial" w:cs="Arial" w:eastAsia="Arial" w:hAnsi="Arial"/>
          <w:b/>
          <w:bCs/>
          <w:color w:val="10222A"/>
          <w:sz w:val="38"/>
          <w:szCs w:val="38"/>
          <w:rtl/>
        </w:rPr>
        <w:t xml:space="preserve">سجل تغيّر المتطلبات</w:t>
      </w:r>
    </w:p>
    <w:p>
      <w:pPr>
        <w:spacing w:after="300"/>
        <w:jc w:val="center"/>
      </w:pPr>
      <w:r>
        <w:rPr>
          <w:rFonts w:ascii="Arial" w:cs="Arial" w:eastAsia="Arial" w:hAnsi="Arial"/>
          <w:color w:val="0E6E5B"/>
          <w:sz w:val="22"/>
          <w:szCs w:val="22"/>
        </w:rPr>
        <w:t xml:space="preserve">Requirements Change Log — v1.0 to v2.0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SAMMS لإدارة أجهزة تقنية المعلومات وطلبات الصيانة</w:t>
      </w:r>
    </w:p>
    <w:tbl>
      <w:tblPr>
        <w:bidiVisual/>
        <w:tblW w:type="dxa" w:w="9026"/>
        <w:tblBorders>
          <w:top w:val="single" w:color="DBE2E0" w:sz="6"/>
          <w:left w:val="single" w:color="DBE2E0" w:sz="6"/>
          <w:bottom w:val="single" w:color="DBE2E0" w:sz="6"/>
          <w:right w:val="single" w:color="DBE2E0" w:sz="6"/>
          <w:insideH w:val="single" w:color="DBE2E0" w:sz="4"/>
          <w:insideV w:val="single" w:color="DBE2E0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726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التفصيل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الوثيقة المقارَنة (قبل)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1.0 — خط الأساس، يوليو 2026، قبل بدء التنفيذ</w:t>
            </w:r>
          </w:p>
        </w:tc>
      </w:tr>
      <w:tr>
        <w:tc>
          <w:tcPr>
            <w:tcW w:type="dxa" w:w="2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الوثيقة المقارَنة (بعد)</w:t>
            </w:r>
          </w:p>
        </w:tc>
        <w:tc>
          <w:tcPr>
            <w:tcW w:type="dxa" w:w="67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2.0 — أغسطس 2026، بعد اكتمال التنفيذ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الغرض من هذا السجل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توثيق ما تغيّر بين الإصدارين وسبب كل تغيير</w:t>
            </w:r>
          </w:p>
        </w:tc>
      </w:tr>
      <w:tr>
        <w:tc>
          <w:tcPr>
            <w:tcW w:type="dxa" w:w="2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عدد التغييرات الجوهرية</w:t>
            </w:r>
          </w:p>
        </w:tc>
        <w:tc>
          <w:tcPr>
            <w:tcW w:type="dxa" w:w="67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 تغييراً</w:t>
            </w:r>
          </w:p>
        </w:tc>
      </w:tr>
    </w:tbl>
    <w:p>
      <w:pPr>
        <w:spacing w:after="280"/>
      </w:pPr>
    </w:p>
    <w:p>
      <w:pPr>
        <w:pBdr>
          <w:right w:val="single" w:color="0E6E5B" w:sz="18" w:space="8"/>
        </w:pBdr>
        <w:bidi/>
        <w:spacing w:after="160" w:before="100" w:line="280"/>
        <w:ind w:right="120"/>
        <w:jc w:val="right"/>
      </w:pPr>
      <w:r>
        <w:rPr>
          <w:rFonts w:ascii="Arial" w:cs="Arial" w:eastAsia="Arial" w:hAnsi="Arial"/>
          <w:b w:val="false"/>
          <w:bCs w:val="false"/>
          <w:color w:val="4A5C5C"/>
          <w:sz w:val="20"/>
          <w:szCs w:val="20"/>
          <w:rtl/>
        </w:rPr>
        <w:t xml:space="preserve">لا يُعدَّل على الإصدار الأول. يبقى كما صدر ليمثل ما كان معلوماً وقتها، ويُوثَّق التغيير في إصدار مستقل. هذا ما يجعل الوثيقتين معاً سجلاً لمسار المشروع لا مجرد وصف لنتيجته.</w:t>
      </w:r>
    </w:p>
    <w:p>
      <w:r>
        <w:br w:type="page"/>
      </w:r>
    </w:p>
    <w:p>
      <w:pPr>
        <w:pStyle w:val="Heading1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0222A"/>
          <w:sz w:val="28"/>
          <w:szCs w:val="28"/>
          <w:rtl/>
        </w:rPr>
        <w:t xml:space="preserve">1. ملخص الفروق</w:t>
      </w:r>
    </w:p>
    <w:tbl>
      <w:tblPr>
        <w:bidiVisual/>
        <w:tblW w:type="dxa" w:w="9026"/>
        <w:tblBorders>
          <w:top w:val="single" w:color="DBE2E0" w:sz="6"/>
          <w:left w:val="single" w:color="DBE2E0" w:sz="6"/>
          <w:bottom w:val="single" w:color="DBE2E0" w:sz="6"/>
          <w:right w:val="single" w:color="DBE2E0" w:sz="6"/>
          <w:insideH w:val="single" w:color="DBE2E0" w:sz="4"/>
          <w:insideV w:val="single" w:color="DBE2E0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المؤشر</w:t>
            </w:r>
          </w:p>
        </w:tc>
        <w:tc>
          <w:tcPr>
            <w:tcW w:type="dxa" w:w="30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 1.0</w:t>
            </w:r>
          </w:p>
        </w:tc>
        <w:tc>
          <w:tcPr>
            <w:tcW w:type="dxa" w:w="30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 2.0</w:t>
            </w:r>
          </w:p>
        </w:tc>
      </w:tr>
      <w:tr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المتطلبات الوظيفية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61</w:t>
            </w:r>
          </w:p>
        </w:tc>
      </w:tr>
      <w:tr>
        <w:tc>
          <w:tcPr>
            <w:tcW w:type="dxa" w:w="30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المتطلبات غير الوظيفية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</w:tr>
      <w:tr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العمل الموثّقة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موجودة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</w:tr>
      <w:tr>
        <w:tc>
          <w:tcPr>
            <w:tcW w:type="dxa" w:w="30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كيانات قاعدة البيانات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</w:tr>
      <w:tr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الجهاز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</w:tr>
      <w:tr>
        <w:tc>
          <w:tcPr>
            <w:tcW w:type="dxa" w:w="30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مذكورة إجمالاً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 محددة</w:t>
            </w:r>
          </w:p>
        </w:tc>
      </w:tr>
      <w:tr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لغات الواجهة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العربية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العربية والإنجليزية</w:t>
            </w:r>
          </w:p>
        </w:tc>
      </w:tr>
      <w:tr>
        <w:tc>
          <w:tcPr>
            <w:tcW w:type="dxa" w:w="30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مصفوفة تتبع المتطلبات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موجودة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موجودة</w:t>
            </w:r>
          </w:p>
        </w:tc>
      </w:tr>
      <w:tr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معايير القبول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لكل متطلب</w:t>
            </w:r>
          </w:p>
        </w:tc>
      </w:tr>
      <w:tr>
        <w:tc>
          <w:tcPr>
            <w:tcW w:type="dxa" w:w="30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بيئة التنفيذ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ASP.NET Core · React · SQL Server · Power BI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PHP · MySQL · رسوم داخل النظام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0222A"/>
          <w:sz w:val="28"/>
          <w:szCs w:val="28"/>
          <w:rtl/>
        </w:rPr>
        <w:t xml:space="preserve">2. التغييرات الجوهرية وأسبابها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رُتبت التغييرات بحسب أثرها على النظام. كل تغيير مقترن بسببه وبمصدره.</w:t>
      </w:r>
    </w:p>
    <w:p>
      <w:pPr>
        <w:spacing w:after="80"/>
      </w:pPr>
    </w:p>
    <w:p>
      <w:pPr>
        <w:pStyle w:val="Heading2"/>
        <w:bidi/>
        <w:spacing w:after="110" w:before="220"/>
        <w:jc w:val="right"/>
      </w:pPr>
      <w:r>
        <w:rPr>
          <w:rFonts w:ascii="Arial" w:cs="Arial" w:eastAsia="Arial" w:hAnsi="Arial"/>
          <w:b/>
          <w:bCs/>
          <w:color w:val="0E6E5B"/>
          <w:sz w:val="23"/>
          <w:szCs w:val="23"/>
          <w:rtl/>
        </w:rPr>
        <w:t xml:space="preserve">2.1 تغييرات في نموذج البيانات</w:t>
      </w:r>
    </w:p>
    <w:tbl>
      <w:tblPr>
        <w:bidiVisual/>
        <w:tblW w:type="dxa" w:w="9026"/>
        <w:tblBorders>
          <w:top w:val="single" w:color="DBE2E0" w:sz="6"/>
          <w:left w:val="single" w:color="DBE2E0" w:sz="6"/>
          <w:bottom w:val="single" w:color="DBE2E0" w:sz="6"/>
          <w:right w:val="single" w:color="DBE2E0" w:sz="6"/>
          <w:insideH w:val="single" w:color="DBE2E0" w:sz="4"/>
          <w:insideV w:val="single" w:color="DBE2E0" w:sz="4"/>
        </w:tblBorders>
      </w:tblPr>
      <w:tblGrid>
        <w:gridCol w:w="1900"/>
        <w:gridCol w:w="2500"/>
        <w:gridCol w:w="2300"/>
        <w:gridCol w:w="2326"/>
      </w:tblGrid>
      <w:tr>
        <w:trPr>
          <w:tblHeader/>
        </w:trPr>
        <w:tc>
          <w:tcPr>
            <w:tcW w:type="dxa" w:w="19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التغيير</w:t>
            </w:r>
          </w:p>
        </w:tc>
        <w:tc>
          <w:tcPr>
            <w:tcW w:type="dxa" w:w="25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ما كان في 1.0</w:t>
            </w:r>
          </w:p>
        </w:tc>
        <w:tc>
          <w:tcPr>
            <w:tcW w:type="dxa" w:w="23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ما صار في 2.0</w:t>
            </w:r>
          </w:p>
        </w:tc>
        <w:tc>
          <w:tcPr>
            <w:tcW w:type="dxa" w:w="2326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سبب التغيير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علاقة الطلب بالصيانة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واحد إلى واحد: كل طلب ينتج عنه سجل صيانة واحد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واحد إلى متعدد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 قد يحتاج أكثر من زيارة أو انتظار قطعة غيار. الافتراض الأول كان مسجّلاً في 1.0 كنقطة تحتاج مراجعة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سجل تغيّر الحالة</w:t>
            </w:r>
          </w:p>
        </w:tc>
        <w:tc>
          <w:tcPr>
            <w:tcW w:type="dxa" w:w="2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موجود</w:t>
            </w:r>
          </w:p>
        </w:tc>
        <w:tc>
          <w:tcPr>
            <w:tcW w:type="dxa" w:w="2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مستقل RequestStatusLog</w:t>
            </w:r>
          </w:p>
        </w:tc>
        <w:tc>
          <w:tcPr>
            <w:tcW w:type="dxa" w:w="23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أداء الفنيين كان ضمن النطاق، وتبيّن عند التصميم أن حالة الطلب الحالية لا تحمل تاريخها فيتعذّر حساب زمن الاستجابة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تصنيف العطل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وصف نصي حر فقط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حقل FaultType من قائمة مغلقة بجانب الوصف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هدف «معرفة أي عطل يتكرر» كان معلناً، والنص الحر لا يتجمّع: نصّان مختلفان لعطل واحد لا يُعدّان معاً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تسليم الجهاز</w:t>
            </w:r>
          </w:p>
        </w:tc>
        <w:tc>
          <w:tcPr>
            <w:tcW w:type="dxa" w:w="2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الشراء فقط</w:t>
            </w:r>
          </w:p>
        </w:tc>
        <w:tc>
          <w:tcPr>
            <w:tcW w:type="dxa" w:w="2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حقل AssignedDate منفصل</w:t>
            </w:r>
          </w:p>
        </w:tc>
        <w:tc>
          <w:tcPr>
            <w:tcW w:type="dxa" w:w="23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الجهاز قد يبقى في المخزن أشهراً، وعمر الاستخدام هو ما يفسّر الأعطال لا عمر الشراء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الجهاز بالموظف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الموظف نصاً مع الرقم الوظيفي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خارجي واحد على جدول المستخدمين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تخزين الاسم في مكانين يُنتج تضارباً عند تعديله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الجهاز</w:t>
            </w:r>
          </w:p>
        </w:tc>
        <w:tc>
          <w:tcPr>
            <w:tcW w:type="dxa" w:w="2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ثلاث حالات تشغيلية</w:t>
            </w:r>
          </w:p>
        </w:tc>
        <w:tc>
          <w:tcPr>
            <w:tcW w:type="dxa" w:w="2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أربع حالات بإضافة «مُستبعد من الخدمة»</w:t>
            </w:r>
          </w:p>
        </w:tc>
        <w:tc>
          <w:tcPr>
            <w:tcW w:type="dxa" w:w="23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الحذف كان يمحو سجل الجهاز كاملاً، وهو نقيض الغرض من النظام</w:t>
            </w:r>
          </w:p>
        </w:tc>
      </w:tr>
    </w:tbl>
    <w:p>
      <w:r>
        <w:br w:type="page"/>
      </w:r>
    </w:p>
    <w:p>
      <w:pPr>
        <w:pStyle w:val="Heading2"/>
        <w:bidi/>
        <w:spacing w:after="110" w:before="220"/>
        <w:jc w:val="right"/>
      </w:pPr>
      <w:r>
        <w:rPr>
          <w:rFonts w:ascii="Arial" w:cs="Arial" w:eastAsia="Arial" w:hAnsi="Arial"/>
          <w:b/>
          <w:bCs/>
          <w:color w:val="0E6E5B"/>
          <w:sz w:val="23"/>
          <w:szCs w:val="23"/>
          <w:rtl/>
        </w:rPr>
        <w:t xml:space="preserve">2.2 تغيير بيئة التنفيذ</w:t>
      </w:r>
    </w:p>
    <w:tbl>
      <w:tblPr>
        <w:bidiVisual/>
        <w:tblW w:type="dxa" w:w="9026"/>
        <w:tblBorders>
          <w:top w:val="single" w:color="DBE2E0" w:sz="6"/>
          <w:left w:val="single" w:color="DBE2E0" w:sz="6"/>
          <w:bottom w:val="single" w:color="DBE2E0" w:sz="6"/>
          <w:right w:val="single" w:color="DBE2E0" w:sz="6"/>
          <w:insideH w:val="single" w:color="DBE2E0" w:sz="4"/>
          <w:insideV w:val="single" w:color="DBE2E0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33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ما تغيّر</w:t>
            </w:r>
          </w:p>
        </w:tc>
        <w:tc>
          <w:tcPr>
            <w:tcW w:type="dxa" w:w="3526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المبرر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 والواجهة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ASP.NET Core Web API و React.js إلى PHP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قيد زمني معلن: المدة المتاحة أقل من شهر، وبناء واجهة ومنظومة API منفصلتين بتقنيتين جديدتين كان يعني تسليم نظام ناقص بدل نظام مكتمل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البيانات</w:t>
            </w:r>
          </w:p>
        </w:tc>
        <w:tc>
          <w:tcPr>
            <w:tcW w:type="dxa" w:w="3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SQL Server إلى MySQL</w:t>
            </w:r>
          </w:p>
        </w:tc>
        <w:tc>
          <w:tcPr>
            <w:tcW w:type="dxa" w:w="35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تبع تغيير الخادم، والنموذج المنطقي للبيانات لم يتغيّر بسببه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المؤشرات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Power BI إلى رسوم مبنية داخل النظام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Power BI في وضع Import يعرض بيانات محدَّثة دورياً لا لحظياً، والرسوم داخل النظام تعرض الحالة اللحظية وتلغي الاعتماد على أداة خارجية</w:t>
            </w:r>
          </w:p>
        </w:tc>
      </w:tr>
    </w:tbl>
    <w:p>
      <w:pPr>
        <w:spacing w:after="120"/>
      </w:pPr>
    </w:p>
    <w:p>
      <w:pPr>
        <w:pBdr>
          <w:right w:val="single" w:color="0E6E5B" w:sz="18" w:space="8"/>
        </w:pBdr>
        <w:bidi/>
        <w:spacing w:after="160" w:before="100" w:line="280"/>
        <w:ind w:right="120"/>
        <w:jc w:val="right"/>
      </w:pPr>
      <w:r>
        <w:rPr>
          <w:rFonts w:ascii="Arial" w:cs="Arial" w:eastAsia="Arial" w:hAnsi="Arial"/>
          <w:b w:val="false"/>
          <w:bCs w:val="false"/>
          <w:color w:val="4A5C5C"/>
          <w:sz w:val="20"/>
          <w:szCs w:val="20"/>
          <w:rtl/>
        </w:rPr>
        <w:t xml:space="preserve">تغيير التقنية لم يُلغِ أي متطلب وظيفي من الإصدار الأول. المتطلبات الثلاثة عشر كلها منفَّذة، والتغيير وقع في كيفية التنفيذ لا في ماهيته.</w:t>
      </w:r>
    </w:p>
    <w:p>
      <w:pPr>
        <w:pStyle w:val="Heading2"/>
        <w:bidi/>
        <w:spacing w:after="110" w:before="220"/>
        <w:jc w:val="right"/>
      </w:pPr>
      <w:r>
        <w:rPr>
          <w:rFonts w:ascii="Arial" w:cs="Arial" w:eastAsia="Arial" w:hAnsi="Arial"/>
          <w:b/>
          <w:bCs/>
          <w:color w:val="0E6E5B"/>
          <w:sz w:val="23"/>
          <w:szCs w:val="23"/>
          <w:rtl/>
        </w:rPr>
        <w:t xml:space="preserve">2.3 توسعات في النطاق</w:t>
      </w:r>
    </w:p>
    <w:tbl>
      <w:tblPr>
        <w:bidiVisual/>
        <w:tblW w:type="dxa" w:w="9026"/>
        <w:tblBorders>
          <w:top w:val="single" w:color="DBE2E0" w:sz="6"/>
          <w:left w:val="single" w:color="DBE2E0" w:sz="6"/>
          <w:bottom w:val="single" w:color="DBE2E0" w:sz="6"/>
          <w:right w:val="single" w:color="DBE2E0" w:sz="6"/>
          <w:insideH w:val="single" w:color="DBE2E0" w:sz="4"/>
          <w:insideV w:val="single" w:color="DBE2E0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الإضافة</w:t>
            </w:r>
          </w:p>
        </w:tc>
        <w:tc>
          <w:tcPr>
            <w:tcW w:type="dxa" w:w="33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وصفها</w:t>
            </w:r>
          </w:p>
        </w:tc>
        <w:tc>
          <w:tcPr>
            <w:tcW w:type="dxa" w:w="3526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سبب الإضافة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دعم لغتين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وبيانات عرض بالعربية والإنجليزية مع تبديل الاتجاه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متطلب أُضيف بطلب صريح أثناء التنفيذ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استيراد الأجهزة</w:t>
            </w:r>
          </w:p>
        </w:tc>
        <w:tc>
          <w:tcPr>
            <w:tcW w:type="dxa" w:w="3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ملف xlsx أو csv مع معاينة قبل التنفيذ</w:t>
            </w:r>
          </w:p>
        </w:tc>
        <w:tc>
          <w:tcPr>
            <w:tcW w:type="dxa" w:w="35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كان مذكوراً في 1.0 كافتراض «بيانات متاحة في ملف Excel»، فتحوّل إلى وظيفة داخل النظام بدل عملية خارجية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الملف الشخصي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 البيانات وتعديلها وتغيير كلمة المرور ذاتياً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الأول لم يحدد كيف يغيّر المستخدم كلمة مروره، وهي حاجة أساسية لأي نظام يتطلب دخولاً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Excel</w:t>
            </w:r>
          </w:p>
        </w:tc>
        <w:tc>
          <w:tcPr>
            <w:tcW w:type="dxa" w:w="3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كل قائمة وتقرير بصيغة xlsx و csv</w:t>
            </w:r>
          </w:p>
        </w:tc>
        <w:tc>
          <w:tcPr>
            <w:tcW w:type="dxa" w:w="35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متطلب «إصدار تقارير إدارية» كان معلناً دون تحديد صيغة المخرج</w:t>
            </w:r>
          </w:p>
        </w:tc>
      </w:tr>
    </w:tbl>
    <w:p>
      <w:pPr>
        <w:pStyle w:val="Heading2"/>
        <w:bidi/>
        <w:spacing w:after="110" w:before="220"/>
        <w:jc w:val="right"/>
      </w:pPr>
      <w:r>
        <w:rPr>
          <w:rFonts w:ascii="Arial" w:cs="Arial" w:eastAsia="Arial" w:hAnsi="Arial"/>
          <w:b/>
          <w:bCs/>
          <w:color w:val="0E6E5B"/>
          <w:sz w:val="23"/>
          <w:szCs w:val="23"/>
          <w:rtl/>
        </w:rPr>
        <w:t xml:space="preserve">2.4 تحسينات في جودة الوثيقة نفسها</w:t>
      </w:r>
    </w:p>
    <w:tbl>
      <w:tblPr>
        <w:bidiVisual/>
        <w:tblW w:type="dxa" w:w="9026"/>
        <w:tblBorders>
          <w:top w:val="single" w:color="DBE2E0" w:sz="6"/>
          <w:left w:val="single" w:color="DBE2E0" w:sz="6"/>
          <w:bottom w:val="single" w:color="DBE2E0" w:sz="6"/>
          <w:right w:val="single" w:color="DBE2E0" w:sz="6"/>
          <w:insideH w:val="single" w:color="DBE2E0" w:sz="4"/>
          <w:insideV w:val="single" w:color="DBE2E0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التحسين</w:t>
            </w:r>
          </w:p>
        </w:tc>
        <w:tc>
          <w:tcPr>
            <w:tcW w:type="dxa" w:w="6426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قيمته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معيار قبول لكل متطلب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يجعل السؤال «هل نُفِّذ؟» قابلاً للإجابة بنعم أو لا لا بتقدير شخصي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عمل موثّقة (12 قاعدة)</w:t>
            </w:r>
          </w:p>
        </w:tc>
        <w:tc>
          <w:tcPr>
            <w:tcW w:type="dxa" w:w="64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تفصل قيود المجال عن تفاصيل الواجهة، فتبقى صالحة مهما تغيّرت التقنية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مصفوفة تتبع المتطلبات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تثبت أن كل متطلب له تنفيذ، وأن كل مكوّن يخدم متطلباً معلناً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«خارج النطاق» عن «حدود معلومة»</w:t>
            </w:r>
          </w:p>
        </w:tc>
        <w:tc>
          <w:tcPr>
            <w:tcW w:type="dxa" w:w="64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يميّز ما استُبعد عمداً عمّا لم يُنجز بعد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ترقيم فريد وتجميع منطقي للمتطلبات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يتيح الإحالة الدقيقة في المناقشة والاختبار</w:t>
            </w:r>
          </w:p>
        </w:tc>
      </w:tr>
    </w:tbl>
    <w:p>
      <w:r>
        <w:br w:type="page"/>
      </w:r>
    </w:p>
    <w:p>
      <w:pPr>
        <w:pStyle w:val="Heading1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0222A"/>
          <w:sz w:val="28"/>
          <w:szCs w:val="28"/>
          <w:rtl/>
        </w:rPr>
        <w:t xml:space="preserve">3. تتبع المتطلبات الأصلية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يبيّن هذا الجدول مصير كل متطلب من متطلبات الإصدار الأول الثلاثة عشر في الإصدار الثاني.</w:t>
      </w:r>
    </w:p>
    <w:tbl>
      <w:tblPr>
        <w:bidiVisual/>
        <w:tblW w:type="dxa" w:w="9026"/>
        <w:tblBorders>
          <w:top w:val="single" w:color="DBE2E0" w:sz="6"/>
          <w:left w:val="single" w:color="DBE2E0" w:sz="6"/>
          <w:bottom w:val="single" w:color="DBE2E0" w:sz="6"/>
          <w:right w:val="single" w:color="DBE2E0" w:sz="6"/>
          <w:insideH w:val="single" w:color="DBE2E0" w:sz="4"/>
          <w:insideV w:val="single" w:color="DBE2E0" w:sz="4"/>
        </w:tblBorders>
      </w:tblPr>
      <w:tblGrid>
        <w:gridCol w:w="1300"/>
        <w:gridCol w:w="3400"/>
        <w:gridCol w:w="1500"/>
        <w:gridCol w:w="2826"/>
      </w:tblGrid>
      <w:tr>
        <w:trPr>
          <w:tblHeader/>
        </w:trPr>
        <w:tc>
          <w:tcPr>
            <w:tcW w:type="dxa" w:w="13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1.0</w:t>
            </w:r>
          </w:p>
        </w:tc>
        <w:tc>
          <w:tcPr>
            <w:tcW w:type="dxa" w:w="34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500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2826"/>
            <w:shd w:fill="E1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ما يقابله في 2.0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الدخول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FR-11 مع توسعة إلى إدارة الجلسة والحساب الشخصي</w:t>
            </w:r>
          </w:p>
        </w:tc>
      </w:tr>
      <w:tr>
        <w:tc>
          <w:tcPr>
            <w:tcW w:type="dxa" w:w="1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FR-02</w:t>
            </w:r>
          </w:p>
        </w:tc>
        <w:tc>
          <w:tcPr>
            <w:tcW w:type="dxa" w:w="34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 أجهزة الموظف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FR-2A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جهاز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FR-22</w:t>
            </w:r>
          </w:p>
        </w:tc>
      </w:tr>
      <w:tr>
        <w:tc>
          <w:tcPr>
            <w:tcW w:type="dxa" w:w="1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FR-04</w:t>
            </w:r>
          </w:p>
        </w:tc>
        <w:tc>
          <w:tcPr>
            <w:tcW w:type="dxa" w:w="34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جهاز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FR-23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جهاز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 بتعديل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FR-25 و FR-26: الحذف مقيّد بجهاز بلا سجل، وأُضيف الاستبعاد من الخدمة</w:t>
            </w:r>
          </w:p>
        </w:tc>
      </w:tr>
      <w:tr>
        <w:tc>
          <w:tcPr>
            <w:tcW w:type="dxa" w:w="1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FR-06</w:t>
            </w:r>
          </w:p>
        </w:tc>
        <w:tc>
          <w:tcPr>
            <w:tcW w:type="dxa" w:w="34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إنشاء طلب صيانة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FR-31 مع إضافة تصنيف العطل FR-32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متابعة حالة الطلب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FR-34 و FR-35 مع إضافة المسار الزمني</w:t>
            </w:r>
          </w:p>
        </w:tc>
      </w:tr>
      <w:tr>
        <w:tc>
          <w:tcPr>
            <w:tcW w:type="dxa" w:w="1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FR-08</w:t>
            </w:r>
          </w:p>
        </w:tc>
        <w:tc>
          <w:tcPr>
            <w:tcW w:type="dxa" w:w="34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استلام وتحديث الطلب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FR-36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FR-09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الصيانة والإغلاق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FR-37 و FR-38</w:t>
            </w:r>
          </w:p>
        </w:tc>
      </w:tr>
      <w:tr>
        <w:tc>
          <w:tcPr>
            <w:tcW w:type="dxa" w:w="1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FR-10</w:t>
            </w:r>
          </w:p>
        </w:tc>
        <w:tc>
          <w:tcPr>
            <w:tcW w:type="dxa" w:w="34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الصيانة الكامل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FR-43 مع إضافة توزيع الأعطال FR-54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FR-11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 الإدارية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 وموسَّع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FR-55 إلى FR-5C: سبعة تقارير محددة مع تصدير</w:t>
            </w:r>
          </w:p>
        </w:tc>
      </w:tr>
      <w:tr>
        <w:tc>
          <w:tcPr>
            <w:tcW w:type="dxa" w:w="13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FR-12</w:t>
            </w:r>
          </w:p>
        </w:tc>
        <w:tc>
          <w:tcPr>
            <w:tcW w:type="dxa" w:w="34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مؤشرات الأداء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 بتقنية مختلفة</w:t>
            </w:r>
          </w:p>
        </w:tc>
        <w:tc>
          <w:tcPr>
            <w:tcW w:type="dxa" w:w="2826"/>
            <w:shd w:fill="F7F9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FR-51 إلى FR-53 داخل النظام بدل Power BI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FR-13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إدارة المستخدمين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FR-61 إلى FR-65</w:t>
            </w:r>
          </w:p>
        </w:tc>
      </w:tr>
    </w:tbl>
    <w:p>
      <w:pPr>
        <w:spacing w:after="200"/>
      </w:pPr>
    </w:p>
    <w:p>
      <w:pPr>
        <w:pBdr>
          <w:right w:val="single" w:color="0E6E5B" w:sz="18" w:space="8"/>
        </w:pBdr>
        <w:bidi/>
        <w:spacing w:after="160" w:before="100" w:line="280"/>
        <w:ind w:right="120"/>
        <w:jc w:val="right"/>
      </w:pPr>
      <w:r>
        <w:rPr>
          <w:rFonts w:ascii="Arial" w:cs="Arial" w:eastAsia="Arial" w:hAnsi="Arial"/>
          <w:b w:val="false"/>
          <w:bCs w:val="false"/>
          <w:color w:val="4A5C5C"/>
          <w:sz w:val="20"/>
          <w:szCs w:val="20"/>
          <w:rtl/>
        </w:rPr>
        <w:t xml:space="preserve">لم يُلغَ أي متطلب من الإصدار الأول، ولم يُنقل أي منها إلى مرحلة لاحقة. التغييرات كلها كانت توسعة أو تعديلاً في طريقة التنفيذ.</w:t>
      </w:r>
    </w:p>
    <w:p>
      <w:pPr>
        <w:pStyle w:val="Heading1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0222A"/>
          <w:sz w:val="28"/>
          <w:szCs w:val="28"/>
          <w:rtl/>
        </w:rPr>
        <w:t xml:space="preserve">4. الدروس المستخلصة</w:t>
      </w:r>
    </w:p>
    <w:p>
      <w:pPr>
        <w:bidi/>
        <w:spacing w:after="70" w:line="280"/>
        <w:ind w:start="300" w:hanging="23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•  ما لا يُصنَّف لا يمكن عدّه — هدف قياس تكرار الأعطال كان معلناً في الإصدار الأول، لكن نموذج البيانات لم يكن يدعمه. الفجوة لم تكن في الأهداف بل في ترجمتها إلى حقول</w:t>
      </w:r>
    </w:p>
    <w:p>
      <w:pPr>
        <w:bidi/>
        <w:spacing w:after="70" w:line="280"/>
        <w:ind w:start="300" w:hanging="23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•  الحالة الحالية لا تحمل تاريخها — قياس زمن الاستجابة يتطلب جدول أحداث مستقلاً لا حقل حالة واحداً</w:t>
      </w:r>
    </w:p>
    <w:p>
      <w:pPr>
        <w:bidi/>
        <w:spacing w:after="70" w:line="280"/>
        <w:ind w:start="300" w:hanging="23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•  الحذف المتسلسل خطر في أي نظام غرضه حفظ التاريخ — القيد يجب أن يكون في قاعدة البيانات لا في الواجهة</w:t>
      </w:r>
    </w:p>
    <w:p>
      <w:pPr>
        <w:bidi/>
        <w:spacing w:after="70" w:line="280"/>
        <w:ind w:start="300" w:hanging="23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•  الافتراضات المشكوك فيها تُسجَّل عند كتابتها — علاقة واحد إلى واحد كانت موضع شك ودُوّنت في الإصدار الأول، فجاء تعديلها مراجعة مخطَّطة لا مفاجأة</w:t>
      </w:r>
    </w:p>
    <w:p>
      <w:pPr>
        <w:bidi/>
        <w:spacing w:after="70" w:line="280"/>
        <w:ind w:start="300" w:hanging="23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•  قيد الوقت قرار تصميمي مشروع متى أُعلن — تغيير التقنية وُثّق بسببه بدل أن يُمرَّر بصمت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2E0" w:sz="6" w:space="6"/>
      </w:pBdr>
      <w:bidi/>
      <w:spacing w:after="0"/>
      <w:jc w:val="right"/>
    </w:pPr>
    <w:r>
      <w:rPr>
        <w:rFonts w:ascii="Arial" w:cs="Arial" w:eastAsia="Arial" w:hAnsi="Arial"/>
        <w:color w:val="6B7B7A"/>
        <w:sz w:val="16"/>
        <w:szCs w:val="16"/>
        <w:rtl/>
      </w:rPr>
      <w:t xml:space="preserve">SAMMS — سجل تغيّر المتطلبات · من الإصدار 1.0 إلى 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SAMMS — سجل تغيّر المتطلبات من 1.0 إلى 2.0</dc:title>
  <dc:creator>Aryam</dc:creator>
  <dc:description>توثيق التغييرات بين إصداري وثيقة المتطلبات وأسبابها</dc:description>
  <cp:lastModifiedBy>Un-named</cp:lastModifiedBy>
  <cp:revision>1</cp:revision>
  <dcterms:created xsi:type="dcterms:W3CDTF">2026-08-19T06:30:27.557Z</dcterms:created>
  <dcterms:modified xsi:type="dcterms:W3CDTF">2026-08-19T06:30:27.557Z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