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70"/>
        <w:jc w:val="center"/>
      </w:pPr>
      <w:r>
        <w:rPr>
          <w:rFonts w:ascii="Arial" w:cs="Arial" w:eastAsia="Arial" w:hAnsi="Arial"/>
          <w:b/>
          <w:bCs/>
          <w:color w:val="10222A"/>
          <w:sz w:val="38"/>
          <w:szCs w:val="38"/>
        </w:rPr>
        <w:t xml:space="preserve">Requirements Change Log</w:t>
      </w:r>
    </w:p>
    <w:p>
      <w:pPr>
        <w:spacing w:after="300"/>
        <w:jc w:val="center"/>
      </w:pPr>
      <w:r>
        <w:rPr>
          <w:rFonts w:ascii="Arial" w:cs="Arial" w:eastAsia="Arial" w:hAnsi="Arial"/>
          <w:color w:val="0E6E5B"/>
          <w:sz w:val="22"/>
          <w:szCs w:val="22"/>
        </w:rPr>
        <w:t xml:space="preserve">Version 1.0 to Version 2.0</w:t>
      </w:r>
    </w:p>
    <w:p>
      <w:pPr>
        <w:spacing w:after="500"/>
        <w:jc w:val="center"/>
      </w:pPr>
      <w:r>
        <w:rPr>
          <w:rFonts w:ascii="Arial" w:cs="Arial" w:eastAsia="Arial" w:hAnsi="Arial"/>
          <w:b/>
          <w:bCs/>
          <w:sz w:val="24"/>
          <w:szCs w:val="24"/>
        </w:rPr>
        <w:t xml:space="preserve">SAMMS — Smart Asset &amp; Maintenance Management System</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300"/>
        <w:gridCol w:w="6726"/>
      </w:tblGrid>
      <w:tr>
        <w:trPr>
          <w:tblHeader/>
        </w:trPr>
        <w:tc>
          <w:tcPr>
            <w:tcW w:type="dxa" w:w="2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Item</w:t>
            </w:r>
          </w:p>
        </w:tc>
        <w:tc>
          <w:tcPr>
            <w:tcW w:type="dxa" w:w="67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Detail</w:t>
            </w:r>
          </w:p>
        </w:tc>
      </w:tr>
      <w:tr>
        <w:tc>
          <w:tcPr>
            <w:tcW w:type="dxa" w:w="2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Baseline document</w:t>
            </w:r>
          </w:p>
        </w:tc>
        <w:tc>
          <w:tcPr>
            <w:tcW w:type="dxa" w:w="67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Version 1.0 — July 2026, issued before implementation began</w:t>
            </w:r>
          </w:p>
        </w:tc>
      </w:tr>
      <w:tr>
        <w:tc>
          <w:tcPr>
            <w:tcW w:type="dxa" w:w="2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Revised document</w:t>
            </w:r>
          </w:p>
        </w:tc>
        <w:tc>
          <w:tcPr>
            <w:tcW w:type="dxa" w:w="6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Version 2.0 — August 2026, issued on completion of implementation</w:t>
            </w:r>
          </w:p>
        </w:tc>
      </w:tr>
      <w:tr>
        <w:tc>
          <w:tcPr>
            <w:tcW w:type="dxa" w:w="2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Purpose of this log</w:t>
            </w:r>
          </w:p>
        </w:tc>
        <w:tc>
          <w:tcPr>
            <w:tcW w:type="dxa" w:w="67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To record what changed between the two releases and why</w:t>
            </w:r>
          </w:p>
        </w:tc>
      </w:tr>
      <w:tr>
        <w:tc>
          <w:tcPr>
            <w:tcW w:type="dxa" w:w="2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Substantive changes</w:t>
            </w:r>
          </w:p>
        </w:tc>
        <w:tc>
          <w:tcPr>
            <w:tcW w:type="dxa" w:w="6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11</w:t>
            </w:r>
          </w:p>
        </w:tc>
      </w:tr>
    </w:tbl>
    <w:p>
      <w:pPr>
        <w:spacing w:after="28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The first release is not amended. It stands as issued, representing what was known at the time, and change is recorded in a separate release. This is what makes the two documents together a record of the project’s course rather than a description of its outcome alone.</w:t>
      </w:r>
    </w:p>
    <w:p>
      <w:r>
        <w:br w:type="page"/>
      </w:r>
    </w:p>
    <w:p>
      <w:pPr>
        <w:pStyle w:val="Heading1"/>
        <w:spacing w:after="150" w:before="300"/>
      </w:pPr>
      <w:r>
        <w:rPr>
          <w:rFonts w:ascii="Arial" w:cs="Arial" w:eastAsia="Arial" w:hAnsi="Arial"/>
          <w:b/>
          <w:bCs/>
          <w:color w:val="10222A"/>
          <w:sz w:val="28"/>
          <w:szCs w:val="28"/>
        </w:rPr>
        <w:t xml:space="preserve">1. Summary of Differences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026"/>
        <w:gridCol w:w="3000"/>
        <w:gridCol w:w="3000"/>
      </w:tblGrid>
      <w:tr>
        <w:trPr>
          <w:tblHeader/>
        </w:trPr>
        <w:tc>
          <w:tcPr>
            <w:tcW w:type="dxa" w:w="30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Measure</w:t>
            </w:r>
          </w:p>
        </w:tc>
        <w:tc>
          <w:tcPr>
            <w:tcW w:type="dxa" w:w="3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Version 1.0</w:t>
            </w:r>
          </w:p>
        </w:tc>
        <w:tc>
          <w:tcPr>
            <w:tcW w:type="dxa" w:w="3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Version 2.0</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Functional requirements</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13</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61</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Non-functional requirements</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7</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10</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Documented business rules</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None</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12</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Database entities</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4</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5</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Device states</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3</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4</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Reports</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Referred to collectively</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7, individually specified</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Interface languages</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Arabic</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Arabic and English</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Requirements traceability matrix</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None</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Present</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Acceptance criteria</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Not defined</w:t>
            </w:r>
          </w:p>
        </w:tc>
        <w:tc>
          <w:tcPr>
            <w:tcW w:type="dxa" w:w="30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Defined for every requirement</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Implementation stack</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ASP.NET Core · React · SQL Server · Power BI</w:t>
            </w:r>
          </w:p>
        </w:tc>
        <w:tc>
          <w:tcPr>
            <w:tcW w:type="dxa" w:w="3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PHP · MySQL · charts built into the system</w:t>
            </w:r>
          </w:p>
        </w:tc>
      </w:tr>
    </w:tbl>
    <w:p>
      <w:pPr>
        <w:pStyle w:val="Heading1"/>
        <w:spacing w:after="150" w:before="300"/>
      </w:pPr>
      <w:r>
        <w:rPr>
          <w:rFonts w:ascii="Arial" w:cs="Arial" w:eastAsia="Arial" w:hAnsi="Arial"/>
          <w:b/>
          <w:bCs/>
          <w:color w:val="10222A"/>
          <w:sz w:val="28"/>
          <w:szCs w:val="28"/>
        </w:rPr>
        <w:t xml:space="preserve">2. Substantive Changes and Their Rationale</w:t>
      </w:r>
    </w:p>
    <w:p>
      <w:pPr>
        <w:spacing w:after="120" w:line="300"/>
        <w:jc w:val="both"/>
      </w:pPr>
      <w:r>
        <w:rPr>
          <w:rFonts w:ascii="Arial" w:cs="Arial" w:eastAsia="Arial" w:hAnsi="Arial"/>
          <w:b w:val="false"/>
          <w:bCs w:val="false"/>
          <w:sz w:val="21"/>
          <w:szCs w:val="21"/>
        </w:rPr>
        <w:t xml:space="preserve">Changes are ordered by their impact on the system. Each is stated together with its cause.</w:t>
      </w:r>
    </w:p>
    <w:p>
      <w:pPr>
        <w:spacing w:after="80"/>
      </w:pPr>
    </w:p>
    <w:p>
      <w:pPr>
        <w:pStyle w:val="Heading2"/>
        <w:spacing w:after="110" w:before="220"/>
      </w:pPr>
      <w:r>
        <w:rPr>
          <w:rFonts w:ascii="Arial" w:cs="Arial" w:eastAsia="Arial" w:hAnsi="Arial"/>
          <w:b/>
          <w:bCs/>
          <w:color w:val="0E6E5B"/>
          <w:sz w:val="23"/>
          <w:szCs w:val="23"/>
        </w:rPr>
        <w:t xml:space="preserve">2.1 Data Model Changes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900"/>
        <w:gridCol w:w="2500"/>
        <w:gridCol w:w="2300"/>
        <w:gridCol w:w="2326"/>
      </w:tblGrid>
      <w:tr>
        <w:trPr>
          <w:tblHeader/>
        </w:trPr>
        <w:tc>
          <w:tcPr>
            <w:tcW w:type="dxa" w:w="19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Change</w:t>
            </w:r>
          </w:p>
        </w:tc>
        <w:tc>
          <w:tcPr>
            <w:tcW w:type="dxa" w:w="25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In version 1.0</w:t>
            </w:r>
          </w:p>
        </w:tc>
        <w:tc>
          <w:tcPr>
            <w:tcW w:type="dxa" w:w="2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In version 2.0</w:t>
            </w:r>
          </w:p>
        </w:tc>
        <w:tc>
          <w:tcPr>
            <w:tcW w:type="dxa" w:w="23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Reason for the change</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Request to maintenance relationship</w:t>
            </w:r>
          </w:p>
        </w:tc>
        <w:tc>
          <w:tcPr>
            <w:tcW w:type="dxa" w:w="2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One to one: each request produces a single maintenance record</w:t>
            </w:r>
          </w:p>
        </w:tc>
        <w:tc>
          <w:tcPr>
            <w:tcW w:type="dxa" w:w="2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One to many</w:t>
            </w:r>
          </w:p>
        </w:tc>
        <w:tc>
          <w:tcPr>
            <w:tcW w:type="dxa" w:w="23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 request may require more than one visit or a wait for a spare part. The original assumption was recorded in v1.0 as a point requiring review</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Status change log</w:t>
            </w:r>
          </w:p>
        </w:tc>
        <w:tc>
          <w:tcPr>
            <w:tcW w:type="dxa" w:w="2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Not present</w:t>
            </w:r>
          </w:p>
        </w:tc>
        <w:tc>
          <w:tcPr>
            <w:tcW w:type="dxa" w:w="2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 dedicated RequestStatusLog table</w:t>
            </w:r>
          </w:p>
        </w:tc>
        <w:tc>
          <w:tcPr>
            <w:tcW w:type="dxa" w:w="23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The IT performance report was within scope, and design revealed that a request’s current status carries no history, making response time impossible to calculate</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Fault classification</w:t>
            </w:r>
          </w:p>
        </w:tc>
        <w:tc>
          <w:tcPr>
            <w:tcW w:type="dxa" w:w="2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Free-text description only</w:t>
            </w:r>
          </w:p>
        </w:tc>
        <w:tc>
          <w:tcPr>
            <w:tcW w:type="dxa" w:w="2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 FaultType field drawn from a closed list alongside the description</w:t>
            </w:r>
          </w:p>
        </w:tc>
        <w:tc>
          <w:tcPr>
            <w:tcW w:type="dxa" w:w="23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The objective of identifying recurring faults was stated, but free text does not aggregate: two different descriptions of one fault are never counted together</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Device handover date</w:t>
            </w:r>
          </w:p>
        </w:tc>
        <w:tc>
          <w:tcPr>
            <w:tcW w:type="dxa" w:w="2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Purchase date only</w:t>
            </w:r>
          </w:p>
        </w:tc>
        <w:tc>
          <w:tcPr>
            <w:tcW w:type="dxa" w:w="2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 separate AssignedDate field</w:t>
            </w:r>
          </w:p>
        </w:tc>
        <w:tc>
          <w:tcPr>
            <w:tcW w:type="dxa" w:w="23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 device may remain in storage for months; service life rather than purchase age explains its faults</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Device to holder link</w:t>
            </w:r>
          </w:p>
        </w:tc>
        <w:tc>
          <w:tcPr>
            <w:tcW w:type="dxa" w:w="2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Employee name stored as text alongside the employee number</w:t>
            </w:r>
          </w:p>
        </w:tc>
        <w:tc>
          <w:tcPr>
            <w:tcW w:type="dxa" w:w="2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 single foreign key to the users table</w:t>
            </w:r>
          </w:p>
        </w:tc>
        <w:tc>
          <w:tcPr>
            <w:tcW w:type="dxa" w:w="23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Storing the name in two places produces divergence when it is amended</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Device status</w:t>
            </w:r>
          </w:p>
        </w:tc>
        <w:tc>
          <w:tcPr>
            <w:tcW w:type="dxa" w:w="2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Three operational states</w:t>
            </w:r>
          </w:p>
        </w:tc>
        <w:tc>
          <w:tcPr>
            <w:tcW w:type="dxa" w:w="2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Four states, adding Retired</w:t>
            </w:r>
          </w:p>
        </w:tc>
        <w:tc>
          <w:tcPr>
            <w:tcW w:type="dxa" w:w="23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Deletion erased the device record entirely, defeating the purpose of the system</w:t>
            </w:r>
          </w:p>
        </w:tc>
      </w:tr>
    </w:tbl>
    <w:p>
      <w:r>
        <w:br w:type="page"/>
      </w:r>
    </w:p>
    <w:p>
      <w:pPr>
        <w:pStyle w:val="Heading2"/>
        <w:spacing w:after="110" w:before="220"/>
      </w:pPr>
      <w:r>
        <w:rPr>
          <w:rFonts w:ascii="Arial" w:cs="Arial" w:eastAsia="Arial" w:hAnsi="Arial"/>
          <w:b/>
          <w:bCs/>
          <w:color w:val="0E6E5B"/>
          <w:sz w:val="23"/>
          <w:szCs w:val="23"/>
        </w:rPr>
        <w:t xml:space="preserve">2.2 Change of Implementation Environment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3300"/>
        <w:gridCol w:w="3526"/>
      </w:tblGrid>
      <w:tr>
        <w:trPr>
          <w:tblHeader/>
        </w:trPr>
        <w:tc>
          <w:tcPr>
            <w:tcW w:type="dxa" w:w="22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Item</w:t>
            </w:r>
          </w:p>
        </w:tc>
        <w:tc>
          <w:tcPr>
            <w:tcW w:type="dxa" w:w="3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What changed</w:t>
            </w:r>
          </w:p>
        </w:tc>
        <w:tc>
          <w:tcPr>
            <w:tcW w:type="dxa" w:w="35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Rationale</w:t>
            </w:r>
          </w:p>
        </w:tc>
      </w:tr>
      <w:tr>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Server and interface</w:t>
            </w:r>
          </w:p>
        </w:tc>
        <w:tc>
          <w:tcPr>
            <w:tcW w:type="dxa" w:w="3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From ASP.NET Core Web API and React.js to PHP</w:t>
            </w:r>
          </w:p>
        </w:tc>
        <w:tc>
          <w:tcPr>
            <w:tcW w:type="dxa" w:w="35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 declared time constraint: under one month was available, and building a separate interface and API in two unfamiliar technologies would have meant delivering an incomplete system rather than a complete one</w:t>
            </w:r>
          </w:p>
        </w:tc>
      </w:tr>
      <w:tr>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Database</w:t>
            </w:r>
          </w:p>
        </w:tc>
        <w:tc>
          <w:tcPr>
            <w:tcW w:type="dxa" w:w="3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From SQL Server to MySQL</w:t>
            </w:r>
          </w:p>
        </w:tc>
        <w:tc>
          <w:tcPr>
            <w:tcW w:type="dxa" w:w="3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Followed from the server change; the logical data model was unaffected</w:t>
            </w:r>
          </w:p>
        </w:tc>
      </w:tr>
      <w:tr>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Dashboard</w:t>
            </w:r>
          </w:p>
        </w:tc>
        <w:tc>
          <w:tcPr>
            <w:tcW w:type="dxa" w:w="3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From Power BI to charts built into the system</w:t>
            </w:r>
          </w:p>
        </w:tc>
        <w:tc>
          <w:tcPr>
            <w:tcW w:type="dxa" w:w="35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Power BI in Import mode presents periodically refreshed rather than live data; in-system charts show the current state and remove the dependency on an external tool</w:t>
            </w:r>
          </w:p>
        </w:tc>
      </w:tr>
    </w:tbl>
    <w:p>
      <w:pPr>
        <w:spacing w:after="12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The change of technology removed no functional requirement from the first release. All thirteen were implemented; the change lay in how the system was built, not in what it does.</w:t>
      </w:r>
    </w:p>
    <w:p>
      <w:pPr>
        <w:pStyle w:val="Heading2"/>
        <w:spacing w:after="110" w:before="220"/>
      </w:pPr>
      <w:r>
        <w:rPr>
          <w:rFonts w:ascii="Arial" w:cs="Arial" w:eastAsia="Arial" w:hAnsi="Arial"/>
          <w:b/>
          <w:bCs/>
          <w:color w:val="0E6E5B"/>
          <w:sz w:val="23"/>
          <w:szCs w:val="23"/>
        </w:rPr>
        <w:t xml:space="preserve">2.3 Scope Extensions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3300"/>
        <w:gridCol w:w="3526"/>
      </w:tblGrid>
      <w:tr>
        <w:trPr>
          <w:tblHeader/>
        </w:trPr>
        <w:tc>
          <w:tcPr>
            <w:tcW w:type="dxa" w:w="22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Addition</w:t>
            </w:r>
          </w:p>
        </w:tc>
        <w:tc>
          <w:tcPr>
            <w:tcW w:type="dxa" w:w="3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Description</w:t>
            </w:r>
          </w:p>
        </w:tc>
        <w:tc>
          <w:tcPr>
            <w:tcW w:type="dxa" w:w="35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Reason for addition</w:t>
            </w:r>
          </w:p>
        </w:tc>
      </w:tr>
      <w:tr>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Bilingual operation</w:t>
            </w:r>
          </w:p>
        </w:tc>
        <w:tc>
          <w:tcPr>
            <w:tcW w:type="dxa" w:w="3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Interface and display data in Arabic and English with direction switching</w:t>
            </w:r>
          </w:p>
        </w:tc>
        <w:tc>
          <w:tcPr>
            <w:tcW w:type="dxa" w:w="35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 requirement added at explicit request during implementation</w:t>
            </w:r>
          </w:p>
        </w:tc>
      </w:tr>
      <w:tr>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Asset import</w:t>
            </w:r>
          </w:p>
        </w:tc>
        <w:tc>
          <w:tcPr>
            <w:tcW w:type="dxa" w:w="3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Upload of an .xlsx or .csv file with preview before application</w:t>
            </w:r>
          </w:p>
        </w:tc>
        <w:tc>
          <w:tcPr>
            <w:tcW w:type="dxa" w:w="3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Recorded in v1.0 as an assumption that data was available in an Excel file; it became a function within the system rather than an external process</w:t>
            </w:r>
          </w:p>
        </w:tc>
      </w:tr>
      <w:tr>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Personal profile</w:t>
            </w:r>
          </w:p>
        </w:tc>
        <w:tc>
          <w:tcPr>
            <w:tcW w:type="dxa" w:w="3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Viewing and editing own details and changing own password</w:t>
            </w:r>
          </w:p>
        </w:tc>
        <w:tc>
          <w:tcPr>
            <w:tcW w:type="dxa" w:w="35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The first release did not specify how a user changes their password, which is essential to any system requiring sign-in</w:t>
            </w:r>
          </w:p>
        </w:tc>
      </w:tr>
      <w:tr>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Excel export</w:t>
            </w:r>
          </w:p>
        </w:tc>
        <w:tc>
          <w:tcPr>
            <w:tcW w:type="dxa" w:w="3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Export of every listing and report as .xlsx and .csv</w:t>
            </w:r>
          </w:p>
        </w:tc>
        <w:tc>
          <w:tcPr>
            <w:tcW w:type="dxa" w:w="3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The requirement to issue management reports was stated without specifying the output format</w:t>
            </w:r>
          </w:p>
        </w:tc>
      </w:tr>
    </w:tbl>
    <w:p>
      <w:pPr>
        <w:pStyle w:val="Heading2"/>
        <w:spacing w:after="110" w:before="220"/>
      </w:pPr>
      <w:r>
        <w:rPr>
          <w:rFonts w:ascii="Arial" w:cs="Arial" w:eastAsia="Arial" w:hAnsi="Arial"/>
          <w:b/>
          <w:bCs/>
          <w:color w:val="0E6E5B"/>
          <w:sz w:val="23"/>
          <w:szCs w:val="23"/>
        </w:rPr>
        <w:t xml:space="preserve">2.4 Improvements to the Document Itself</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Improvement</w:t>
            </w:r>
          </w:p>
        </w:tc>
        <w:tc>
          <w:tcPr>
            <w:tcW w:type="dxa" w:w="64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Value</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An acceptance criterion for every requirement</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Makes "has this been implemented?" answerable yes or no rather than by personal judgement</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Documented business rules (12)</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Separates domain constraints from interface detail, so they remain valid whatever the technology</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Requirements traceability matrix</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Demonstrates that every requirement has an implementation and every component serves a declared requirement</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Separation of "out of scope" from "known limitations"</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Distinguishes what was deliberately excluded from what has not yet been done</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Unique numbering and logical grouping</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Allows precise reference in discussion and in testing</w:t>
            </w:r>
          </w:p>
        </w:tc>
      </w:tr>
    </w:tbl>
    <w:p>
      <w:r>
        <w:br w:type="page"/>
      </w:r>
    </w:p>
    <w:p>
      <w:pPr>
        <w:pStyle w:val="Heading1"/>
        <w:spacing w:after="150" w:before="300"/>
      </w:pPr>
      <w:r>
        <w:rPr>
          <w:rFonts w:ascii="Arial" w:cs="Arial" w:eastAsia="Arial" w:hAnsi="Arial"/>
          <w:b/>
          <w:bCs/>
          <w:color w:val="10222A"/>
          <w:sz w:val="28"/>
          <w:szCs w:val="28"/>
        </w:rPr>
        <w:t xml:space="preserve">3. Traceability of the Original Requirements</w:t>
      </w:r>
    </w:p>
    <w:p>
      <w:pPr>
        <w:spacing w:after="120" w:line="300"/>
        <w:jc w:val="both"/>
      </w:pPr>
      <w:r>
        <w:rPr>
          <w:rFonts w:ascii="Arial" w:cs="Arial" w:eastAsia="Arial" w:hAnsi="Arial"/>
          <w:b w:val="false"/>
          <w:bCs w:val="false"/>
          <w:sz w:val="21"/>
          <w:szCs w:val="21"/>
        </w:rPr>
        <w:t xml:space="preserve">This table records the disposition in version 2.0 of each of the thirteen requirements stated in version 1.0.</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300"/>
        <w:gridCol w:w="3400"/>
        <w:gridCol w:w="1500"/>
        <w:gridCol w:w="2826"/>
      </w:tblGrid>
      <w:tr>
        <w:trPr>
          <w:tblHeader/>
        </w:trPr>
        <w:tc>
          <w:tcPr>
            <w:tcW w:type="dxa" w:w="1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v1.0</w:t>
            </w:r>
          </w:p>
        </w:tc>
        <w:tc>
          <w:tcPr>
            <w:tcW w:type="dxa" w:w="3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Requirement</w:t>
            </w:r>
          </w:p>
        </w:tc>
        <w:tc>
          <w:tcPr>
            <w:tcW w:type="dxa" w:w="15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Status</w:t>
            </w:r>
          </w:p>
        </w:tc>
        <w:tc>
          <w:tcPr>
            <w:tcW w:type="dxa" w:w="28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Counterpart in v2.0</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FR-01</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Sign in</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FR-11, extended to session and personal account management</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FR-02</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View employee devices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FR-2A</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FR-03</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Add a device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FR-22</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FR-04</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Edit a device</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FR-23</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FR-05</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Delete a device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 with amendment</w:t>
            </w:r>
          </w:p>
        </w:tc>
        <w:tc>
          <w:tcPr>
            <w:tcW w:type="dxa" w:w="28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FR-25 and FR-26: deletion restricted to devices without history, with retirement added</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FR-06</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Create a maintenance request</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FR-31, with fault classification added as FR-32</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FR-07</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Track request status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FR-34 and FR-35, with a timeline added</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FR-08</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Claim and update a request</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FR-36</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FR-09</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Record maintenance and close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FR-37 and FR-38</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FR-10</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Complete maintenance history</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FR-43, with fault distribution added as FR-54</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FR-11</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Management reports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 and extended</w:t>
            </w:r>
          </w:p>
        </w:tc>
        <w:tc>
          <w:tcPr>
            <w:tcW w:type="dxa" w:w="28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FR-55 to FR-5C: seven specified reports with export</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FR-12</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Performance dashboard</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 in a different technology</w:t>
            </w:r>
          </w:p>
        </w:tc>
        <w:tc>
          <w:tcPr>
            <w:tcW w:type="dxa" w:w="28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FR-51 to FR-53, built into the system rather than in Power BI</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FR-13</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User management</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Implemented</w:t>
            </w:r>
          </w:p>
        </w:tc>
        <w:tc>
          <w:tcPr>
            <w:tcW w:type="dxa" w:w="2826"/>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FR-61 to FR-65</w:t>
            </w:r>
          </w:p>
        </w:tc>
      </w:tr>
    </w:tbl>
    <w:p>
      <w:pPr>
        <w:spacing w:after="20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No requirement from the first release was withdrawn, and none was deferred to a later phase. Every change was either an extension or an amendment to the means of implementation.</w:t>
      </w:r>
    </w:p>
    <w:p>
      <w:pPr>
        <w:pStyle w:val="Heading1"/>
        <w:spacing w:after="150" w:before="300"/>
      </w:pPr>
      <w:r>
        <w:rPr>
          <w:rFonts w:ascii="Arial" w:cs="Arial" w:eastAsia="Arial" w:hAnsi="Arial"/>
          <w:b/>
          <w:bCs/>
          <w:color w:val="10222A"/>
          <w:sz w:val="28"/>
          <w:szCs w:val="28"/>
        </w:rPr>
        <w:t xml:space="preserve">4. Lessons Learned</w:t>
      </w:r>
    </w:p>
    <w:p>
      <w:pPr>
        <w:spacing w:after="70" w:line="280"/>
        <w:ind w:start="300" w:hanging="230"/>
      </w:pPr>
      <w:r>
        <w:rPr>
          <w:rFonts w:ascii="Arial" w:cs="Arial" w:eastAsia="Arial" w:hAnsi="Arial"/>
          <w:b w:val="false"/>
          <w:bCs w:val="false"/>
          <w:sz w:val="21"/>
          <w:szCs w:val="21"/>
        </w:rPr>
        <w:t xml:space="preserve">•  What is not classified cannot be counted — the objective of measuring recurring faults was stated in the first release, but the data model did not support it. The gap lay not in the objectives but in their translation into fields</w:t>
      </w:r>
    </w:p>
    <w:p>
      <w:pPr>
        <w:spacing w:after="70" w:line="280"/>
        <w:ind w:start="300" w:hanging="230"/>
      </w:pPr>
      <w:r>
        <w:rPr>
          <w:rFonts w:ascii="Arial" w:cs="Arial" w:eastAsia="Arial" w:hAnsi="Arial"/>
          <w:b w:val="false"/>
          <w:bCs w:val="false"/>
          <w:sz w:val="21"/>
          <w:szCs w:val="21"/>
        </w:rPr>
        <w:t xml:space="preserve">•  A current state carries no history — measuring response time requires a separate event table, not a single status field</w:t>
      </w:r>
    </w:p>
    <w:p>
      <w:pPr>
        <w:spacing w:after="70" w:line="280"/>
        <w:ind w:start="300" w:hanging="230"/>
      </w:pPr>
      <w:r>
        <w:rPr>
          <w:rFonts w:ascii="Arial" w:cs="Arial" w:eastAsia="Arial" w:hAnsi="Arial"/>
          <w:b w:val="false"/>
          <w:bCs w:val="false"/>
          <w:sz w:val="21"/>
          <w:szCs w:val="21"/>
        </w:rPr>
        <w:t xml:space="preserve">•  Cascading deletion is dangerous in any system whose purpose is to preserve history — the constraint belongs in the database, not in the interface</w:t>
      </w:r>
    </w:p>
    <w:p>
      <w:pPr>
        <w:spacing w:after="70" w:line="280"/>
        <w:ind w:start="300" w:hanging="230"/>
      </w:pPr>
      <w:r>
        <w:rPr>
          <w:rFonts w:ascii="Arial" w:cs="Arial" w:eastAsia="Arial" w:hAnsi="Arial"/>
          <w:b w:val="false"/>
          <w:bCs w:val="false"/>
          <w:sz w:val="21"/>
          <w:szCs w:val="21"/>
        </w:rPr>
        <w:t xml:space="preserve">•  Doubtful assumptions should be recorded as they are made — the one-to-one relationship was doubted and noted in the first release, so amending it was a planned review rather than a surprise</w:t>
      </w:r>
    </w:p>
    <w:p>
      <w:pPr>
        <w:spacing w:after="70" w:line="280"/>
        <w:ind w:start="300" w:hanging="230"/>
      </w:pPr>
      <w:r>
        <w:rPr>
          <w:rFonts w:ascii="Arial" w:cs="Arial" w:eastAsia="Arial" w:hAnsi="Arial"/>
          <w:b w:val="false"/>
          <w:bCs w:val="false"/>
          <w:sz w:val="21"/>
          <w:szCs w:val="21"/>
        </w:rPr>
        <w:t xml:space="preserve">•  A time constraint is a legitimate design decision once declared — the technology change was documented with its cause rather than passed over in silence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2E0" w:sz="6" w:space="6"/>
      </w:pBdr>
      <w:spacing w:after="0"/>
      <w:jc w:val="left"/>
    </w:pPr>
    <w:r>
      <w:rPr>
        <w:rFonts w:ascii="Arial" w:cs="Arial" w:eastAsia="Arial" w:hAnsi="Arial"/>
        <w:color w:val="6B7B7A"/>
        <w:sz w:val="16"/>
        <w:szCs w:val="16"/>
      </w:rPr>
      <w:t xml:space="preserve">SAMMS — Requirements Change Log · Version 1.0 to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SAMMS — Requirements Change Log v1.0 to v2.0</dc:title>
  <dc:creator>Aryam</dc:creator>
  <dc:description>Record of changes between the two releases of the requirements specification</dc:description>
  <cp:lastModifiedBy>Un-named</cp:lastModifiedBy>
  <cp:revision>1</cp:revision>
  <dcterms:created xsi:type="dcterms:W3CDTF">2026-08-19T06:38:35.798Z</dcterms:created>
  <dcterms:modified xsi:type="dcterms:W3CDTF">2026-08-19T06:38:35.798Z</dcterms:modified>
</cp:coreProperties>
</file>

<file path=docProps/custom.xml><?xml version="1.0" encoding="utf-8"?>
<Properties xmlns="http://schemas.openxmlformats.org/officeDocument/2006/custom-properties" xmlns:vt="http://schemas.openxmlformats.org/officeDocument/2006/docPropsVTypes"/>
</file>