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Freight Rate Prediction Challenge - Technical Report</w:t>
      </w:r>
    </w:p>
    <w:p>
      <w:pPr>
        <w:pStyle w:val="Heading1"/>
      </w:pPr>
      <w:r>
        <w:t>1. Problem Framing</w:t>
      </w:r>
    </w:p>
    <w:p>
      <w:r>
        <w:t>Predict rates for 12,000 freight loads (Nov–Dec 2025) + 31-day December chart for fixed lane Lexington→Fort Wayne (360 mi, Dry Van, 32,000 lbs). Training: 48,000 loads (Jan–Oct 2025). The assessment does not specify an evaluation metric; we assume MAPE (industry standard for freight rates) and report MAE, RMSE, MedAPE, R².</w:t>
      </w:r>
    </w:p>
    <w:p>
      <w:pPr>
        <w:pStyle w:val="Heading1"/>
      </w:pPr>
      <w:r>
        <w:t>2. Data Overview &amp; EDA</w:t>
      </w:r>
    </w:p>
    <w:p>
      <w:r>
        <w:t>Train: 48k rows, Jan–Oct 2025. Val: 12k rows, Nov–Dec 2025. Dec chart: 31 rows, fixed lane.</w:t>
      </w:r>
    </w:p>
    <w:p>
      <w:pPr>
        <w:pStyle w:val="Heading2"/>
      </w:pPr>
      <w:r>
        <w:t>2.1 Key Findings</w:t>
      </w:r>
    </w:p>
    <w:p>
      <w:r>
        <w:rPr>
          <w:b/>
        </w:rPr>
        <w:t xml:space="preserve">Distance dominates: </w:t>
      </w:r>
      <w:r>
        <w:t>Corr 0.91 with rate. Rate ≈ distance × RPM + $270. Equipment RPM: Dry Van 2.12, Reefer 2.38, Flatbed 2.29 $/mi.</w:t>
      </w:r>
    </w:p>
    <w:p>
      <w:r>
        <w:rPr>
          <w:b/>
        </w:rPr>
        <w:t xml:space="preserve">Market Index is day-level: </w:t>
      </w:r>
      <w:r>
        <w:t>Within-day std ≈ 0.025. Daily MI + trend explains 59% daily RPM variance (R²=0.59). Row-level corr ~0.03.</w:t>
      </w:r>
    </w:p>
    <w:p>
      <w:r>
        <w:rPr>
          <w:b/>
        </w:rPr>
        <w:t xml:space="preserve">Seasonality: </w:t>
      </w:r>
      <w:r>
        <w:t>RPM 2.10 (Jan) → 2.33 (Jun) → 2.24 (Oct). No Nov/Dec history in training.</w:t>
      </w:r>
    </w:p>
    <w:p>
      <w:r>
        <w:rPr>
          <w:b/>
        </w:rPr>
        <w:t xml:space="preserve">Distribution shift: </w:t>
      </w:r>
      <w:r>
        <w:t>Val MI mean 0.93 vs Train 1.08 (14% cooler). QS range truncated (1.23–2.90 vs 0.69–3.61).</w:t>
      </w:r>
    </w:p>
    <w:p>
      <w:r>
        <w:rPr>
          <w:b/>
        </w:rPr>
        <w:t xml:space="preserve">Cold start: </w:t>
      </w:r>
      <w:r>
        <w:t>8 new cities, 17.5% unseen lanes. Geo features + smoothed OOF encodings handle this.</w:t>
      </w:r>
    </w:p>
    <w:p>
      <w:r>
        <w:rPr>
          <w:b/>
        </w:rPr>
        <w:t xml:space="preserve">Heavy tail: </w:t>
      </w:r>
      <w:r>
        <w:t>Rate $57–$25,533; mean $2,374. MAPE-appropriate; log(rate) target used.</w:t>
      </w:r>
    </w:p>
    <w:p>
      <w:r>
        <w:rPr>
          <w:b/>
        </w:rPr>
        <w:t xml:space="preserve">December chart lane: </w:t>
      </w:r>
      <w:r>
        <w:t>Lex&gt;FW: 32 rows, RPM 2.0–2.5, $758–$974. No Dec history → extrapolation.</w:t>
      </w:r>
    </w:p>
    <w:p>
      <w:pPr>
        <w:pStyle w:val="Heading1"/>
      </w:pPr>
      <w:r>
        <w:t>3. Validation Strategy</w:t>
      </w:r>
    </w:p>
    <w:p>
      <w:r>
        <w:t>Strict temporal split. Expanding-window CV: Jan–Jun|Jul, Jan–Jul|Aug, Jan–Aug|Sep, Jan–Sep|Oct (4 folds). OOF encodings, 5-fold, smoothing=10. No leakage verified programmatically (max train date &lt; min val date per fold). Mirrors production retrain-each-month.</w:t>
      </w:r>
    </w:p>
    <w:p>
      <w:pPr>
        <w:pStyle w:val="Heading2"/>
      </w:pPr>
      <w:r>
        <w:t>3.1 Distribution Shift Stress Test</w:t>
      </w:r>
    </w:p>
    <w:p>
      <w:r>
        <w:t>Val MI range (0.72–1.10) is inside train range (0.68–1.47). Stress test: train on warmest months (Apr–Jun, MI~1.2–1.3), score on coolest (Jan/Sep/Oct, MI~0.89–0.96): MAPE 10.1% (vs 6.1% normal CV). Model extrapolates reasonably but over-predicts ~5.6% on cooler market.</w:t>
      </w:r>
    </w:p>
    <w:p>
      <w:pPr>
        <w:pStyle w:val="Heading1"/>
      </w:pPr>
      <w:r>
        <w:t>4. Feature Engineering</w:t>
      </w:r>
    </w:p>
    <w:p>
      <w:r>
        <w:t>Distance: distance, haversine, road_ratio. Geo: pickup/delivery, lane, region. Equipment. Weight: abs(weight), clip≥1000, is_short_distance (&lt;150 mi). Temporal: month, dow, cyclical sin/cos. Market: daily MI/QS from val (inputs, no leakage). Holiday: days_to_christmas/thanksgiving/new_year (dampened for short dist). OOF target encodings (5-fold, smoothing=10). Frequency encodings. Lane/city stats (train only). Target: log(rate).</w:t>
      </w:r>
    </w:p>
    <w:p>
      <w:pPr>
        <w:pStyle w:val="Heading1"/>
      </w:pPr>
      <w:r>
        <w:t>5. Models &amp; Results</w:t>
      </w:r>
    </w:p>
    <w:p>
      <w:pPr>
        <w:pStyle w:val="Heading2"/>
      </w:pPr>
      <w:r>
        <w:t>5.1 CV Results (mean ± std, 4 folds)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MAPE (%)</w:t>
            </w:r>
          </w:p>
        </w:tc>
        <w:tc>
          <w:tcPr>
            <w:tcW w:type="dxa" w:w="1440"/>
          </w:tcPr>
          <w:p>
            <w:r>
              <w:t>MAE ($)</w:t>
            </w:r>
          </w:p>
        </w:tc>
        <w:tc>
          <w:tcPr>
            <w:tcW w:type="dxa" w:w="1440"/>
          </w:tcPr>
          <w:p>
            <w:r>
              <w:t>RMSE ($)</w:t>
            </w:r>
          </w:p>
        </w:tc>
        <w:tc>
          <w:tcPr>
            <w:tcW w:type="dxa" w:w="1440"/>
          </w:tcPr>
          <w:p>
            <w:r>
              <w:t>MedAPE (%)</w:t>
            </w:r>
          </w:p>
        </w:tc>
        <w:tc>
          <w:tcPr>
            <w:tcW w:type="dxa" w:w="1440"/>
          </w:tcPr>
          <w:p>
            <w:r>
              <w:t>R²</w:t>
            </w:r>
          </w:p>
        </w:tc>
      </w:tr>
      <w:tr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6.06 ± 0.47</w:t>
            </w:r>
          </w:p>
        </w:tc>
        <w:tc>
          <w:tcPr>
            <w:tcW w:type="dxa" w:w="1440"/>
          </w:tcPr>
          <w:p>
            <w:r>
              <w:t>137 ± 7</w:t>
            </w:r>
          </w:p>
        </w:tc>
        <w:tc>
          <w:tcPr>
            <w:tcW w:type="dxa" w:w="1440"/>
          </w:tcPr>
          <w:p>
            <w:r>
              <w:t>636 ± 11</w:t>
            </w:r>
          </w:p>
        </w:tc>
        <w:tc>
          <w:tcPr>
            <w:tcW w:type="dxa" w:w="1440"/>
          </w:tcPr>
          <w:p>
            <w:r>
              <w:t>2.99 ± 0.41</w:t>
            </w:r>
          </w:p>
        </w:tc>
        <w:tc>
          <w:tcPr>
            <w:tcW w:type="dxa" w:w="1440"/>
          </w:tcPr>
          <w:p>
            <w:r>
              <w:t>0.822 ± 0.006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6.37 ± 0.47</w:t>
            </w:r>
          </w:p>
        </w:tc>
        <w:tc>
          <w:tcPr>
            <w:tcW w:type="dxa" w:w="1440"/>
          </w:tcPr>
          <w:p>
            <w:r>
              <w:t>144 ± 9</w:t>
            </w:r>
          </w:p>
        </w:tc>
        <w:tc>
          <w:tcPr>
            <w:tcW w:type="dxa" w:w="1440"/>
          </w:tcPr>
          <w:p>
            <w:r>
              <w:t>639 ± 13</w:t>
            </w:r>
          </w:p>
        </w:tc>
        <w:tc>
          <w:tcPr>
            <w:tcW w:type="dxa" w:w="1440"/>
          </w:tcPr>
          <w:p>
            <w:r>
              <w:t>3.17 ± 0.30</w:t>
            </w:r>
          </w:p>
        </w:tc>
        <w:tc>
          <w:tcPr>
            <w:tcW w:type="dxa" w:w="1440"/>
          </w:tcPr>
          <w:p>
            <w:r>
              <w:t>0.820 ± 0.007</w:t>
            </w:r>
          </w:p>
        </w:tc>
      </w:tr>
      <w:tr>
        <w:tc>
          <w:tcPr>
            <w:tcW w:type="dxa" w:w="1440"/>
          </w:tcPr>
          <w:p>
            <w:r>
              <w:t>Ridge (numeric)</w:t>
            </w:r>
          </w:p>
        </w:tc>
        <w:tc>
          <w:tcPr>
            <w:tcW w:type="dxa" w:w="1440"/>
          </w:tcPr>
          <w:p>
            <w:r>
              <w:t>19.7 ± 0.9</w:t>
            </w:r>
          </w:p>
        </w:tc>
        <w:tc>
          <w:tcPr>
            <w:tcW w:type="dxa" w:w="1440"/>
          </w:tcPr>
          <w:p>
            <w:r>
              <w:t>434 ± 15</w:t>
            </w:r>
          </w:p>
        </w:tc>
        <w:tc>
          <w:tcPr>
            <w:tcW w:type="dxa" w:w="1440"/>
          </w:tcPr>
          <w:p>
            <w:r>
              <w:t>942 ± 53</w:t>
            </w:r>
          </w:p>
        </w:tc>
        <w:tc>
          <w:tcPr>
            <w:tcW w:type="dxa" w:w="1440"/>
          </w:tcPr>
          <w:p>
            <w:r>
              <w:t>12.2 ± 2.4</w:t>
            </w:r>
          </w:p>
        </w:tc>
        <w:tc>
          <w:tcPr>
            <w:tcW w:type="dxa" w:w="1440"/>
          </w:tcPr>
          <w:p>
            <w:r>
              <w:t>0.609 ± 0.046</w:t>
            </w:r>
          </w:p>
        </w:tc>
      </w:tr>
      <w:tr>
        <w:tc>
          <w:tcPr>
            <w:tcW w:type="dxa" w:w="1440"/>
          </w:tcPr>
          <w:p>
            <w:r>
              <w:t>Ensemble (inv MAPE)</w:t>
            </w:r>
          </w:p>
        </w:tc>
        <w:tc>
          <w:tcPr>
            <w:tcW w:type="dxa" w:w="1440"/>
          </w:tcPr>
          <w:p>
            <w:r>
              <w:t>6.86 ± 0.48</w:t>
            </w:r>
          </w:p>
        </w:tc>
        <w:tc>
          <w:tcPr>
            <w:tcW w:type="dxa" w:w="1440"/>
          </w:tcPr>
          <w:p>
            <w:r>
              <w:t>149 ± 13</w:t>
            </w:r>
          </w:p>
        </w:tc>
        <w:tc>
          <w:tcPr>
            <w:tcW w:type="dxa" w:w="1440"/>
          </w:tcPr>
          <w:p>
            <w:r>
              <w:t>640 ± 13</w:t>
            </w:r>
          </w:p>
        </w:tc>
        <w:tc>
          <w:tcPr>
            <w:tcW w:type="dxa" w:w="1440"/>
          </w:tcPr>
          <w:p>
            <w:r>
              <w:t>3.60 ± 0.30</w:t>
            </w:r>
          </w:p>
        </w:tc>
        <w:tc>
          <w:tcPr>
            <w:tcW w:type="dxa" w:w="1440"/>
          </w:tcPr>
          <w:p>
            <w:r>
              <w:t>0.820 ± 0.007</w:t>
            </w:r>
          </w:p>
        </w:tc>
      </w:tr>
    </w:tbl>
    <w:p/>
    <w:p>
      <w:r>
        <w:t>LightGBM best single-model MAPE (6.06%). Ensemble (6.86%) worse → final: LightGBM only (weight 1.0). Multi-seed averaging (5 seeds: 42, 123, 456, 789, 999).</w:t>
      </w:r>
    </w:p>
    <w:p>
      <w:pPr>
        <w:pStyle w:val="Heading2"/>
      </w:pPr>
      <w:r>
        <w:t>5.2 Final Model Configuration</w:t>
      </w:r>
    </w:p>
    <w:p>
      <w:pPr>
        <w:pStyle w:val="ListBullet"/>
      </w:pPr>
      <w:r>
        <w:t>objective=regression, metric=mape, target=log(rate)</w:t>
      </w:r>
    </w:p>
    <w:p>
      <w:pPr>
        <w:pStyle w:val="ListBullet"/>
      </w:pPr>
      <w:r>
        <w:t>learning_rate=0.03, num_leaves=255, min_child_samples=50</w:t>
      </w:r>
    </w:p>
    <w:p>
      <w:pPr>
        <w:pStyle w:val="ListBullet"/>
      </w:pPr>
      <w:r>
        <w:t>subsample=0.8, colsample_bytree=0.8, reg_alpha=0.1, reg_lambda=0.1</w:t>
      </w:r>
    </w:p>
    <w:p>
      <w:pPr>
        <w:pStyle w:val="ListBullet"/>
      </w:pPr>
      <w:r>
        <w:t>random_state=seed, force_col_wise=True, early_stopping(200)</w:t>
      </w:r>
    </w:p>
    <w:p>
      <w:pPr>
        <w:pStyle w:val="Heading1"/>
      </w:pPr>
      <w:r>
        <w:t>6. Error Analysis</w:t>
      </w:r>
    </w:p>
    <w:p>
      <w:r>
        <w:t>• MAPE by month: lowest Sep (5.5%), highest Jul (6.8%)</w:t>
      </w:r>
    </w:p>
    <w:p>
      <w:r>
        <w:t>• Unseen lanes (17.5%): error within 10% of seen lanes</w:t>
      </w:r>
    </w:p>
    <w:p>
      <w:r>
        <w:t>• Short dist (&lt;150 mi): no negative preds (log target), 0.07% val</w:t>
      </w:r>
    </w:p>
    <w:p>
      <w:r>
        <w:t>• Top SHAP: distance, market_index, haversine, month_sin, equipment</w:t>
      </w:r>
    </w:p>
    <w:p>
      <w:pPr>
        <w:pStyle w:val="Heading1"/>
      </w:pPr>
      <w:r>
        <w:t>7. December Chart</w:t>
      </w:r>
    </w:p>
    <w:p>
      <w:r>
        <w:t>Predicted Dec: $735–$859 (mean $795) vs historical $758–$974 (mean $857). Captures DOW pattern. No Dec history → extrapolation. Consistent with cooler market (MI ~0.93 vs 1.08). Smooth curve.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Candidate December 2025 Predicted Load Rate (from score.py)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embe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Historical Lex&gt;FW (Jan–Oct) vs Predicted December</w:t>
      </w:r>
    </w:p>
    <w:p>
      <w:pPr>
        <w:pStyle w:val="Heading2"/>
      </w:pPr>
      <w:r>
        <w:t>7.1 Missing Coordinates Handling</w:t>
      </w:r>
    </w:p>
    <w:p>
      <w:r>
        <w:t>Dec chart lacks lat/lon. Look up from training (each city has consistent coords). Lexington/Fort Wayne in training → exact recovery. Static features, no leakage.</w:t>
      </w:r>
    </w:p>
    <w:p>
      <w:pPr>
        <w:pStyle w:val="Heading2"/>
      </w:pPr>
      <w:r>
        <w:t>7.2 Jaggedness Fix</w:t>
      </w:r>
    </w:p>
    <w:p>
      <w:r>
        <w:t>Initial spike Dec 17 (~$1,085), $100+ swings. Cause: day_of_year (train 1–304) and week (1–44) used, but Dec has 335–365 and 49–52 — pure extrapolation. Fix: replaced with dow + holiday-distance features. Reg: num_leaves=255, min_child_samples=50, subsample=0.8. 5-seed avg. Result: smooth $735–$859.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No Dec history: extrapolation</w:t>
      </w:r>
    </w:p>
    <w:p>
      <w:pPr>
        <w:pStyle w:val="ListBullet"/>
      </w:pPr>
      <w:r>
        <w:t>MI shift 0.93 vs 1.08: non-linearity possible</w:t>
      </w:r>
    </w:p>
    <w:p>
      <w:pPr>
        <w:pStyle w:val="ListBullet"/>
      </w:pPr>
      <w:r>
        <w:t>LightGBM only vs ensemble: ensemble may be more robust</w:t>
      </w:r>
    </w:p>
    <w:p>
      <w:pPr>
        <w:pStyle w:val="ListBullet"/>
      </w:pPr>
      <w:r>
        <w:t>Feature store not productionized</w:t>
      </w:r>
    </w:p>
    <w:p>
      <w:pPr>
        <w:pStyle w:val="ListBullet"/>
      </w:pPr>
      <w:r>
        <w:t>Limited HPO</w:t>
      </w:r>
    </w:p>
    <w:p>
      <w:pPr>
        <w:pStyle w:val="ListBullet"/>
      </w:pPr>
      <w:r>
        <w:t>Weight sign-fix assumption (negative = typos)</w:t>
      </w:r>
    </w:p>
    <w:p>
      <w:pPr>
        <w:pStyle w:val="Heading1"/>
      </w:pPr>
      <w:r>
        <w:t>9. Next Steps</w:t>
      </w:r>
    </w:p>
    <w:p>
      <w:pPr>
        <w:pStyle w:val="ListBullet"/>
      </w:pPr>
      <w:r>
        <w:t>Collect Nov/Dec data</w:t>
      </w:r>
    </w:p>
    <w:p>
      <w:pPr>
        <w:pStyle w:val="ListBullet"/>
      </w:pPr>
      <w:r>
        <w:t>Optuna tuning</w:t>
      </w:r>
    </w:p>
    <w:p>
      <w:pPr>
        <w:pStyle w:val="ListBullet"/>
      </w:pPr>
      <w:r>
        <w:t>Add fuel/weather/holiday</w:t>
      </w:r>
    </w:p>
    <w:p>
      <w:pPr>
        <w:pStyle w:val="ListBullet"/>
      </w:pPr>
      <w:r>
        <w:t>Feature store</w:t>
      </w:r>
    </w:p>
    <w:p>
      <w:pPr>
        <w:pStyle w:val="ListBullet"/>
      </w:pPr>
      <w:r>
        <w:t>Quantile regression</w:t>
      </w:r>
    </w:p>
    <w:p>
      <w:pPr>
        <w:pStyle w:val="ListBullet"/>
      </w:pPr>
      <w:r>
        <w:t>A/B test ensemble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