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left w:val="none"/>
          <w:bottom w:val="none"/>
          <w:right w:val="none"/>
          <w:insideH w:val="single" w:color="auto" w:sz="4"/>
          <w:insideV w:val="single" w:color="auto" w:sz="4"/>
        </w:tblBorders>
      </w:tblPr>
      <w:tblGrid>
        <w:gridCol w:w="10800"/>
      </w:tblGrid>
      <w:tr>
        <w:tc>
          <w:tcPr>
            <w:tcW w:type="dxa" w:w="10800"/>
            <w:shd w:fill="C9A227" w:val="clear"/>
            <w:tcMar>
              <w:top w:type="dxa" w:w="0"/>
              <w:left w:type="dxa" w:w="0"/>
              <w:bottom w:type="dxa" w:w="0"/>
              <w:right w:type="dxa" w:w="0"/>
            </w:tcMar>
          </w:tcPr>
          <w:p>
            <w:pPr>
              <w:spacing w:after="0" w:before="80"/>
            </w:pPr>
          </w:p>
        </w:tc>
      </w:tr>
    </w:tbl>
    <w:p>
      <w:pPr>
        <w:spacing w:after="0" w:before="600"/>
      </w:pPr>
    </w:p>
    <w:p>
      <w:pPr>
        <w:spacing w:after="100" w:before="0"/>
        <w:jc w:val="center"/>
      </w:pPr>
      <w:r>
        <w:rPr>
          <w:rFonts w:ascii="Calibri" w:cs="Calibri" w:eastAsia="Calibri" w:hAnsi="Calibri"/>
          <w:b/>
          <w:bCs/>
          <w:color w:val="C9A227"/>
          <w:sz w:val="18"/>
          <w:szCs w:val="18"/>
        </w:rPr>
        <w:t xml:space="preserve">B U S I N E S S   A N A L Y T I C S   P R O J E C T</w:t>
      </w:r>
    </w:p>
    <w:p>
      <w:pPr>
        <w:spacing w:after="300" w:before="0"/>
        <w:jc w:val="center"/>
      </w:pPr>
      <w:r>
        <w:rPr>
          <w:rFonts w:ascii="Calibri" w:cs="Calibri" w:eastAsia="Calibri" w:hAnsi="Calibri"/>
          <w:color w:val="E8C547"/>
          <w:sz w:val="20"/>
          <w:szCs w:val="20"/>
        </w:rPr>
        <w:t xml:space="preserve">────────────────────────────────</w:t>
      </w:r>
    </w:p>
    <w:p>
      <w:pPr>
        <w:spacing w:after="60" w:before="0"/>
        <w:jc w:val="center"/>
      </w:pPr>
      <w:r>
        <w:rPr>
          <w:rFonts w:ascii="Calibri" w:cs="Calibri" w:eastAsia="Calibri" w:hAnsi="Calibri"/>
          <w:b/>
          <w:bCs/>
          <w:color w:val="FFFFFF"/>
          <w:sz w:val="88"/>
          <w:szCs w:val="88"/>
        </w:rPr>
        <w:t xml:space="preserve">Sales &amp; Inventory</w:t>
      </w:r>
    </w:p>
    <w:p>
      <w:pPr>
        <w:spacing w:after="200" w:before="0"/>
        <w:jc w:val="center"/>
      </w:pPr>
      <w:r>
        <w:rPr>
          <w:rFonts w:ascii="Calibri" w:cs="Calibri" w:eastAsia="Calibri" w:hAnsi="Calibri"/>
          <w:b/>
          <w:bCs/>
          <w:color w:val="FFFFFF"/>
          <w:sz w:val="88"/>
          <w:szCs w:val="88"/>
        </w:rPr>
        <w:t xml:space="preserve">Analytics Report</w:t>
      </w:r>
    </w:p>
    <w:p>
      <w:pPr>
        <w:spacing w:after="300" w:before="0"/>
        <w:jc w:val="center"/>
      </w:pPr>
      <w:r>
        <w:rPr>
          <w:rFonts w:ascii="Calibri" w:cs="Calibri" w:eastAsia="Calibri" w:hAnsi="Calibri"/>
          <w:color w:val="C9A227"/>
          <w:sz w:val="24"/>
          <w:szCs w:val="24"/>
        </w:rPr>
        <w:t xml:space="preserve">▬▬▬▬▬▬▬▬▬▬▬▬▬▬▬▬▬▬▬</w:t>
      </w:r>
    </w:p>
    <w:p>
      <w:pPr>
        <w:spacing w:after="800" w:before="0"/>
        <w:jc w:val="center"/>
      </w:pPr>
      <w:r>
        <w:rPr>
          <w:rFonts w:ascii="Calibri" w:cs="Calibri" w:eastAsia="Calibri" w:hAnsi="Calibri"/>
          <w:color w:val="8EAFC2"/>
          <w:sz w:val="26"/>
          <w:szCs w:val="26"/>
        </w:rPr>
        <w:t xml:space="preserve">Superstore Dataset  ·  Excel  ·  SQL  ·  Power BI</w:t>
      </w:r>
    </w:p>
    <w:tbl>
      <w:tblPr>
        <w:tblW w:type="dxa" w:w="10800"/>
        <w:tblBorders>
          <w:top w:val="none"/>
          <w:left w:val="none"/>
          <w:bottom w:val="none"/>
          <w:right w:val="none"/>
          <w:insideH w:val="single" w:color="auto" w:sz="4"/>
          <w:insideV w:val="single" w:color="auto" w:sz="4"/>
        </w:tblBorders>
      </w:tblPr>
      <w:tblGrid>
        <w:gridCol w:w="2700"/>
        <w:gridCol w:w="2700"/>
        <w:gridCol w:w="2700"/>
        <w:gridCol w:w="2700"/>
      </w:tblGrid>
      <w:tr>
        <w:tc>
          <w:tcPr>
            <w:tcW w:type="dxa" w:w="2700"/>
            <w:tcBorders>
              <w:top w:val="single" w:color="C9A227" w:sz="6"/>
              <w:left w:val="none"/>
              <w:bottom w:val="none"/>
              <w:right w:val="none"/>
            </w:tcBorders>
            <w:shd w:fill="1B2A4A" w:val="clear"/>
            <w:tcMar>
              <w:top w:type="dxa" w:w="120"/>
              <w:left w:type="dxa" w:w="80"/>
              <w:bottom w:type="dxa" w:w="120"/>
              <w:right w:type="dxa" w:w="80"/>
            </w:tcMar>
          </w:tcPr>
          <w:p>
            <w:pPr>
              <w:jc w:val="center"/>
            </w:pPr>
            <w:r>
              <w:rPr>
                <w:rFonts w:ascii="Calibri" w:cs="Calibri" w:eastAsia="Calibri" w:hAnsi="Calibri"/>
                <w:color w:val="C9A227"/>
                <w:sz w:val="28"/>
                <w:szCs w:val="28"/>
              </w:rPr>
              <w:t xml:space="preserve">📊</w:t>
            </w:r>
          </w:p>
          <w:p>
            <w:pPr>
              <w:jc w:val="center"/>
            </w:pPr>
            <w:r>
              <w:rPr>
                <w:rFonts w:ascii="Calibri" w:cs="Calibri" w:eastAsia="Calibri" w:hAnsi="Calibri"/>
                <w:b/>
                <w:bCs/>
                <w:color w:val="FFFFFF"/>
                <w:sz w:val="20"/>
                <w:szCs w:val="20"/>
              </w:rPr>
              <w:t xml:space="preserve">Microsoft Excel</w:t>
            </w:r>
          </w:p>
          <w:p>
            <w:pPr>
              <w:jc w:val="center"/>
            </w:pPr>
            <w:r>
              <w:rPr>
                <w:rFonts w:ascii="Calibri" w:cs="Calibri" w:eastAsia="Calibri" w:hAnsi="Calibri"/>
                <w:color w:val="8EAFC2"/>
                <w:sz w:val="17"/>
                <w:szCs w:val="17"/>
              </w:rPr>
              <w:t xml:space="preserve">Pivot Tables &amp; Analysis</w:t>
            </w:r>
          </w:p>
        </w:tc>
        <w:tc>
          <w:tcPr>
            <w:tcW w:type="dxa" w:w="2700"/>
            <w:tcBorders>
              <w:top w:val="single" w:color="C9A227" w:sz="6"/>
              <w:left w:val="none"/>
              <w:bottom w:val="none"/>
              <w:right w:val="none"/>
            </w:tcBorders>
            <w:shd w:fill="1B2A4A" w:val="clear"/>
            <w:tcMar>
              <w:top w:type="dxa" w:w="120"/>
              <w:left w:type="dxa" w:w="80"/>
              <w:bottom w:type="dxa" w:w="120"/>
              <w:right w:type="dxa" w:w="80"/>
            </w:tcMar>
          </w:tcPr>
          <w:p>
            <w:pPr>
              <w:jc w:val="center"/>
            </w:pPr>
            <w:r>
              <w:rPr>
                <w:rFonts w:ascii="Calibri" w:cs="Calibri" w:eastAsia="Calibri" w:hAnsi="Calibri"/>
                <w:color w:val="C9A227"/>
                <w:sz w:val="28"/>
                <w:szCs w:val="28"/>
              </w:rPr>
              <w:t xml:space="preserve">🗄</w:t>
            </w:r>
          </w:p>
          <w:p>
            <w:pPr>
              <w:jc w:val="center"/>
            </w:pPr>
            <w:r>
              <w:rPr>
                <w:rFonts w:ascii="Calibri" w:cs="Calibri" w:eastAsia="Calibri" w:hAnsi="Calibri"/>
                <w:b/>
                <w:bCs/>
                <w:color w:val="FFFFFF"/>
                <w:sz w:val="20"/>
                <w:szCs w:val="20"/>
              </w:rPr>
              <w:t xml:space="preserve">SQLite</w:t>
            </w:r>
          </w:p>
          <w:p>
            <w:pPr>
              <w:jc w:val="center"/>
            </w:pPr>
            <w:r>
              <w:rPr>
                <w:rFonts w:ascii="Calibri" w:cs="Calibri" w:eastAsia="Calibri" w:hAnsi="Calibri"/>
                <w:color w:val="8EAFC2"/>
                <w:sz w:val="17"/>
                <w:szCs w:val="17"/>
              </w:rPr>
              <w:t xml:space="preserve">5 SQL Queries</w:t>
            </w:r>
          </w:p>
        </w:tc>
        <w:tc>
          <w:tcPr>
            <w:tcW w:type="dxa" w:w="2700"/>
            <w:tcBorders>
              <w:top w:val="single" w:color="C9A227" w:sz="6"/>
              <w:left w:val="none"/>
              <w:bottom w:val="none"/>
              <w:right w:val="none"/>
            </w:tcBorders>
            <w:shd w:fill="1B2A4A" w:val="clear"/>
            <w:tcMar>
              <w:top w:type="dxa" w:w="120"/>
              <w:left w:type="dxa" w:w="80"/>
              <w:bottom w:type="dxa" w:w="120"/>
              <w:right w:type="dxa" w:w="80"/>
            </w:tcMar>
          </w:tcPr>
          <w:p>
            <w:pPr>
              <w:jc w:val="center"/>
            </w:pPr>
            <w:r>
              <w:rPr>
                <w:rFonts w:ascii="Calibri" w:cs="Calibri" w:eastAsia="Calibri" w:hAnsi="Calibri"/>
                <w:color w:val="C9A227"/>
                <w:sz w:val="28"/>
                <w:szCs w:val="28"/>
              </w:rPr>
              <w:t xml:space="preserve">📈</w:t>
            </w:r>
          </w:p>
          <w:p>
            <w:pPr>
              <w:jc w:val="center"/>
            </w:pPr>
            <w:r>
              <w:rPr>
                <w:rFonts w:ascii="Calibri" w:cs="Calibri" w:eastAsia="Calibri" w:hAnsi="Calibri"/>
                <w:b/>
                <w:bCs/>
                <w:color w:val="FFFFFF"/>
                <w:sz w:val="20"/>
                <w:szCs w:val="20"/>
              </w:rPr>
              <w:t xml:space="preserve">Power BI</w:t>
            </w:r>
          </w:p>
          <w:p>
            <w:pPr>
              <w:jc w:val="center"/>
            </w:pPr>
            <w:r>
              <w:rPr>
                <w:rFonts w:ascii="Calibri" w:cs="Calibri" w:eastAsia="Calibri" w:hAnsi="Calibri"/>
                <w:color w:val="8EAFC2"/>
                <w:sz w:val="17"/>
                <w:szCs w:val="17"/>
              </w:rPr>
              <w:t xml:space="preserve">Interactive Dashboard</w:t>
            </w:r>
          </w:p>
        </w:tc>
        <w:tc>
          <w:tcPr>
            <w:tcW w:type="dxa" w:w="2700"/>
            <w:tcBorders>
              <w:top w:val="single" w:color="C9A227" w:sz="6"/>
              <w:left w:val="none"/>
              <w:bottom w:val="none"/>
              <w:right w:val="none"/>
            </w:tcBorders>
            <w:shd w:fill="1B2A4A" w:val="clear"/>
            <w:tcMar>
              <w:top w:type="dxa" w:w="120"/>
              <w:left w:type="dxa" w:w="80"/>
              <w:bottom w:type="dxa" w:w="120"/>
              <w:right w:type="dxa" w:w="80"/>
            </w:tcMar>
          </w:tcPr>
          <w:p>
            <w:pPr>
              <w:jc w:val="center"/>
            </w:pPr>
            <w:r>
              <w:rPr>
                <w:rFonts w:ascii="Calibri" w:cs="Calibri" w:eastAsia="Calibri" w:hAnsi="Calibri"/>
                <w:color w:val="C9A227"/>
                <w:sz w:val="28"/>
                <w:szCs w:val="28"/>
              </w:rPr>
              <w:t xml:space="preserve">💼</w:t>
            </w:r>
          </w:p>
          <w:p>
            <w:pPr>
              <w:jc w:val="center"/>
            </w:pPr>
            <w:r>
              <w:rPr>
                <w:rFonts w:ascii="Calibri" w:cs="Calibri" w:eastAsia="Calibri" w:hAnsi="Calibri"/>
                <w:b/>
                <w:bCs/>
                <w:color w:val="FFFFFF"/>
                <w:sz w:val="20"/>
                <w:szCs w:val="20"/>
              </w:rPr>
              <w:t xml:space="preserve">GitHub</w:t>
            </w:r>
          </w:p>
          <w:p>
            <w:pPr>
              <w:jc w:val="center"/>
            </w:pPr>
            <w:r>
              <w:rPr>
                <w:rFonts w:ascii="Calibri" w:cs="Calibri" w:eastAsia="Calibri" w:hAnsi="Calibri"/>
                <w:color w:val="8EAFC2"/>
                <w:sz w:val="17"/>
                <w:szCs w:val="17"/>
              </w:rPr>
              <w:t xml:space="preserve">Portfolio Repository</w:t>
            </w:r>
          </w:p>
        </w:tc>
      </w:tr>
    </w:tbl>
    <w:p>
      <w:pPr>
        <w:spacing w:after="0" w:before="600"/>
      </w:pPr>
    </w:p>
    <w:p>
      <w:pPr>
        <w:spacing w:after="80" w:before="0"/>
        <w:jc w:val="center"/>
      </w:pPr>
      <w:r>
        <w:rPr>
          <w:rFonts w:ascii="Calibri" w:cs="Calibri" w:eastAsia="Calibri" w:hAnsi="Calibri"/>
          <w:color w:val="8EAFC2"/>
          <w:sz w:val="20"/>
          <w:szCs w:val="20"/>
        </w:rPr>
        <w:t xml:space="preserve">Prepared by</w:t>
      </w:r>
    </w:p>
    <w:p>
      <w:pPr>
        <w:spacing w:after="80" w:before="0"/>
        <w:jc w:val="center"/>
      </w:pPr>
      <w:r>
        <w:rPr>
          <w:rFonts w:ascii="Calibri" w:cs="Calibri" w:eastAsia="Calibri" w:hAnsi="Calibri"/>
          <w:b/>
          <w:bCs/>
          <w:color w:val="FFFFFF"/>
          <w:sz w:val="36"/>
          <w:szCs w:val="36"/>
        </w:rPr>
        <w:t xml:space="preserve">Aryaman Verma</w:t>
      </w:r>
    </w:p>
    <w:p>
      <w:pPr>
        <w:spacing w:after="0" w:before="0"/>
        <w:jc w:val="center"/>
      </w:pPr>
      <w:r>
        <w:rPr>
          <w:rFonts w:ascii="Calibri" w:cs="Calibri" w:eastAsia="Calibri" w:hAnsi="Calibri"/>
          <w:color w:val="8EAFC2"/>
          <w:sz w:val="20"/>
          <w:szCs w:val="20"/>
        </w:rPr>
        <w:t xml:space="preserve">July 2026</w:t>
      </w:r>
    </w:p>
    <w:p>
      <w:pPr>
        <w:spacing w:after="0" w:before="600"/>
      </w:pPr>
    </w:p>
    <w:tbl>
      <w:tblPr>
        <w:tblW w:type="dxa" w:w="10800"/>
        <w:tblBorders>
          <w:top w:val="none"/>
          <w:left w:val="none"/>
          <w:bottom w:val="none"/>
          <w:right w:val="none"/>
          <w:insideH w:val="single" w:color="auto" w:sz="4"/>
          <w:insideV w:val="single" w:color="auto" w:sz="4"/>
        </w:tblBorders>
      </w:tblPr>
      <w:tblGrid>
        <w:gridCol w:w="10800"/>
      </w:tblGrid>
      <w:tr>
        <w:tc>
          <w:tcPr>
            <w:tcW w:type="dxa" w:w="10800"/>
            <w:shd w:fill="C9A227" w:val="clear"/>
            <w:tcMar>
              <w:top w:type="dxa" w:w="0"/>
              <w:left w:type="dxa" w:w="0"/>
              <w:bottom w:type="dxa" w:w="0"/>
              <w:right w:type="dxa" w:w="0"/>
            </w:tcMar>
          </w:tcPr>
          <w:p>
            <w:pPr>
              <w:spacing w:after="0" w:before="80"/>
            </w:pPr>
          </w:p>
        </w:tc>
      </w:tr>
    </w:tbl>
    <w:p>
      <w:r>
        <w:br w:type="page"/>
      </w:r>
    </w:p>
    <w:p>
      <w:pPr>
        <w:sectPr>
          <w:pgSz w:w="12240" w:h="15840" w:orient="portrait"/>
          <w:pgMar w:top="0" w:right="720" w:bottom="0" w:left="720" w:header="708" w:footer="708" w:gutter="0"/>
          <w:pgNumType/>
          <w:docGrid w:linePitch="360"/>
        </w:sectPr>
      </w:pPr>
    </w:p>
    <w:p>
      <w:pPr>
        <w:pBdr>
          <w:bottom w:val="single" w:color="C9A227" w:sz="6"/>
        </w:pBdr>
        <w:spacing w:after="200" w:before="500"/>
      </w:pPr>
      <w:r>
        <w:rPr>
          <w:rFonts w:ascii="Calibri" w:cs="Calibri" w:eastAsia="Calibri" w:hAnsi="Calibri"/>
          <w:b/>
          <w:bCs/>
          <w:color w:val="C9A227"/>
          <w:sz w:val="36"/>
          <w:szCs w:val="36"/>
        </w:rPr>
        <w:t xml:space="preserve">  </w:t>
      </w:r>
      <w:r>
        <w:rPr>
          <w:rFonts w:ascii="Calibri" w:cs="Calibri" w:eastAsia="Calibri" w:hAnsi="Calibri"/>
          <w:b/>
          <w:bCs/>
          <w:color w:val="1B2A4A"/>
          <w:sz w:val="36"/>
          <w:szCs w:val="36"/>
        </w:rPr>
        <w:t xml:space="preserve">Executive Summary</w:t>
      </w:r>
    </w:p>
    <w:p>
      <w:pPr>
        <w:spacing w:after="80" w:before="80"/>
        <w:jc w:val="both"/>
      </w:pPr>
      <w:r>
        <w:rPr>
          <w:rFonts w:ascii="Calibri" w:cs="Calibri" w:eastAsia="Calibri" w:hAnsi="Calibri"/>
          <w:color w:val="444444"/>
          <w:sz w:val="22"/>
          <w:szCs w:val="22"/>
        </w:rPr>
        <w:t xml:space="preserve">This report presents a comprehensive analysis of 9,994 retail transactions from the Sample Superstore dataset. Using Excel, SQL, and Power BI, the analysis uncovers sales trends, profitability gaps, and regional performance to deliver actionable business recommendations.</w:t>
      </w:r>
    </w:p>
    <w:p>
      <w:pPr>
        <w:spacing w:after="0" w:before="200"/>
      </w:pPr>
    </w:p>
    <w:tbl>
      <w:tblPr>
        <w:tblW w:type="dxa" w:w="10800"/>
        <w:tblBorders>
          <w:top w:val="none"/>
          <w:left w:val="none"/>
          <w:bottom w:val="none"/>
          <w:right w:val="none"/>
          <w:insideH w:val="single" w:color="auto" w:sz="4"/>
          <w:insideV w:val="single" w:color="auto" w:sz="4"/>
        </w:tblBorders>
      </w:tblPr>
      <w:tblGrid>
        <w:gridCol w:w="2700"/>
        <w:gridCol w:w="2700"/>
        <w:gridCol w:w="2700"/>
        <w:gridCol w:w="2700"/>
      </w:tblGrid>
      <w:tr>
        <w:tc>
          <w:tcPr>
            <w:tcW w:type="dxa" w:w="2700"/>
            <w:shd w:fill="1B2A4A" w:val="clear"/>
            <w:tcMar>
              <w:top w:type="dxa" w:w="180"/>
              <w:left w:type="dxa" w:w="120"/>
              <w:bottom w:type="dxa" w:w="180"/>
              <w:right w:type="dxa" w:w="120"/>
            </w:tcMar>
          </w:tcPr>
          <w:p>
            <w:pPr>
              <w:jc w:val="center"/>
            </w:pPr>
            <w:r>
              <w:rPr>
                <w:rFonts w:ascii="Calibri" w:cs="Calibri" w:eastAsia="Calibri" w:hAnsi="Calibri"/>
                <w:b/>
                <w:bCs/>
                <w:color w:val="E8C547"/>
                <w:sz w:val="52"/>
                <w:szCs w:val="52"/>
              </w:rPr>
              <w:t xml:space="preserve">$2.30M</w:t>
            </w:r>
          </w:p>
          <w:p>
            <w:pPr>
              <w:spacing w:before="60"/>
              <w:jc w:val="center"/>
            </w:pPr>
            <w:r>
              <w:rPr>
                <w:rFonts w:ascii="Calibri" w:cs="Calibri" w:eastAsia="Calibri" w:hAnsi="Calibri"/>
                <w:color w:val="AAAAAA"/>
                <w:sz w:val="18"/>
                <w:szCs w:val="18"/>
              </w:rPr>
              <w:t xml:space="preserve">Total Revenue</w:t>
            </w:r>
          </w:p>
        </w:tc>
        <w:tc>
          <w:tcPr>
            <w:tcW w:type="dxa" w:w="2700"/>
            <w:shd w:fill="1B2A4A" w:val="clear"/>
            <w:tcMar>
              <w:top w:type="dxa" w:w="180"/>
              <w:left w:type="dxa" w:w="120"/>
              <w:bottom w:type="dxa" w:w="180"/>
              <w:right w:type="dxa" w:w="120"/>
            </w:tcMar>
          </w:tcPr>
          <w:p>
            <w:pPr>
              <w:jc w:val="center"/>
            </w:pPr>
            <w:r>
              <w:rPr>
                <w:rFonts w:ascii="Calibri" w:cs="Calibri" w:eastAsia="Calibri" w:hAnsi="Calibri"/>
                <w:b/>
                <w:bCs/>
                <w:color w:val="E8C547"/>
                <w:sz w:val="52"/>
                <w:szCs w:val="52"/>
              </w:rPr>
              <w:t xml:space="preserve">$286K</w:t>
            </w:r>
          </w:p>
          <w:p>
            <w:pPr>
              <w:spacing w:before="60"/>
              <w:jc w:val="center"/>
            </w:pPr>
            <w:r>
              <w:rPr>
                <w:rFonts w:ascii="Calibri" w:cs="Calibri" w:eastAsia="Calibri" w:hAnsi="Calibri"/>
                <w:color w:val="AAAAAA"/>
                <w:sz w:val="18"/>
                <w:szCs w:val="18"/>
              </w:rPr>
              <w:t xml:space="preserve">Total Profit</w:t>
            </w:r>
          </w:p>
        </w:tc>
        <w:tc>
          <w:tcPr>
            <w:tcW w:type="dxa" w:w="2700"/>
            <w:shd w:fill="1B2A4A" w:val="clear"/>
            <w:tcMar>
              <w:top w:type="dxa" w:w="180"/>
              <w:left w:type="dxa" w:w="120"/>
              <w:bottom w:type="dxa" w:w="180"/>
              <w:right w:type="dxa" w:w="120"/>
            </w:tcMar>
          </w:tcPr>
          <w:p>
            <w:pPr>
              <w:jc w:val="center"/>
            </w:pPr>
            <w:r>
              <w:rPr>
                <w:rFonts w:ascii="Calibri" w:cs="Calibri" w:eastAsia="Calibri" w:hAnsi="Calibri"/>
                <w:b/>
                <w:bCs/>
                <w:color w:val="E8C547"/>
                <w:sz w:val="52"/>
                <w:szCs w:val="52"/>
              </w:rPr>
              <w:t xml:space="preserve">12.5%</w:t>
            </w:r>
          </w:p>
          <w:p>
            <w:pPr>
              <w:spacing w:before="60"/>
              <w:jc w:val="center"/>
            </w:pPr>
            <w:r>
              <w:rPr>
                <w:rFonts w:ascii="Calibri" w:cs="Calibri" w:eastAsia="Calibri" w:hAnsi="Calibri"/>
                <w:color w:val="AAAAAA"/>
                <w:sz w:val="18"/>
                <w:szCs w:val="18"/>
              </w:rPr>
              <w:t xml:space="preserve">Avg Profit Margin</w:t>
            </w:r>
          </w:p>
        </w:tc>
        <w:tc>
          <w:tcPr>
            <w:tcW w:type="dxa" w:w="2700"/>
            <w:shd w:fill="1B2A4A" w:val="clear"/>
            <w:tcMar>
              <w:top w:type="dxa" w:w="180"/>
              <w:left w:type="dxa" w:w="120"/>
              <w:bottom w:type="dxa" w:w="180"/>
              <w:right w:type="dxa" w:w="120"/>
            </w:tcMar>
          </w:tcPr>
          <w:p>
            <w:pPr>
              <w:jc w:val="center"/>
            </w:pPr>
            <w:r>
              <w:rPr>
                <w:rFonts w:ascii="Calibri" w:cs="Calibri" w:eastAsia="Calibri" w:hAnsi="Calibri"/>
                <w:b/>
                <w:bCs/>
                <w:color w:val="E8C547"/>
                <w:sz w:val="52"/>
                <w:szCs w:val="52"/>
              </w:rPr>
              <w:t xml:space="preserve">9,994</w:t>
            </w:r>
          </w:p>
          <w:p>
            <w:pPr>
              <w:spacing w:before="60"/>
              <w:jc w:val="center"/>
            </w:pPr>
            <w:r>
              <w:rPr>
                <w:rFonts w:ascii="Calibri" w:cs="Calibri" w:eastAsia="Calibri" w:hAnsi="Calibri"/>
                <w:color w:val="AAAAAA"/>
                <w:sz w:val="18"/>
                <w:szCs w:val="18"/>
              </w:rPr>
              <w:t xml:space="preserve">Transactions</w:t>
            </w:r>
          </w:p>
        </w:tc>
      </w:tr>
    </w:tbl>
    <w:p>
      <w:pPr>
        <w:spacing w:after="0" w:before="300"/>
      </w:pPr>
    </w:p>
    <w:p>
      <w:pPr>
        <w:pBdr>
          <w:bottom w:val="single" w:color="C9A227" w:sz="6"/>
        </w:pBdr>
        <w:spacing w:after="200" w:before="500"/>
      </w:pPr>
      <w:r>
        <w:rPr>
          <w:rFonts w:ascii="Calibri" w:cs="Calibri" w:eastAsia="Calibri" w:hAnsi="Calibri"/>
          <w:b/>
          <w:bCs/>
          <w:color w:val="C9A227"/>
          <w:sz w:val="36"/>
          <w:szCs w:val="36"/>
        </w:rPr>
        <w:t xml:space="preserve">1  </w:t>
      </w:r>
      <w:r>
        <w:rPr>
          <w:rFonts w:ascii="Calibri" w:cs="Calibri" w:eastAsia="Calibri" w:hAnsi="Calibri"/>
          <w:b/>
          <w:bCs/>
          <w:color w:val="1B2A4A"/>
          <w:sz w:val="36"/>
          <w:szCs w:val="36"/>
        </w:rPr>
        <w:t xml:space="preserve">Objective</w:t>
      </w:r>
    </w:p>
    <w:p>
      <w:pPr>
        <w:spacing w:after="80" w:before="80"/>
        <w:jc w:val="both"/>
      </w:pPr>
      <w:r>
        <w:rPr>
          <w:rFonts w:ascii="Calibri" w:cs="Calibri" w:eastAsia="Calibri" w:hAnsi="Calibri"/>
          <w:color w:val="444444"/>
          <w:sz w:val="22"/>
          <w:szCs w:val="22"/>
        </w:rPr>
        <w:t xml:space="preserve">The primary objective of this project is to perform end-to-end sales and inventory analytics on retail data, answering four core business questions:</w:t>
      </w:r>
    </w:p>
    <w:p>
      <w:pPr>
        <w:spacing w:after="0" w:before="100"/>
      </w:pPr>
    </w:p>
    <w:p>
      <w:pPr>
        <w:spacing w:after="100" w:before="100"/>
        <w:ind w:left="360"/>
      </w:pPr>
      <w:r>
        <w:rPr>
          <w:rFonts w:ascii="Calibri" w:cs="Calibri" w:eastAsia="Calibri" w:hAnsi="Calibri"/>
          <w:b/>
          <w:bCs/>
          <w:color w:val="C9A227"/>
          <w:sz w:val="20"/>
          <w:szCs w:val="20"/>
        </w:rPr>
        <w:t xml:space="preserve">▶  </w:t>
      </w:r>
      <w:r>
        <w:rPr>
          <w:rFonts w:ascii="Calibri" w:cs="Calibri" w:eastAsia="Calibri" w:hAnsi="Calibri"/>
          <w:color w:val="444444"/>
          <w:sz w:val="21"/>
          <w:szCs w:val="21"/>
        </w:rPr>
        <w:t xml:space="preserve">Which product categories and sub-categories are most and least profitable?</w:t>
      </w:r>
    </w:p>
    <w:p>
      <w:pPr>
        <w:spacing w:after="100" w:before="100"/>
        <w:ind w:left="360"/>
      </w:pPr>
      <w:r>
        <w:rPr>
          <w:rFonts w:ascii="Calibri" w:cs="Calibri" w:eastAsia="Calibri" w:hAnsi="Calibri"/>
          <w:b/>
          <w:bCs/>
          <w:color w:val="C9A227"/>
          <w:sz w:val="20"/>
          <w:szCs w:val="20"/>
        </w:rPr>
        <w:t xml:space="preserve">▶  </w:t>
      </w:r>
      <w:r>
        <w:rPr>
          <w:rFonts w:ascii="Calibri" w:cs="Calibri" w:eastAsia="Calibri" w:hAnsi="Calibri"/>
          <w:color w:val="444444"/>
          <w:sz w:val="21"/>
          <w:szCs w:val="21"/>
        </w:rPr>
        <w:t xml:space="preserve">Which regions are outperforming or underperforming?</w:t>
      </w:r>
    </w:p>
    <w:p>
      <w:pPr>
        <w:spacing w:after="100" w:before="100"/>
        <w:ind w:left="360"/>
      </w:pPr>
      <w:r>
        <w:rPr>
          <w:rFonts w:ascii="Calibri" w:cs="Calibri" w:eastAsia="Calibri" w:hAnsi="Calibri"/>
          <w:b/>
          <w:bCs/>
          <w:color w:val="C9A227"/>
          <w:sz w:val="20"/>
          <w:szCs w:val="20"/>
        </w:rPr>
        <w:t xml:space="preserve">▶  </w:t>
      </w:r>
      <w:r>
        <w:rPr>
          <w:rFonts w:ascii="Calibri" w:cs="Calibri" w:eastAsia="Calibri" w:hAnsi="Calibri"/>
          <w:color w:val="444444"/>
          <w:sz w:val="21"/>
          <w:szCs w:val="21"/>
        </w:rPr>
        <w:t xml:space="preserve">Which products are losing the company money despite high sales volume?</w:t>
      </w:r>
    </w:p>
    <w:p>
      <w:pPr>
        <w:spacing w:after="100" w:before="100"/>
        <w:ind w:left="360"/>
      </w:pPr>
      <w:r>
        <w:rPr>
          <w:rFonts w:ascii="Calibri" w:cs="Calibri" w:eastAsia="Calibri" w:hAnsi="Calibri"/>
          <w:b/>
          <w:bCs/>
          <w:color w:val="C9A227"/>
          <w:sz w:val="20"/>
          <w:szCs w:val="20"/>
        </w:rPr>
        <w:t xml:space="preserve">▶  </w:t>
      </w:r>
      <w:r>
        <w:rPr>
          <w:rFonts w:ascii="Calibri" w:cs="Calibri" w:eastAsia="Calibri" w:hAnsi="Calibri"/>
          <w:color w:val="444444"/>
          <w:sz w:val="21"/>
          <w:szCs w:val="21"/>
        </w:rPr>
        <w:t xml:space="preserve">What data-driven recommendations can improve overall profitability?</w:t>
      </w:r>
    </w:p>
    <w:p>
      <w:pPr>
        <w:spacing w:after="0" w:before="200"/>
      </w:pPr>
    </w:p>
    <w:p>
      <w:pPr>
        <w:pBdr>
          <w:bottom w:val="single" w:color="C9A227" w:sz="6"/>
        </w:pBdr>
        <w:spacing w:after="200" w:before="500"/>
      </w:pPr>
      <w:r>
        <w:rPr>
          <w:rFonts w:ascii="Calibri" w:cs="Calibri" w:eastAsia="Calibri" w:hAnsi="Calibri"/>
          <w:b/>
          <w:bCs/>
          <w:color w:val="C9A227"/>
          <w:sz w:val="36"/>
          <w:szCs w:val="36"/>
        </w:rPr>
        <w:t xml:space="preserve">2  </w:t>
      </w:r>
      <w:r>
        <w:rPr>
          <w:rFonts w:ascii="Calibri" w:cs="Calibri" w:eastAsia="Calibri" w:hAnsi="Calibri"/>
          <w:b/>
          <w:bCs/>
          <w:color w:val="1B2A4A"/>
          <w:sz w:val="36"/>
          <w:szCs w:val="36"/>
        </w:rPr>
        <w:t xml:space="preserve">Dataset Overview</w:t>
      </w:r>
    </w:p>
    <w:tbl>
      <w:tblPr>
        <w:tblW w:type="dxa" w:w="10800"/>
        <w:tblBorders>
          <w:top w:val="single" w:color="DEE2E6" w:sz="4"/>
          <w:left w:val="single" w:color="DEE2E6" w:sz="4"/>
          <w:bottom w:val="single" w:color="DEE2E6" w:sz="4"/>
          <w:right w:val="single" w:color="DEE2E6" w:sz="4"/>
          <w:insideH w:val="single" w:color="auto" w:sz="4"/>
          <w:insideV w:val="single" w:color="auto" w:sz="4"/>
        </w:tblBorders>
      </w:tblPr>
      <w:tblGrid>
        <w:gridCol w:w="5400"/>
        <w:gridCol w:w="5400"/>
      </w:tblGrid>
      <w:tr>
        <w:tc>
          <w:tcPr>
            <w:tcW w:type="dxa" w:w="54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Attribute</w:t>
            </w:r>
          </w:p>
        </w:tc>
        <w:tc>
          <w:tcPr>
            <w:tcW w:type="dxa" w:w="54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Detail</w:t>
            </w:r>
          </w:p>
        </w:tc>
      </w:tr>
      <w:tr>
        <w:tc>
          <w:tcPr>
            <w:tcW w:type="dxa" w:w="54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Source</w:t>
            </w:r>
          </w:p>
        </w:tc>
        <w:tc>
          <w:tcPr>
            <w:tcW w:type="dxa" w:w="54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Kaggle — Sample Superstore Dataset</w:t>
            </w:r>
          </w:p>
        </w:tc>
      </w:tr>
      <w:tr>
        <w:tc>
          <w:tcPr>
            <w:tcW w:type="dxa" w:w="54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Total Records</w:t>
            </w:r>
          </w:p>
        </w:tc>
        <w:tc>
          <w:tcPr>
            <w:tcW w:type="dxa" w:w="54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9,994 transactions</w:t>
            </w:r>
          </w:p>
        </w:tc>
      </w:tr>
      <w:tr>
        <w:tc>
          <w:tcPr>
            <w:tcW w:type="dxa" w:w="54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Total Columns</w:t>
            </w:r>
          </w:p>
        </w:tc>
        <w:tc>
          <w:tcPr>
            <w:tcW w:type="dxa" w:w="54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13 fields</w:t>
            </w:r>
          </w:p>
        </w:tc>
      </w:tr>
      <w:tr>
        <w:tc>
          <w:tcPr>
            <w:tcW w:type="dxa" w:w="54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Product Categories</w:t>
            </w:r>
          </w:p>
        </w:tc>
        <w:tc>
          <w:tcPr>
            <w:tcW w:type="dxa" w:w="54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Furniture, Office Supplies, Technology</w:t>
            </w:r>
          </w:p>
        </w:tc>
      </w:tr>
      <w:tr>
        <w:tc>
          <w:tcPr>
            <w:tcW w:type="dxa" w:w="54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Sub-Categories</w:t>
            </w:r>
          </w:p>
        </w:tc>
        <w:tc>
          <w:tcPr>
            <w:tcW w:type="dxa" w:w="54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17 unique product types</w:t>
            </w:r>
          </w:p>
        </w:tc>
      </w:tr>
      <w:tr>
        <w:tc>
          <w:tcPr>
            <w:tcW w:type="dxa" w:w="54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Geographic Regions</w:t>
            </w:r>
          </w:p>
        </w:tc>
        <w:tc>
          <w:tcPr>
            <w:tcW w:type="dxa" w:w="54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East, West, Central, South</w:t>
            </w:r>
          </w:p>
        </w:tc>
      </w:tr>
      <w:tr>
        <w:tc>
          <w:tcPr>
            <w:tcW w:type="dxa" w:w="54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Customer Segments</w:t>
            </w:r>
          </w:p>
        </w:tc>
        <w:tc>
          <w:tcPr>
            <w:tcW w:type="dxa" w:w="54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Consumer, Corporate, Home Office</w:t>
            </w:r>
          </w:p>
        </w:tc>
      </w:tr>
      <w:tr>
        <w:tc>
          <w:tcPr>
            <w:tcW w:type="dxa" w:w="54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Total Revenue</w:t>
            </w:r>
          </w:p>
        </w:tc>
        <w:tc>
          <w:tcPr>
            <w:tcW w:type="dxa" w:w="54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$2,297,200</w:t>
            </w:r>
          </w:p>
        </w:tc>
      </w:tr>
      <w:tr>
        <w:tc>
          <w:tcPr>
            <w:tcW w:type="dxa" w:w="54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Total Profit</w:t>
            </w:r>
          </w:p>
        </w:tc>
        <w:tc>
          <w:tcPr>
            <w:tcW w:type="dxa" w:w="54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$286,397</w:t>
            </w:r>
          </w:p>
        </w:tc>
      </w:tr>
    </w:tbl>
    <w:p>
      <w:pPr>
        <w:spacing w:after="0" w:before="200"/>
      </w:pPr>
    </w:p>
    <w:p>
      <w:pPr>
        <w:pBdr>
          <w:bottom w:val="single" w:color="C9A227" w:sz="6"/>
        </w:pBdr>
        <w:spacing w:after="200" w:before="500"/>
      </w:pPr>
      <w:r>
        <w:rPr>
          <w:rFonts w:ascii="Calibri" w:cs="Calibri" w:eastAsia="Calibri" w:hAnsi="Calibri"/>
          <w:b/>
          <w:bCs/>
          <w:color w:val="C9A227"/>
          <w:sz w:val="36"/>
          <w:szCs w:val="36"/>
        </w:rPr>
        <w:t xml:space="preserve">3  </w:t>
      </w:r>
      <w:r>
        <w:rPr>
          <w:rFonts w:ascii="Calibri" w:cs="Calibri" w:eastAsia="Calibri" w:hAnsi="Calibri"/>
          <w:b/>
          <w:bCs/>
          <w:color w:val="1B2A4A"/>
          <w:sz w:val="36"/>
          <w:szCs w:val="36"/>
        </w:rPr>
        <w:t xml:space="preserve">Methodology</w:t>
      </w:r>
    </w:p>
    <w:tbl>
      <w:tblPr>
        <w:tblW w:type="dxa" w:w="10800"/>
        <w:tblBorders>
          <w:top w:val="single" w:color="DEE2E6" w:sz="4"/>
          <w:left w:val="single" w:color="DEE2E6" w:sz="4"/>
          <w:bottom w:val="single" w:color="DEE2E6" w:sz="4"/>
          <w:right w:val="single" w:color="DEE2E6" w:sz="4"/>
          <w:insideH w:val="single" w:color="auto" w:sz="4"/>
          <w:insideV w:val="single" w:color="auto" w:sz="4"/>
        </w:tblBorders>
      </w:tblPr>
      <w:tblGrid>
        <w:gridCol w:w="2700"/>
        <w:gridCol w:w="2700"/>
        <w:gridCol w:w="2700"/>
        <w:gridCol w:w="2700"/>
      </w:tblGrid>
      <w:tr>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Phase</w:t>
            </w:r>
          </w:p>
        </w:tc>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Tool</w:t>
            </w:r>
          </w:p>
        </w:tc>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Techniques Used</w:t>
            </w:r>
          </w:p>
        </w:tc>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Output</w:t>
            </w:r>
          </w:p>
        </w:tc>
      </w:tr>
      <w:tr>
        <w:tc>
          <w:tcPr>
            <w:tcW w:type="dxa" w:w="27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Phase 1</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Microsoft Excel</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Pivot Tables, Sorting, Filtering</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Category, Sub-Category &amp; Region summaries</w:t>
            </w:r>
          </w:p>
        </w:tc>
      </w:tr>
      <w:tr>
        <w:tc>
          <w:tcPr>
            <w:tcW w:type="dxa" w:w="27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Phase 2</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SQLite</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SELECT, SUM, GROUP BY, HAVING, ORDER BY</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5 validated SQL queries</w:t>
            </w:r>
          </w:p>
        </w:tc>
      </w:tr>
      <w:tr>
        <w:tc>
          <w:tcPr>
            <w:tcW w:type="dxa" w:w="27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Phase 3</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Power BI Web</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Bar Charts, Pie Chart, KPI Cards</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5-visual interactive dashboard</w:t>
            </w:r>
          </w:p>
        </w:tc>
      </w:tr>
    </w:tbl>
    <w:p>
      <w:pPr>
        <w:spacing w:after="0" w:before="200"/>
      </w:pPr>
    </w:p>
    <w:p>
      <w:pPr>
        <w:pBdr>
          <w:bottom w:val="single" w:color="C9A227" w:sz="6"/>
        </w:pBdr>
        <w:spacing w:after="200" w:before="500"/>
      </w:pPr>
      <w:r>
        <w:rPr>
          <w:rFonts w:ascii="Calibri" w:cs="Calibri" w:eastAsia="Calibri" w:hAnsi="Calibri"/>
          <w:b/>
          <w:bCs/>
          <w:color w:val="C9A227"/>
          <w:sz w:val="36"/>
          <w:szCs w:val="36"/>
        </w:rPr>
        <w:t xml:space="preserve">4  </w:t>
      </w:r>
      <w:r>
        <w:rPr>
          <w:rFonts w:ascii="Calibri" w:cs="Calibri" w:eastAsia="Calibri" w:hAnsi="Calibri"/>
          <w:b/>
          <w:bCs/>
          <w:color w:val="1B2A4A"/>
          <w:sz w:val="36"/>
          <w:szCs w:val="36"/>
        </w:rPr>
        <w:t xml:space="preserve">Analysis &amp; Findings</w:t>
      </w:r>
    </w:p>
    <w:p>
      <w:pPr>
        <w:spacing w:after="120" w:before="320"/>
      </w:pPr>
      <w:r>
        <w:rPr>
          <w:rFonts w:ascii="Calibri" w:cs="Calibri" w:eastAsia="Calibri" w:hAnsi="Calibri"/>
          <w:b/>
          <w:bCs/>
          <w:color w:val="14A098"/>
          <w:sz w:val="26"/>
          <w:szCs w:val="26"/>
        </w:rPr>
        <w:t xml:space="preserve">4.1  Category-Level Performance</w:t>
      </w:r>
    </w:p>
    <w:tbl>
      <w:tblPr>
        <w:tblW w:type="dxa" w:w="10800"/>
        <w:tblBorders>
          <w:top w:val="single" w:color="DEE2E6" w:sz="4"/>
          <w:left w:val="single" w:color="DEE2E6" w:sz="4"/>
          <w:bottom w:val="single" w:color="DEE2E6" w:sz="4"/>
          <w:right w:val="single" w:color="DEE2E6" w:sz="4"/>
          <w:insideH w:val="single" w:color="auto" w:sz="4"/>
          <w:insideV w:val="single" w:color="auto" w:sz="4"/>
        </w:tblBorders>
      </w:tblPr>
      <w:tblGrid>
        <w:gridCol w:w="2160"/>
        <w:gridCol w:w="2160"/>
        <w:gridCol w:w="2160"/>
        <w:gridCol w:w="2160"/>
        <w:gridCol w:w="2160"/>
      </w:tblGrid>
      <w:tr>
        <w:tc>
          <w:tcPr>
            <w:tcW w:type="dxa" w:w="216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Category</w:t>
            </w:r>
          </w:p>
        </w:tc>
        <w:tc>
          <w:tcPr>
            <w:tcW w:type="dxa" w:w="216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Total Sales</w:t>
            </w:r>
          </w:p>
        </w:tc>
        <w:tc>
          <w:tcPr>
            <w:tcW w:type="dxa" w:w="216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Total Profit</w:t>
            </w:r>
          </w:p>
        </w:tc>
        <w:tc>
          <w:tcPr>
            <w:tcW w:type="dxa" w:w="216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Margin</w:t>
            </w:r>
          </w:p>
        </w:tc>
        <w:tc>
          <w:tcPr>
            <w:tcW w:type="dxa" w:w="216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Status</w:t>
            </w:r>
          </w:p>
        </w:tc>
      </w:tr>
      <w:tr>
        <w:tc>
          <w:tcPr>
            <w:tcW w:type="dxa" w:w="216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Technology</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$836,154</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$145,454</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17.4%</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 Strong</w:t>
            </w:r>
          </w:p>
        </w:tc>
      </w:tr>
      <w:tr>
        <w:tc>
          <w:tcPr>
            <w:tcW w:type="dxa" w:w="216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Furniture</w:t>
            </w:r>
          </w:p>
        </w:tc>
        <w:tc>
          <w:tcPr>
            <w:tcW w:type="dxa" w:w="216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$741,999</w:t>
            </w:r>
          </w:p>
        </w:tc>
        <w:tc>
          <w:tcPr>
            <w:tcW w:type="dxa" w:w="216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$18,451</w:t>
            </w:r>
          </w:p>
        </w:tc>
        <w:tc>
          <w:tcPr>
            <w:tcW w:type="dxa" w:w="216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2.5%</w:t>
            </w:r>
          </w:p>
        </w:tc>
        <w:tc>
          <w:tcPr>
            <w:tcW w:type="dxa" w:w="216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 Critical</w:t>
            </w:r>
          </w:p>
        </w:tc>
      </w:tr>
      <w:tr>
        <w:tc>
          <w:tcPr>
            <w:tcW w:type="dxa" w:w="216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Office Supplies</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$719,047</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$122,490</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17.0%</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 Strong</w:t>
            </w:r>
          </w:p>
        </w:tc>
      </w:tr>
    </w:tbl>
    <w:p>
      <w:pPr>
        <w:spacing w:after="0" w:before="140"/>
      </w:pPr>
    </w:p>
    <w:tbl>
      <w:tblPr>
        <w:tblW w:type="dxa" w:w="10800"/>
        <w:tblBorders>
          <w:top w:val="single" w:color="14A098" w:sz="12"/>
          <w:left w:val="none"/>
          <w:bottom w:val="none"/>
          <w:right w:val="none"/>
          <w:insideH w:val="single" w:color="auto" w:sz="4"/>
          <w:insideV w:val="single" w:color="auto" w:sz="4"/>
        </w:tblBorders>
      </w:tblPr>
      <w:tblGrid>
        <w:gridCol w:w="10800"/>
      </w:tblGrid>
      <w:tr>
        <w:tc>
          <w:tcPr>
            <w:tcW w:type="dxa" w:w="10800"/>
            <w:shd w:fill="E8F7F7" w:val="clear"/>
            <w:tcMar>
              <w:top w:type="dxa" w:w="120"/>
              <w:left w:type="dxa" w:w="240"/>
              <w:bottom w:type="dxa" w:w="120"/>
              <w:right w:type="dxa" w:w="240"/>
            </w:tcMar>
          </w:tcPr>
          <w:p>
            <w:r>
              <w:rPr>
                <w:rFonts w:ascii="Calibri" w:cs="Calibri" w:eastAsia="Calibri" w:hAnsi="Calibri"/>
                <w:b/>
                <w:bCs/>
                <w:color w:val="14A098"/>
                <w:sz w:val="20"/>
                <w:szCs w:val="20"/>
              </w:rPr>
              <w:t xml:space="preserve">💡 Key Insight:  </w:t>
            </w:r>
            <w:r>
              <w:rPr>
                <w:rFonts w:ascii="Calibri" w:cs="Calibri" w:eastAsia="Calibri" w:hAnsi="Calibri"/>
                <w:color w:val="2C3E50"/>
                <w:sz w:val="20"/>
                <w:szCs w:val="20"/>
              </w:rPr>
              <w:t xml:space="preserve">Furniture generates the 2nd highest revenue ($741K) but delivers only $18K in profit — a margin of just 2.5%. Office Supplies earns nearly 7× more profit on similar revenue.</w:t>
            </w:r>
          </w:p>
        </w:tc>
      </w:tr>
    </w:tbl>
    <w:p>
      <w:pPr>
        <w:spacing w:after="0" w:before="240"/>
      </w:pPr>
    </w:p>
    <w:p>
      <w:pPr>
        <w:spacing w:after="120" w:before="320"/>
      </w:pPr>
      <w:r>
        <w:rPr>
          <w:rFonts w:ascii="Calibri" w:cs="Calibri" w:eastAsia="Calibri" w:hAnsi="Calibri"/>
          <w:b/>
          <w:bCs/>
          <w:color w:val="14A098"/>
          <w:sz w:val="26"/>
          <w:szCs w:val="26"/>
        </w:rPr>
        <w:t xml:space="preserve">4.2  Sub-Category Deep Dive</w:t>
      </w:r>
    </w:p>
    <w:p>
      <w:pPr>
        <w:spacing w:after="80" w:before="80"/>
        <w:jc w:val="both"/>
      </w:pPr>
      <w:r>
        <w:rPr>
          <w:rFonts w:ascii="Calibri" w:cs="Calibri" w:eastAsia="Calibri" w:hAnsi="Calibri"/>
          <w:color w:val="444444"/>
          <w:sz w:val="22"/>
          <w:szCs w:val="22"/>
        </w:rPr>
        <w:t xml:space="preserve">Top Performing Sub-Categories (by Profit):</w:t>
      </w:r>
    </w:p>
    <w:p>
      <w:pPr>
        <w:spacing w:after="0" w:before="80"/>
      </w:pPr>
    </w:p>
    <w:tbl>
      <w:tblPr>
        <w:tblW w:type="dxa" w:w="10800"/>
        <w:tblBorders>
          <w:top w:val="single" w:color="DEE2E6" w:sz="4"/>
          <w:left w:val="single" w:color="DEE2E6" w:sz="4"/>
          <w:bottom w:val="single" w:color="DEE2E6" w:sz="4"/>
          <w:right w:val="single" w:color="DEE2E6" w:sz="4"/>
          <w:insideH w:val="single" w:color="auto" w:sz="4"/>
          <w:insideV w:val="single" w:color="auto" w:sz="4"/>
        </w:tblBorders>
      </w:tblPr>
      <w:tblGrid>
        <w:gridCol w:w="2700"/>
        <w:gridCol w:w="2700"/>
        <w:gridCol w:w="2700"/>
        <w:gridCol w:w="2700"/>
      </w:tblGrid>
      <w:tr>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Sub-Category</w:t>
            </w:r>
          </w:p>
        </w:tc>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Total Sales</w:t>
            </w:r>
          </w:p>
        </w:tc>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Total Profit</w:t>
            </w:r>
          </w:p>
        </w:tc>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Margin</w:t>
            </w:r>
          </w:p>
        </w:tc>
      </w:tr>
      <w:tr>
        <w:tc>
          <w:tcPr>
            <w:tcW w:type="dxa" w:w="27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Copiers</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$149,528</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$55,617</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37.2% 🏆</w:t>
            </w:r>
          </w:p>
        </w:tc>
      </w:tr>
      <w:tr>
        <w:tc>
          <w:tcPr>
            <w:tcW w:type="dxa" w:w="27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Phones</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$330,007</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$44,515</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13.5%</w:t>
            </w:r>
          </w:p>
        </w:tc>
      </w:tr>
      <w:tr>
        <w:tc>
          <w:tcPr>
            <w:tcW w:type="dxa" w:w="27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Accessories</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$167,380</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$41,936</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25.1%</w:t>
            </w:r>
          </w:p>
        </w:tc>
      </w:tr>
      <w:tr>
        <w:tc>
          <w:tcPr>
            <w:tcW w:type="dxa" w:w="27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Paper</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$78,479</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$34,053</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43.4% 🏆</w:t>
            </w:r>
          </w:p>
        </w:tc>
      </w:tr>
      <w:tr>
        <w:tc>
          <w:tcPr>
            <w:tcW w:type="dxa" w:w="27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Binders</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$203,412</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$30,221</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14.9%</w:t>
            </w:r>
          </w:p>
        </w:tc>
      </w:tr>
    </w:tbl>
    <w:p>
      <w:pPr>
        <w:spacing w:after="0" w:before="140"/>
      </w:pPr>
    </w:p>
    <w:p>
      <w:pPr>
        <w:spacing w:after="80" w:before="80"/>
        <w:jc w:val="both"/>
      </w:pPr>
      <w:r>
        <w:rPr>
          <w:rFonts w:ascii="Calibri" w:cs="Calibri" w:eastAsia="Calibri" w:hAnsi="Calibri"/>
          <w:color w:val="444444"/>
          <w:sz w:val="22"/>
          <w:szCs w:val="22"/>
        </w:rPr>
        <w:t xml:space="preserve">Loss-Making Sub-Categories:</w:t>
      </w:r>
    </w:p>
    <w:p>
      <w:pPr>
        <w:spacing w:after="0" w:before="80"/>
      </w:pPr>
    </w:p>
    <w:tbl>
      <w:tblPr>
        <w:tblW w:type="dxa" w:w="10800"/>
        <w:tblBorders>
          <w:top w:val="single" w:color="DEE2E6" w:sz="4"/>
          <w:left w:val="single" w:color="DEE2E6" w:sz="4"/>
          <w:bottom w:val="single" w:color="DEE2E6" w:sz="4"/>
          <w:right w:val="single" w:color="DEE2E6" w:sz="4"/>
          <w:insideH w:val="single" w:color="auto" w:sz="4"/>
          <w:insideV w:val="single" w:color="auto" w:sz="4"/>
        </w:tblBorders>
      </w:tblPr>
      <w:tblGrid>
        <w:gridCol w:w="2700"/>
        <w:gridCol w:w="2700"/>
        <w:gridCol w:w="2700"/>
        <w:gridCol w:w="2700"/>
      </w:tblGrid>
      <w:tr>
        <w:tc>
          <w:tcPr>
            <w:tcW w:type="dxa" w:w="2700"/>
            <w:shd w:fill="C0392B"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Sub-Category</w:t>
            </w:r>
          </w:p>
        </w:tc>
        <w:tc>
          <w:tcPr>
            <w:tcW w:type="dxa" w:w="2700"/>
            <w:shd w:fill="C0392B"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Total Sales</w:t>
            </w:r>
          </w:p>
        </w:tc>
        <w:tc>
          <w:tcPr>
            <w:tcW w:type="dxa" w:w="2700"/>
            <w:shd w:fill="C0392B"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Total Profit</w:t>
            </w:r>
          </w:p>
        </w:tc>
        <w:tc>
          <w:tcPr>
            <w:tcW w:type="dxa" w:w="2700"/>
            <w:shd w:fill="C0392B"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Loss Per $1 of Sales</w:t>
            </w:r>
          </w:p>
        </w:tc>
      </w:tr>
      <w:tr>
        <w:tc>
          <w:tcPr>
            <w:tcW w:type="dxa" w:w="27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Tables</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$206,965</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-$17,725</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-$0.086 🔴</w:t>
            </w:r>
          </w:p>
        </w:tc>
      </w:tr>
      <w:tr>
        <w:tc>
          <w:tcPr>
            <w:tcW w:type="dxa" w:w="2700"/>
            <w:shd w:fill="FDEDEC"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Bookcases</w:t>
            </w:r>
          </w:p>
        </w:tc>
        <w:tc>
          <w:tcPr>
            <w:tcW w:type="dxa" w:w="2700"/>
            <w:shd w:fill="FDEDEC"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$114,879</w:t>
            </w:r>
          </w:p>
        </w:tc>
        <w:tc>
          <w:tcPr>
            <w:tcW w:type="dxa" w:w="2700"/>
            <w:shd w:fill="FDEDEC"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-$3,472</w:t>
            </w:r>
          </w:p>
        </w:tc>
        <w:tc>
          <w:tcPr>
            <w:tcW w:type="dxa" w:w="2700"/>
            <w:shd w:fill="FDEDEC"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-$0.030 🔴</w:t>
            </w:r>
          </w:p>
        </w:tc>
      </w:tr>
      <w:tr>
        <w:tc>
          <w:tcPr>
            <w:tcW w:type="dxa" w:w="27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Supplies</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$46,673</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-$1,189</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-$0.025 🔴</w:t>
            </w:r>
          </w:p>
        </w:tc>
      </w:tr>
    </w:tbl>
    <w:p>
      <w:pPr>
        <w:spacing w:after="0" w:before="140"/>
      </w:pPr>
    </w:p>
    <w:tbl>
      <w:tblPr>
        <w:tblW w:type="dxa" w:w="10800"/>
        <w:tblBorders>
          <w:top w:val="single" w:color="C0392B" w:sz="12"/>
          <w:left w:val="none"/>
          <w:bottom w:val="none"/>
          <w:right w:val="none"/>
          <w:insideH w:val="single" w:color="auto" w:sz="4"/>
          <w:insideV w:val="single" w:color="auto" w:sz="4"/>
        </w:tblBorders>
      </w:tblPr>
      <w:tblGrid>
        <w:gridCol w:w="10800"/>
      </w:tblGrid>
      <w:tr>
        <w:tc>
          <w:tcPr>
            <w:tcW w:type="dxa" w:w="10800"/>
            <w:shd w:fill="FDEDEC" w:val="clear"/>
            <w:tcMar>
              <w:top w:type="dxa" w:w="120"/>
              <w:left w:type="dxa" w:w="240"/>
              <w:bottom w:type="dxa" w:w="120"/>
              <w:right w:type="dxa" w:w="240"/>
            </w:tcMar>
          </w:tcPr>
          <w:p>
            <w:r>
              <w:rPr>
                <w:rFonts w:ascii="Calibri" w:cs="Calibri" w:eastAsia="Calibri" w:hAnsi="Calibri"/>
                <w:b/>
                <w:bCs/>
                <w:color w:val="C0392B"/>
                <w:sz w:val="20"/>
                <w:szCs w:val="20"/>
              </w:rPr>
              <w:t xml:space="preserve">💡 Key Insight:  </w:t>
            </w:r>
            <w:r>
              <w:rPr>
                <w:rFonts w:ascii="Calibri" w:cs="Calibri" w:eastAsia="Calibri" w:hAnsi="Calibri"/>
                <w:color w:val="2C3E50"/>
                <w:sz w:val="20"/>
                <w:szCs w:val="20"/>
              </w:rPr>
              <w:t xml:space="preserve">Tables generate $206K in sales but LOSE $17,725. For every dollar of Tables revenue the company loses 8.6 cents — almost certainly due to excessive discounting.</w:t>
            </w:r>
          </w:p>
        </w:tc>
      </w:tr>
    </w:tbl>
    <w:p>
      <w:pPr>
        <w:spacing w:after="0" w:before="240"/>
      </w:pPr>
    </w:p>
    <w:p>
      <w:pPr>
        <w:spacing w:after="120" w:before="320"/>
      </w:pPr>
      <w:r>
        <w:rPr>
          <w:rFonts w:ascii="Calibri" w:cs="Calibri" w:eastAsia="Calibri" w:hAnsi="Calibri"/>
          <w:b/>
          <w:bCs/>
          <w:color w:val="14A098"/>
          <w:sz w:val="26"/>
          <w:szCs w:val="26"/>
        </w:rPr>
        <w:t xml:space="preserve">4.3  Regional Performance</w:t>
      </w:r>
    </w:p>
    <w:tbl>
      <w:tblPr>
        <w:tblW w:type="dxa" w:w="10800"/>
        <w:tblBorders>
          <w:top w:val="single" w:color="DEE2E6" w:sz="4"/>
          <w:left w:val="single" w:color="DEE2E6" w:sz="4"/>
          <w:bottom w:val="single" w:color="DEE2E6" w:sz="4"/>
          <w:right w:val="single" w:color="DEE2E6" w:sz="4"/>
          <w:insideH w:val="single" w:color="auto" w:sz="4"/>
          <w:insideV w:val="single" w:color="auto" w:sz="4"/>
        </w:tblBorders>
      </w:tblPr>
      <w:tblGrid>
        <w:gridCol w:w="2160"/>
        <w:gridCol w:w="2160"/>
        <w:gridCol w:w="2160"/>
        <w:gridCol w:w="2160"/>
        <w:gridCol w:w="2160"/>
      </w:tblGrid>
      <w:tr>
        <w:tc>
          <w:tcPr>
            <w:tcW w:type="dxa" w:w="216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Region</w:t>
            </w:r>
          </w:p>
        </w:tc>
        <w:tc>
          <w:tcPr>
            <w:tcW w:type="dxa" w:w="216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Total Sales</w:t>
            </w:r>
          </w:p>
        </w:tc>
        <w:tc>
          <w:tcPr>
            <w:tcW w:type="dxa" w:w="216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Total Profit</w:t>
            </w:r>
          </w:p>
        </w:tc>
        <w:tc>
          <w:tcPr>
            <w:tcW w:type="dxa" w:w="216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Profit Margin</w:t>
            </w:r>
          </w:p>
        </w:tc>
        <w:tc>
          <w:tcPr>
            <w:tcW w:type="dxa" w:w="216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Rank</w:t>
            </w:r>
          </w:p>
        </w:tc>
      </w:tr>
      <w:tr>
        <w:tc>
          <w:tcPr>
            <w:tcW w:type="dxa" w:w="216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West</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$725,457</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$108,418</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14.9%</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 #1</w:t>
            </w:r>
          </w:p>
        </w:tc>
      </w:tr>
      <w:tr>
        <w:tc>
          <w:tcPr>
            <w:tcW w:type="dxa" w:w="216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East</w:t>
            </w:r>
          </w:p>
        </w:tc>
        <w:tc>
          <w:tcPr>
            <w:tcW w:type="dxa" w:w="216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$678,781</w:t>
            </w:r>
          </w:p>
        </w:tc>
        <w:tc>
          <w:tcPr>
            <w:tcW w:type="dxa" w:w="216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$91,522</w:t>
            </w:r>
          </w:p>
        </w:tc>
        <w:tc>
          <w:tcPr>
            <w:tcW w:type="dxa" w:w="216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13.5%</w:t>
            </w:r>
          </w:p>
        </w:tc>
        <w:tc>
          <w:tcPr>
            <w:tcW w:type="dxa" w:w="216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 #2</w:t>
            </w:r>
          </w:p>
        </w:tc>
      </w:tr>
      <w:tr>
        <w:tc>
          <w:tcPr>
            <w:tcW w:type="dxa" w:w="216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South</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$391,721</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$46,749</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11.9%</w:t>
            </w:r>
          </w:p>
        </w:tc>
        <w:tc>
          <w:tcPr>
            <w:tcW w:type="dxa" w:w="216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 #3</w:t>
            </w:r>
          </w:p>
        </w:tc>
      </w:tr>
      <w:tr>
        <w:tc>
          <w:tcPr>
            <w:tcW w:type="dxa" w:w="216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Central</w:t>
            </w:r>
          </w:p>
        </w:tc>
        <w:tc>
          <w:tcPr>
            <w:tcW w:type="dxa" w:w="216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$501,239</w:t>
            </w:r>
          </w:p>
        </w:tc>
        <w:tc>
          <w:tcPr>
            <w:tcW w:type="dxa" w:w="216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$39,706</w:t>
            </w:r>
          </w:p>
        </w:tc>
        <w:tc>
          <w:tcPr>
            <w:tcW w:type="dxa" w:w="216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7.9%</w:t>
            </w:r>
          </w:p>
        </w:tc>
        <w:tc>
          <w:tcPr>
            <w:tcW w:type="dxa" w:w="216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 #4</w:t>
            </w:r>
          </w:p>
        </w:tc>
      </w:tr>
    </w:tbl>
    <w:p>
      <w:pPr>
        <w:spacing w:after="0" w:before="140"/>
      </w:pPr>
    </w:p>
    <w:tbl>
      <w:tblPr>
        <w:tblW w:type="dxa" w:w="10800"/>
        <w:tblBorders>
          <w:top w:val="single" w:color="C0392B" w:sz="12"/>
          <w:left w:val="none"/>
          <w:bottom w:val="none"/>
          <w:right w:val="none"/>
          <w:insideH w:val="single" w:color="auto" w:sz="4"/>
          <w:insideV w:val="single" w:color="auto" w:sz="4"/>
        </w:tblBorders>
      </w:tblPr>
      <w:tblGrid>
        <w:gridCol w:w="10800"/>
      </w:tblGrid>
      <w:tr>
        <w:tc>
          <w:tcPr>
            <w:tcW w:type="dxa" w:w="10800"/>
            <w:shd w:fill="FDEDEC" w:val="clear"/>
            <w:tcMar>
              <w:top w:type="dxa" w:w="120"/>
              <w:left w:type="dxa" w:w="240"/>
              <w:bottom w:type="dxa" w:w="120"/>
              <w:right w:type="dxa" w:w="240"/>
            </w:tcMar>
          </w:tcPr>
          <w:p>
            <w:r>
              <w:rPr>
                <w:rFonts w:ascii="Calibri" w:cs="Calibri" w:eastAsia="Calibri" w:hAnsi="Calibri"/>
                <w:b/>
                <w:bCs/>
                <w:color w:val="C0392B"/>
                <w:sz w:val="20"/>
                <w:szCs w:val="20"/>
              </w:rPr>
              <w:t xml:space="preserve">💡 Key Insight:  </w:t>
            </w:r>
            <w:r>
              <w:rPr>
                <w:rFonts w:ascii="Calibri" w:cs="Calibri" w:eastAsia="Calibri" w:hAnsi="Calibri"/>
                <w:color w:val="2C3E50"/>
                <w:sz w:val="20"/>
                <w:szCs w:val="20"/>
              </w:rPr>
              <w:t xml:space="preserve">Central region generates $501K in sales but only 7.9% margin — nearly half that of the West. This gap represents approximately $35K in recoverable profit annually.</w:t>
            </w:r>
          </w:p>
        </w:tc>
      </w:tr>
    </w:tbl>
    <w:p>
      <w:pPr>
        <w:spacing w:after="0" w:before="240"/>
      </w:pPr>
    </w:p>
    <w:p>
      <w:pPr>
        <w:spacing w:after="120" w:before="320"/>
      </w:pPr>
      <w:r>
        <w:rPr>
          <w:rFonts w:ascii="Calibri" w:cs="Calibri" w:eastAsia="Calibri" w:hAnsi="Calibri"/>
          <w:b/>
          <w:bCs/>
          <w:color w:val="14A098"/>
          <w:sz w:val="26"/>
          <w:szCs w:val="26"/>
        </w:rPr>
        <w:t xml:space="preserve">4.4  Customer Segment Analysis</w:t>
      </w:r>
    </w:p>
    <w:tbl>
      <w:tblPr>
        <w:tblW w:type="dxa" w:w="10800"/>
        <w:tblBorders>
          <w:top w:val="single" w:color="DEE2E6" w:sz="4"/>
          <w:left w:val="single" w:color="DEE2E6" w:sz="4"/>
          <w:bottom w:val="single" w:color="DEE2E6" w:sz="4"/>
          <w:right w:val="single" w:color="DEE2E6" w:sz="4"/>
          <w:insideH w:val="single" w:color="auto" w:sz="4"/>
          <w:insideV w:val="single" w:color="auto" w:sz="4"/>
        </w:tblBorders>
      </w:tblPr>
      <w:tblGrid>
        <w:gridCol w:w="3600"/>
        <w:gridCol w:w="3600"/>
        <w:gridCol w:w="3600"/>
      </w:tblGrid>
      <w:tr>
        <w:tc>
          <w:tcPr>
            <w:tcW w:type="dxa" w:w="36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Segment</w:t>
            </w:r>
          </w:p>
        </w:tc>
        <w:tc>
          <w:tcPr>
            <w:tcW w:type="dxa" w:w="36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Share of Sales</w:t>
            </w:r>
          </w:p>
        </w:tc>
        <w:tc>
          <w:tcPr>
            <w:tcW w:type="dxa" w:w="36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Strategic Value</w:t>
            </w:r>
          </w:p>
        </w:tc>
      </w:tr>
      <w:tr>
        <w:tc>
          <w:tcPr>
            <w:tcW w:type="dxa" w:w="36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Consumer</w:t>
            </w:r>
          </w:p>
        </w:tc>
        <w:tc>
          <w:tcPr>
            <w:tcW w:type="dxa" w:w="36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50.56% ($1.16M)</w:t>
            </w:r>
          </w:p>
        </w:tc>
        <w:tc>
          <w:tcPr>
            <w:tcW w:type="dxa" w:w="36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Core revenue base — highest volume</w:t>
            </w:r>
          </w:p>
        </w:tc>
      </w:tr>
      <w:tr>
        <w:tc>
          <w:tcPr>
            <w:tcW w:type="dxa" w:w="36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Corporate</w:t>
            </w:r>
          </w:p>
        </w:tc>
        <w:tc>
          <w:tcPr>
            <w:tcW w:type="dxa" w:w="36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30.74% ($0.71M)</w:t>
            </w:r>
          </w:p>
        </w:tc>
        <w:tc>
          <w:tcPr>
            <w:tcW w:type="dxa" w:w="36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High-value B2B accounts</w:t>
            </w:r>
          </w:p>
        </w:tc>
      </w:tr>
      <w:tr>
        <w:tc>
          <w:tcPr>
            <w:tcW w:type="dxa" w:w="36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Home Office</w:t>
            </w:r>
          </w:p>
        </w:tc>
        <w:tc>
          <w:tcPr>
            <w:tcW w:type="dxa" w:w="36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18.70% ($0.43M)</w:t>
            </w:r>
          </w:p>
        </w:tc>
        <w:tc>
          <w:tcPr>
            <w:tcW w:type="dxa" w:w="36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Growing remote-work segment</w:t>
            </w:r>
          </w:p>
        </w:tc>
      </w:tr>
    </w:tbl>
    <w:p>
      <w:pPr>
        <w:spacing w:after="0" w:before="200"/>
      </w:pPr>
    </w:p>
    <w:p>
      <w:pPr>
        <w:pBdr>
          <w:bottom w:val="single" w:color="C9A227" w:sz="6"/>
        </w:pBdr>
        <w:spacing w:after="200" w:before="500"/>
      </w:pPr>
      <w:r>
        <w:rPr>
          <w:rFonts w:ascii="Calibri" w:cs="Calibri" w:eastAsia="Calibri" w:hAnsi="Calibri"/>
          <w:b/>
          <w:bCs/>
          <w:color w:val="C9A227"/>
          <w:sz w:val="36"/>
          <w:szCs w:val="36"/>
        </w:rPr>
        <w:t xml:space="preserve">5  </w:t>
      </w:r>
      <w:r>
        <w:rPr>
          <w:rFonts w:ascii="Calibri" w:cs="Calibri" w:eastAsia="Calibri" w:hAnsi="Calibri"/>
          <w:b/>
          <w:bCs/>
          <w:color w:val="1B2A4A"/>
          <w:sz w:val="36"/>
          <w:szCs w:val="36"/>
        </w:rPr>
        <w:t xml:space="preserve">Key Business Insights</w:t>
      </w:r>
    </w:p>
    <w:tbl>
      <w:tblPr>
        <w:tblW w:type="dxa" w:w="10800"/>
        <w:tblBorders>
          <w:top w:val="single" w:color="DEE2E6" w:sz="4"/>
          <w:left w:val="single" w:color="DEE2E6" w:sz="4"/>
          <w:bottom w:val="single" w:color="DEE2E6" w:sz="4"/>
          <w:right w:val="single" w:color="DEE2E6" w:sz="4"/>
          <w:insideH w:val="single" w:color="auto" w:sz="4"/>
          <w:insideV w:val="single" w:color="auto" w:sz="4"/>
        </w:tblBorders>
      </w:tblPr>
      <w:tblGrid>
        <w:gridCol w:w="2700"/>
        <w:gridCol w:w="2700"/>
        <w:gridCol w:w="2700"/>
        <w:gridCol w:w="2700"/>
      </w:tblGrid>
      <w:tr>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w:t>
            </w:r>
          </w:p>
        </w:tc>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Insight</w:t>
            </w:r>
          </w:p>
        </w:tc>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Evidence</w:t>
            </w:r>
          </w:p>
        </w:tc>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Impact</w:t>
            </w:r>
          </w:p>
        </w:tc>
      </w:tr>
      <w:tr>
        <w:tc>
          <w:tcPr>
            <w:tcW w:type="dxa" w:w="27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1</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Furniture is a profit trap</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2.5% margin vs 17% for Technology</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HIGH 🔴</w:t>
            </w:r>
          </w:p>
        </w:tc>
      </w:tr>
      <w:tr>
        <w:tc>
          <w:tcPr>
            <w:tcW w:type="dxa" w:w="27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2</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Tables lose money on every sale</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-$17,725 on $206K in sales</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HIGH 🔴</w:t>
            </w:r>
          </w:p>
        </w:tc>
      </w:tr>
      <w:tr>
        <w:tc>
          <w:tcPr>
            <w:tcW w:type="dxa" w:w="27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3</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Copiers &amp; Paper have highest margins</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37% and 43% margins respectively</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HIGH 🟢</w:t>
            </w:r>
          </w:p>
        </w:tc>
      </w:tr>
      <w:tr>
        <w:tc>
          <w:tcPr>
            <w:tcW w:type="dxa" w:w="27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4</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West region outperforms all others</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14.9% margin vs 7.9% in Central</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MEDIUM 🟡</w:t>
            </w:r>
          </w:p>
        </w:tc>
      </w:tr>
      <w:tr>
        <w:tc>
          <w:tcPr>
            <w:tcW w:type="dxa" w:w="27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5</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Central region is underperforming</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$35K+ potential profit being lost</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HIGH 🔴</w:t>
            </w:r>
          </w:p>
        </w:tc>
      </w:tr>
      <w:tr>
        <w:tc>
          <w:tcPr>
            <w:tcW w:type="dxa" w:w="27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6</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Consumers drive 50% of revenue</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50.56% of total sales</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MEDIUM 🟡</w:t>
            </w:r>
          </w:p>
        </w:tc>
      </w:tr>
    </w:tbl>
    <w:p>
      <w:pPr>
        <w:spacing w:after="0" w:before="200"/>
      </w:pPr>
    </w:p>
    <w:p>
      <w:pPr>
        <w:pBdr>
          <w:bottom w:val="single" w:color="C9A227" w:sz="6"/>
        </w:pBdr>
        <w:spacing w:after="200" w:before="500"/>
      </w:pPr>
      <w:r>
        <w:rPr>
          <w:rFonts w:ascii="Calibri" w:cs="Calibri" w:eastAsia="Calibri" w:hAnsi="Calibri"/>
          <w:b/>
          <w:bCs/>
          <w:color w:val="C9A227"/>
          <w:sz w:val="36"/>
          <w:szCs w:val="36"/>
        </w:rPr>
        <w:t xml:space="preserve">6  </w:t>
      </w:r>
      <w:r>
        <w:rPr>
          <w:rFonts w:ascii="Calibri" w:cs="Calibri" w:eastAsia="Calibri" w:hAnsi="Calibri"/>
          <w:b/>
          <w:bCs/>
          <w:color w:val="1B2A4A"/>
          <w:sz w:val="36"/>
          <w:szCs w:val="36"/>
        </w:rPr>
        <w:t xml:space="preserve">Recommendations</w:t>
      </w:r>
    </w:p>
    <w:tbl>
      <w:tblPr>
        <w:tblW w:type="dxa" w:w="10800"/>
        <w:tblBorders>
          <w:top w:val="single" w:color="DEE2E6" w:sz="4"/>
          <w:left w:val="single" w:color="DEE2E6" w:sz="4"/>
          <w:bottom w:val="single" w:color="DEE2E6" w:sz="4"/>
          <w:right w:val="single" w:color="DEE2E6" w:sz="4"/>
          <w:insideH w:val="single" w:color="auto" w:sz="4"/>
          <w:insideV w:val="single" w:color="auto" w:sz="4"/>
        </w:tblBorders>
      </w:tblPr>
      <w:tblGrid>
        <w:gridCol w:w="2700"/>
        <w:gridCol w:w="2700"/>
        <w:gridCol w:w="2700"/>
        <w:gridCol w:w="2700"/>
      </w:tblGrid>
      <w:tr>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Priority</w:t>
            </w:r>
          </w:p>
        </w:tc>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Recommendation</w:t>
            </w:r>
          </w:p>
        </w:tc>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Action</w:t>
            </w:r>
          </w:p>
        </w:tc>
        <w:tc>
          <w:tcPr>
            <w:tcW w:type="dxa" w:w="27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Expected Outcome</w:t>
            </w:r>
          </w:p>
        </w:tc>
      </w:tr>
      <w:tr>
        <w:tc>
          <w:tcPr>
            <w:tcW w:type="dxa" w:w="27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 Urgent</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Stop deep discounting on Tables &amp; Bookcases</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Cap Furniture discounts at 20%</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Recover $17K+ in annual profit</w:t>
            </w:r>
          </w:p>
        </w:tc>
      </w:tr>
      <w:tr>
        <w:tc>
          <w:tcPr>
            <w:tcW w:type="dxa" w:w="27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 Urgent</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Audit Central region operations</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Review discounting &amp; product mix</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Improve margin from 7.9% to 13%+</w:t>
            </w:r>
          </w:p>
        </w:tc>
      </w:tr>
      <w:tr>
        <w:tc>
          <w:tcPr>
            <w:tcW w:type="dxa" w:w="27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 High</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Promote Copiers &amp; Paper aggressively</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Increase marketing on high-margin SKUs</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Grow profit without added costs</w:t>
            </w:r>
          </w:p>
        </w:tc>
      </w:tr>
      <w:tr>
        <w:tc>
          <w:tcPr>
            <w:tcW w:type="dxa" w:w="27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 High</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Expand Technology category</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Increase SKU range and stock</w:t>
            </w:r>
          </w:p>
        </w:tc>
        <w:tc>
          <w:tcPr>
            <w:tcW w:type="dxa" w:w="27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Leverage 17.4% margin at scale</w:t>
            </w:r>
          </w:p>
        </w:tc>
      </w:tr>
      <w:tr>
        <w:tc>
          <w:tcPr>
            <w:tcW w:type="dxa" w:w="27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 Medium</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Create a Corporate B2B sales program</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Dedicated account managers</w:t>
            </w:r>
          </w:p>
        </w:tc>
        <w:tc>
          <w:tcPr>
            <w:tcW w:type="dxa" w:w="27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Grow 30.74% share toward 40%+</w:t>
            </w:r>
          </w:p>
        </w:tc>
      </w:tr>
    </w:tbl>
    <w:p>
      <w:pPr>
        <w:spacing w:after="0" w:before="200"/>
      </w:pPr>
    </w:p>
    <w:p>
      <w:pPr>
        <w:pBdr>
          <w:bottom w:val="single" w:color="C9A227" w:sz="6"/>
        </w:pBdr>
        <w:spacing w:after="200" w:before="500"/>
      </w:pPr>
      <w:r>
        <w:rPr>
          <w:rFonts w:ascii="Calibri" w:cs="Calibri" w:eastAsia="Calibri" w:hAnsi="Calibri"/>
          <w:b/>
          <w:bCs/>
          <w:color w:val="C9A227"/>
          <w:sz w:val="36"/>
          <w:szCs w:val="36"/>
        </w:rPr>
        <w:t xml:space="preserve">7  </w:t>
      </w:r>
      <w:r>
        <w:rPr>
          <w:rFonts w:ascii="Calibri" w:cs="Calibri" w:eastAsia="Calibri" w:hAnsi="Calibri"/>
          <w:b/>
          <w:bCs/>
          <w:color w:val="1B2A4A"/>
          <w:sz w:val="36"/>
          <w:szCs w:val="36"/>
        </w:rPr>
        <w:t xml:space="preserve">Tools &amp; Skills Demonstrated</w:t>
      </w:r>
    </w:p>
    <w:tbl>
      <w:tblPr>
        <w:tblW w:type="dxa" w:w="10800"/>
        <w:tblBorders>
          <w:top w:val="single" w:color="DEE2E6" w:sz="4"/>
          <w:left w:val="single" w:color="DEE2E6" w:sz="4"/>
          <w:bottom w:val="single" w:color="DEE2E6" w:sz="4"/>
          <w:right w:val="single" w:color="DEE2E6" w:sz="4"/>
          <w:insideH w:val="single" w:color="auto" w:sz="4"/>
          <w:insideV w:val="single" w:color="auto" w:sz="4"/>
        </w:tblBorders>
      </w:tblPr>
      <w:tblGrid>
        <w:gridCol w:w="3600"/>
        <w:gridCol w:w="3600"/>
        <w:gridCol w:w="3600"/>
      </w:tblGrid>
      <w:tr>
        <w:tc>
          <w:tcPr>
            <w:tcW w:type="dxa" w:w="36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Tool</w:t>
            </w:r>
          </w:p>
        </w:tc>
        <w:tc>
          <w:tcPr>
            <w:tcW w:type="dxa" w:w="36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Skills Applied</w:t>
            </w:r>
          </w:p>
        </w:tc>
        <w:tc>
          <w:tcPr>
            <w:tcW w:type="dxa" w:w="3600"/>
            <w:shd w:fill="1B2A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Deliverable</w:t>
            </w:r>
          </w:p>
        </w:tc>
      </w:tr>
      <w:tr>
        <w:tc>
          <w:tcPr>
            <w:tcW w:type="dxa" w:w="36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Microsoft Excel</w:t>
            </w:r>
          </w:p>
        </w:tc>
        <w:tc>
          <w:tcPr>
            <w:tcW w:type="dxa" w:w="36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Pivot Tables, Sorting, Filtering</w:t>
            </w:r>
          </w:p>
        </w:tc>
        <w:tc>
          <w:tcPr>
            <w:tcW w:type="dxa" w:w="36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5 Pivot Table analyses</w:t>
            </w:r>
          </w:p>
        </w:tc>
      </w:tr>
      <w:tr>
        <w:tc>
          <w:tcPr>
            <w:tcW w:type="dxa" w:w="36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SQLite</w:t>
            </w:r>
          </w:p>
        </w:tc>
        <w:tc>
          <w:tcPr>
            <w:tcW w:type="dxa" w:w="36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SELECT, SUM, GROUP BY, HAVING, LIMIT</w:t>
            </w:r>
          </w:p>
        </w:tc>
        <w:tc>
          <w:tcPr>
            <w:tcW w:type="dxa" w:w="36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5 production SQL queries</w:t>
            </w:r>
          </w:p>
        </w:tc>
      </w:tr>
      <w:tr>
        <w:tc>
          <w:tcPr>
            <w:tcW w:type="dxa" w:w="3600"/>
            <w:shd w:fill="FFFFFF"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Power BI Web</w:t>
            </w:r>
          </w:p>
        </w:tc>
        <w:tc>
          <w:tcPr>
            <w:tcW w:type="dxa" w:w="36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Bar Charts, Pie Chart, KPI Cards</w:t>
            </w:r>
          </w:p>
        </w:tc>
        <w:tc>
          <w:tcPr>
            <w:tcW w:type="dxa" w:w="3600"/>
            <w:shd w:fill="FFFFFF"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5-visual dashboard</w:t>
            </w:r>
          </w:p>
        </w:tc>
      </w:tr>
      <w:tr>
        <w:tc>
          <w:tcPr>
            <w:tcW w:type="dxa" w:w="3600"/>
            <w:shd w:fill="F8F9FA" w:val="clear"/>
            <w:tcMar>
              <w:top w:type="dxa" w:w="80"/>
              <w:left w:type="dxa" w:w="160"/>
              <w:bottom w:type="dxa" w:w="80"/>
              <w:right w:type="dxa" w:w="160"/>
            </w:tcMar>
          </w:tcPr>
          <w:p>
            <w:pPr>
              <w:jc w:val="left"/>
            </w:pPr>
            <w:r>
              <w:rPr>
                <w:rFonts w:ascii="Calibri" w:cs="Calibri" w:eastAsia="Calibri" w:hAnsi="Calibri"/>
                <w:b/>
                <w:bCs/>
                <w:color w:val="2C3E50"/>
                <w:sz w:val="20"/>
                <w:szCs w:val="20"/>
              </w:rPr>
              <w:t xml:space="preserve">GitHub</w:t>
            </w:r>
          </w:p>
        </w:tc>
        <w:tc>
          <w:tcPr>
            <w:tcW w:type="dxa" w:w="36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Version control, README, documentation</w:t>
            </w:r>
          </w:p>
        </w:tc>
        <w:tc>
          <w:tcPr>
            <w:tcW w:type="dxa" w:w="3600"/>
            <w:shd w:fill="F8F9FA" w:val="clear"/>
            <w:tcMar>
              <w:top w:type="dxa" w:w="80"/>
              <w:left w:type="dxa" w:w="160"/>
              <w:bottom w:type="dxa" w:w="80"/>
              <w:right w:type="dxa" w:w="160"/>
            </w:tcMar>
          </w:tcPr>
          <w:p>
            <w:pPr>
              <w:jc w:val="center"/>
            </w:pPr>
            <w:r>
              <w:rPr>
                <w:rFonts w:ascii="Calibri" w:cs="Calibri" w:eastAsia="Calibri" w:hAnsi="Calibri"/>
                <w:b w:val="false"/>
                <w:bCs w:val="false"/>
                <w:color w:val="2C3E50"/>
                <w:sz w:val="20"/>
                <w:szCs w:val="20"/>
              </w:rPr>
              <w:t xml:space="preserve">Public portfolio repo</w:t>
            </w:r>
          </w:p>
        </w:tc>
      </w:tr>
    </w:tbl>
    <w:p>
      <w:pPr>
        <w:spacing w:after="0" w:before="300"/>
      </w:pPr>
    </w:p>
    <w:p>
      <w:pPr>
        <w:pBdr>
          <w:bottom w:val="single" w:color="DEE2E6" w:sz="2"/>
        </w:pBdr>
        <w:spacing w:after="200" w:before="200"/>
      </w:pPr>
    </w:p>
    <w:p>
      <w:pPr>
        <w:spacing w:before="200"/>
        <w:jc w:val="center"/>
      </w:pPr>
      <w:r>
        <w:rPr>
          <w:rFonts w:ascii="Calibri" w:cs="Calibri" w:eastAsia="Calibri" w:hAnsi="Calibri"/>
          <w:i/>
          <w:iCs/>
          <w:color w:val="8EAFC2"/>
          <w:sz w:val="18"/>
          <w:szCs w:val="18"/>
        </w:rPr>
        <w:t xml:space="preserve">Produced as part of a 2-week Sales &amp; Inventory Analytics project — a foundational step toward supply chain analytics.</w:t>
      </w:r>
    </w:p>
    <w:sectPr>
      <w:pgSz w:w="12240" w:h="15840"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2026-07-01T11:30:21.910Z</dcterms:created>
  <dcterms:modified xsi:type="dcterms:W3CDTF">2026-07-01T11:30:21.911Z</dcterms:modified>
</cp:coreProperties>
</file>

<file path=docProps/custom.xml><?xml version="1.0" encoding="utf-8"?>
<Properties xmlns="http://schemas.openxmlformats.org/officeDocument/2006/custom-properties" xmlns:vt="http://schemas.openxmlformats.org/officeDocument/2006/docPropsVTypes"/>
</file>