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Calibri" w:cs="Calibri" w:eastAsia="Calibri" w:hAnsi="Calibri"/>
          <w:color w:val="14171F"/>
          <w:sz w:val="22"/>
          <w:szCs w:val="22"/>
        </w:rPr>
        <w:t xml:space="preserve"/>
      </w:r>
    </w:p>
    <w:p>
      <w:pPr>
        <w:spacing w:after="60"/>
      </w:pPr>
      <w:r>
        <w:rPr>
          <w:rFonts w:ascii="Consolas" w:cs="Consolas" w:eastAsia="Consolas" w:hAnsi="Consolas"/>
          <w:b/>
          <w:bCs/>
          <w:caps/>
          <w:color w:val="B08948"/>
          <w:sz w:val="16"/>
          <w:szCs w:val="16"/>
        </w:rPr>
        <w:t xml:space="preserve">AstroHack 2026 · AstroLive Challenge · Solo submission</w:t>
      </w:r>
    </w:p>
    <w:p>
      <w:pPr>
        <w:spacing w:after="100" w:before="200"/>
      </w:pPr>
      <w:r>
        <w:rPr>
          <w:rFonts w:ascii="Georgia" w:cs="Georgia" w:eastAsia="Georgia" w:hAnsi="Georgia"/>
          <w:b/>
          <w:bCs/>
          <w:color w:val="1B2A4A"/>
          <w:sz w:val="96"/>
          <w:szCs w:val="96"/>
        </w:rPr>
        <w:t xml:space="preserve">Sutra</w:t>
      </w:r>
    </w:p>
    <w:p>
      <w:pPr>
        <w:spacing w:after="400"/>
      </w:pPr>
      <w:r>
        <w:rPr>
          <w:rFonts w:ascii="Georgia" w:cs="Georgia" w:eastAsia="Georgia" w:hAnsi="Georgia"/>
          <w:b/>
          <w:bCs/>
          <w:i/>
          <w:iCs/>
          <w:color w:val="1B2A4A"/>
          <w:sz w:val="32"/>
          <w:szCs w:val="32"/>
        </w:rPr>
        <w:t xml:space="preserve">The thread through your chart.</w:t>
      </w:r>
    </w:p>
    <w:p>
      <w:pPr>
        <w:pBdr>
          <w:bottom w:val="single" w:color="B08948" w:sz="6"/>
        </w:pBdr>
        <w:spacing w:after="200" w:before="100"/>
      </w:pPr>
      <w:r>
        <w:rPr>
          <w:rFonts w:ascii="Calibri" w:cs="Calibri" w:eastAsia="Calibri" w:hAnsi="Calibri"/>
          <w:color w:val="14171F"/>
          <w:sz w:val="22"/>
          <w:szCs w:val="22"/>
        </w:rPr>
        <w:t xml:space="preserve"/>
      </w:r>
    </w:p>
    <w:p>
      <w:pPr>
        <w:spacing w:after="120" w:line="300"/>
      </w:pPr>
      <w:r>
        <w:rPr>
          <w:rFonts w:ascii="Calibri" w:cs="Calibri" w:eastAsia="Calibri" w:hAnsi="Calibri"/>
          <w:color w:val="14171F"/>
          <w:sz w:val="22"/>
          <w:szCs w:val="22"/>
        </w:rPr>
        <w:t xml:space="preserve">A persistent-memory astrology platform. Built for AstroLive as a solution to the category’s margin ceiling, CAC hole, and the amnesia defect that mechanically drives churn.</w:t>
      </w:r>
    </w:p>
    <w:p>
      <w:pPr>
        <w:spacing w:after="400"/>
      </w:pPr>
      <w:r>
        <w:rPr>
          <w:rFonts w:ascii="Calibri" w:cs="Calibri" w:eastAsia="Calibri" w:hAnsi="Calibri"/>
          <w:color w:val="14171F"/>
          <w:sz w:val="22"/>
          <w:szCs w:val="22"/>
        </w:rPr>
        <w:t xml:space="preserve"/>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Live app</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https://sutra-client.vercel.app</w:t>
            </w:r>
          </w:p>
        </w:tc>
      </w:tr>
      <w:tr>
        <w:tc>
          <w:tcPr>
            <w:tcW w:type="dxa" w:w="3200"/>
            <w:tcBorders>
              <w:top w:val="single" w:color="C8BEA8" w:sz="4"/>
              <w:left w:val="single" w:color="C8BEA8" w:sz="4"/>
              <w:bottom w:val="single" w:color="C8BEA8" w:sz="4"/>
              <w:right w:val="single" w:color="C8BEA8" w:sz="4"/>
            </w:tcBorders>
          </w:tcPr>
          <w:p>
            <w:pPr>
              <w:spacing w:after="0"/>
            </w:pPr>
            <w:r>
              <w:rPr>
                <w:rFonts w:ascii="Consolas" w:cs="Consolas" w:eastAsia="Consolas" w:hAnsi="Consolas"/>
                <w:b/>
                <w:bCs/>
                <w:caps/>
                <w:color w:val="B08948"/>
                <w:sz w:val="16"/>
                <w:szCs w:val="16"/>
              </w:rPr>
              <w:t xml:space="preserve">Repository</w:t>
            </w:r>
          </w:p>
        </w:tc>
        <w:tc>
          <w:tcPr>
            <w:tcW w:type="dxa" w:w="66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https://github.com/aryamanbhati/sutra</w:t>
            </w:r>
          </w:p>
        </w:tc>
      </w:tr>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Demo login</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demo@sutra.app / demo1234  (surfaced on the login screen)</w:t>
            </w:r>
          </w:p>
        </w:tc>
      </w:tr>
      <w:tr>
        <w:tc>
          <w:tcPr>
            <w:tcW w:type="dxa" w:w="3200"/>
            <w:tcBorders>
              <w:top w:val="single" w:color="C8BEA8" w:sz="4"/>
              <w:left w:val="single" w:color="C8BEA8" w:sz="4"/>
              <w:bottom w:val="single" w:color="C8BEA8" w:sz="4"/>
              <w:right w:val="single" w:color="C8BEA8" w:sz="4"/>
            </w:tcBorders>
          </w:tcPr>
          <w:p>
            <w:pPr>
              <w:spacing w:after="0"/>
            </w:pPr>
            <w:r>
              <w:rPr>
                <w:rFonts w:ascii="Consolas" w:cs="Consolas" w:eastAsia="Consolas" w:hAnsi="Consolas"/>
                <w:b/>
                <w:bCs/>
                <w:caps/>
                <w:color w:val="B08948"/>
                <w:sz w:val="16"/>
                <w:szCs w:val="16"/>
              </w:rPr>
              <w:t xml:space="preserve">Submission</w:t>
            </w:r>
          </w:p>
        </w:tc>
        <w:tc>
          <w:tcPr>
            <w:tcW w:type="dxa" w:w="66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Aryaman Bhati · IIT Delhi</w:t>
            </w:r>
          </w:p>
        </w:tc>
      </w:tr>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Deadline</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20 August 2026, 23:59 IST</w:t>
            </w:r>
          </w:p>
        </w:tc>
      </w:tr>
    </w:tbl>
    <w:p>
      <w:pPr>
        <w:spacing w:after="400"/>
      </w:pPr>
      <w:r>
        <w:rPr>
          <w:rFonts w:ascii="Calibri" w:cs="Calibri" w:eastAsia="Calibri" w:hAnsi="Calibri"/>
          <w:color w:val="14171F"/>
          <w:sz w:val="22"/>
          <w:szCs w:val="22"/>
        </w:rPr>
        <w:t xml:space="preserve"/>
      </w:r>
    </w:p>
    <w:p>
      <w:pPr>
        <w:spacing w:after="120" w:line="300"/>
      </w:pPr>
      <w:r>
        <w:rPr>
          <w:rFonts w:ascii="Calibri" w:cs="Calibri" w:eastAsia="Calibri" w:hAnsi="Calibri"/>
          <w:color w:val="2E4370"/>
          <w:sz w:val="18"/>
          <w:szCs w:val="18"/>
        </w:rPr>
        <w:t xml:space="preserve">This report accompanies a working prototype. Every architectural claim below is instantiated in code that a judge can inspect, deploy, and use.</w:t>
      </w:r>
    </w:p>
    <w:p>
      <w:r>
        <w:br w:type="page"/>
      </w:r>
    </w:p>
    <w:p>
      <w:pPr>
        <w:pStyle w:val="Heading1"/>
        <w:spacing w:after="240" w:before="400"/>
      </w:pPr>
      <w:r>
        <w:rPr>
          <w:rFonts w:ascii="Georgia" w:cs="Georgia" w:eastAsia="Georgia" w:hAnsi="Georgia"/>
          <w:b/>
          <w:bCs/>
          <w:color w:val="1B2A4A"/>
          <w:sz w:val="40"/>
          <w:szCs w:val="40"/>
        </w:rPr>
        <w:t xml:space="preserve">1  Executive Summary</w:t>
      </w:r>
    </w:p>
    <w:p>
      <w:pPr>
        <w:spacing w:after="160"/>
      </w:pPr>
      <w:r>
        <w:rPr>
          <w:rFonts w:ascii="Calibri" w:cs="Calibri" w:eastAsia="Calibri" w:hAnsi="Calibri"/>
          <w:color w:val="14171F"/>
          <w:sz w:val="22"/>
          <w:szCs w:val="22"/>
        </w:rPr>
        <w:t xml:space="preserve">The Indian astrology consultation market has scaled to hundreds of crores in annual revenue without solving the two problems that keep it structurally unprofitable: gross margin is capped at what an astrologer will accept per minute (~50%), and paid-marketing customer acquisition takes roughly eight months to recover. The category leader grew revenue 85% year on year in FY25 while net profit fell 62%. That is the shape of growth that consumes cash.</w:t>
      </w:r>
    </w:p>
    <w:p>
      <w:pPr>
        <w:spacing w:after="160"/>
      </w:pPr>
      <w:r>
        <w:rPr>
          <w:rFonts w:ascii="Calibri" w:cs="Calibri" w:eastAsia="Calibri" w:hAnsi="Calibri"/>
          <w:color w:val="14171F"/>
          <w:sz w:val="22"/>
          <w:szCs w:val="22"/>
        </w:rPr>
        <w:t xml:space="preserve">The mechanical reason both problems persist is what we call the amnesia defect. Every consultation starts from zero. Users re-explain their situation each time; astrologers cannot see the last call’s prediction, the last remedy prescribed, or how the last one landed; users receive contradictory advice from different astrologers on the same question, lose trust, and churn. The retention problem and the "they’re just guessing" perception dominating category reviews are the same underlying failure surfaced twice.</w:t>
      </w:r>
    </w:p>
    <w:p>
      <w:pPr>
        <w:spacing w:after="160"/>
      </w:pPr>
      <w:r>
        <w:rPr>
          <w:rFonts w:ascii="Calibri" w:cs="Calibri" w:eastAsia="Calibri" w:hAnsi="Calibri"/>
          <w:color w:val="14171F"/>
          <w:sz w:val="22"/>
          <w:szCs w:val="22"/>
        </w:rPr>
        <w:t xml:space="preserve">Sutra is the persistent-memory layer the category lacks. One data spine — the Life File — is consumed by three surfaces: a daily habit loop, a pre-consult context brief for astrologers, and zero-marginal-cost AI products. Continuity creates switching cost (retention), traceable predictions (trust), and revenue that does not consume astrologer minutes (margin). The prototype implements all three surfaces end to end.</w:t>
      </w:r>
    </w:p>
    <w:p>
      <w:pPr>
        <w:spacing w:after="160"/>
      </w:pPr>
      <w:r>
        <w:rPr>
          <w:rFonts w:ascii="Calibri" w:cs="Calibri" w:eastAsia="Calibri" w:hAnsi="Calibri"/>
          <w:color w:val="14171F"/>
          <w:sz w:val="22"/>
          <w:szCs w:val="22"/>
        </w:rPr>
        <w:t xml:space="preserve">This document teardown the category and AstroLive’s position within it, states the diagnosis Sutra is built on, describes the product and its architecture, projects impact on the specific metrics that determine unit economics, and outlines a phased roadmap positioned around the credibility gate that separates an instrument from an oracle.</w:t>
      </w:r>
    </w:p>
    <w:p>
      <w:r>
        <w:br w:type="page"/>
      </w:r>
    </w:p>
    <w:p>
      <w:pPr>
        <w:pStyle w:val="Heading1"/>
        <w:spacing w:after="240" w:before="400"/>
      </w:pPr>
      <w:r>
        <w:rPr>
          <w:rFonts w:ascii="Georgia" w:cs="Georgia" w:eastAsia="Georgia" w:hAnsi="Georgia"/>
          <w:b/>
          <w:bCs/>
          <w:color w:val="1B2A4A"/>
          <w:sz w:val="40"/>
          <w:szCs w:val="40"/>
        </w:rPr>
        <w:t xml:space="preserve">2  The Category and AstroLive Today</w:t>
      </w:r>
    </w:p>
    <w:p>
      <w:pPr>
        <w:spacing w:after="160"/>
      </w:pPr>
      <w:r>
        <w:rPr>
          <w:rFonts w:ascii="Calibri" w:cs="Calibri" w:eastAsia="Calibri" w:hAnsi="Calibri"/>
          <w:color w:val="14171F"/>
          <w:sz w:val="22"/>
          <w:szCs w:val="22"/>
        </w:rPr>
        <w:t xml:space="preserve">The Indian online astrology market is one of the most quietly successful vertical marketplaces to emerge from mobile-first Indian consumer internet. AstroTalk, the category leader, reported ₹1,214 crore of revenue in FY25, up 85% year over year, on a platform of roughly three crore users and fifteen thousand astrologers. The company is IPO-bound and holds an estimated eighty percent share of the online consultation category [1].</w:t>
      </w:r>
    </w:p>
    <w:p>
      <w:pPr>
        <w:spacing w:after="160"/>
      </w:pPr>
      <w:r>
        <w:rPr>
          <w:rFonts w:ascii="Calibri" w:cs="Calibri" w:eastAsia="Calibri" w:hAnsi="Calibri"/>
          <w:color w:val="14171F"/>
          <w:sz w:val="22"/>
          <w:szCs w:val="22"/>
        </w:rPr>
        <w:t xml:space="preserve">AstroLive competes in the same shape of market as a challenger. Its entry pricing is ₹10 per call with three free calls for a new user; the core product is per-minute paid audio and chat consultation with an astrologer, complemented by non-consultation modules — daily and weekly horoscopes, kundli generation, numerology, tarot, and a B2B arm that packages a white-label app for individual practitioners.</w:t>
      </w:r>
    </w:p>
    <w:p>
      <w:pPr>
        <w:pStyle w:val="Heading3"/>
        <w:spacing w:after="120" w:before="240"/>
      </w:pPr>
      <w:r>
        <w:rPr>
          <w:rFonts w:ascii="Georgia" w:cs="Georgia" w:eastAsia="Georgia" w:hAnsi="Georgia"/>
          <w:b/>
          <w:bCs/>
          <w:color w:val="1B2A4A"/>
          <w:sz w:val="24"/>
          <w:szCs w:val="24"/>
        </w:rPr>
        <w:t xml:space="preserve">What is working</w:t>
      </w:r>
    </w:p>
    <w:p>
      <w:pPr>
        <w:pStyle w:val="ListParagraph"/>
        <w:numPr>
          <w:ilvl w:val="0"/>
          <w:numId w:val="1"/>
        </w:numPr>
        <w:spacing w:after="80"/>
      </w:pPr>
      <w:r>
        <w:rPr>
          <w:rFonts w:ascii="Calibri" w:cs="Calibri" w:eastAsia="Calibri" w:hAnsi="Calibri"/>
          <w:color w:val="14171F"/>
          <w:sz w:val="22"/>
          <w:szCs w:val="22"/>
        </w:rPr>
        <w:t xml:space="preserve">Category-native pricing structure. Sub-₹15 entry pricing and the free-call funnel are correctly calibrated to Tier 2/3 Indian consumers, where astrology is a household consultation category rather than a novelty.</w:t>
      </w:r>
    </w:p>
    <w:p>
      <w:pPr>
        <w:pStyle w:val="ListParagraph"/>
        <w:numPr>
          <w:ilvl w:val="0"/>
          <w:numId w:val="1"/>
        </w:numPr>
        <w:spacing w:after="80"/>
      </w:pPr>
      <w:r>
        <w:rPr>
          <w:rFonts w:ascii="Calibri" w:cs="Calibri" w:eastAsia="Calibri" w:hAnsi="Calibri"/>
          <w:color w:val="14171F"/>
          <w:sz w:val="22"/>
          <w:szCs w:val="22"/>
        </w:rPr>
        <w:t xml:space="preserve">Real supply. A working roster of vernacular-language astrologers is a genuine moat; the operations to recruit, verify, and rate practitioners is not trivial to replicate.</w:t>
      </w:r>
    </w:p>
    <w:p>
      <w:pPr>
        <w:pStyle w:val="ListParagraph"/>
        <w:numPr>
          <w:ilvl w:val="0"/>
          <w:numId w:val="1"/>
        </w:numPr>
        <w:spacing w:after="80"/>
      </w:pPr>
      <w:r>
        <w:rPr>
          <w:rFonts w:ascii="Calibri" w:cs="Calibri" w:eastAsia="Calibri" w:hAnsi="Calibri"/>
          <w:color w:val="14171F"/>
          <w:sz w:val="22"/>
          <w:szCs w:val="22"/>
        </w:rPr>
        <w:t xml:space="preserve">Wide surface area. Horoscope, kundli, numerology, tarot, matchmaking give the product multiple reasons to be opened even on non-consultation days, which is the raw material for retention.</w:t>
      </w:r>
    </w:p>
    <w:p>
      <w:pPr>
        <w:pStyle w:val="Heading3"/>
        <w:spacing w:after="120" w:before="240"/>
      </w:pPr>
      <w:r>
        <w:rPr>
          <w:rFonts w:ascii="Georgia" w:cs="Georgia" w:eastAsia="Georgia" w:hAnsi="Georgia"/>
          <w:b/>
          <w:bCs/>
          <w:color w:val="1B2A4A"/>
          <w:sz w:val="24"/>
          <w:szCs w:val="24"/>
        </w:rPr>
        <w:t xml:space="preserve">What is not working (and why)</w:t>
      </w:r>
    </w:p>
    <w:p>
      <w:pPr>
        <w:pStyle w:val="ListParagraph"/>
        <w:numPr>
          <w:ilvl w:val="0"/>
          <w:numId w:val="1"/>
        </w:numPr>
        <w:spacing w:after="80"/>
      </w:pPr>
      <w:r>
        <w:rPr>
          <w:rFonts w:ascii="Calibri" w:cs="Calibri" w:eastAsia="Calibri" w:hAnsi="Calibri"/>
          <w:color w:val="14171F"/>
          <w:sz w:val="22"/>
          <w:szCs w:val="22"/>
        </w:rPr>
        <w:t xml:space="preserve">Revenue is roughly 90–95% consultation-driven. Every rupee of that revenue is a rupee of astrologer time; the take rate is what remains after paying supply. Gross margin cannot scale because it is 1:1 with human minutes.</w:t>
      </w:r>
    </w:p>
    <w:p>
      <w:pPr>
        <w:pStyle w:val="ListParagraph"/>
        <w:numPr>
          <w:ilvl w:val="0"/>
          <w:numId w:val="1"/>
        </w:numPr>
        <w:spacing w:after="80"/>
      </w:pPr>
      <w:r>
        <w:rPr>
          <w:rFonts w:ascii="Calibri" w:cs="Calibri" w:eastAsia="Calibri" w:hAnsi="Calibri"/>
          <w:color w:val="14171F"/>
          <w:sz w:val="22"/>
          <w:szCs w:val="22"/>
        </w:rPr>
        <w:t xml:space="preserve">About half of transacting users are acquired through paid marketing. A per-minute product priced at ₹10–₹30 needs many minutes per user to pay back an acquisition cost measured in hundreds of rupees. The category leader’s eight-month payback window is the industry norm, not an anomaly [1].</w:t>
      </w:r>
    </w:p>
    <w:p>
      <w:pPr>
        <w:pStyle w:val="ListParagraph"/>
        <w:numPr>
          <w:ilvl w:val="0"/>
          <w:numId w:val="1"/>
        </w:numPr>
        <w:spacing w:after="80"/>
      </w:pPr>
      <w:r>
        <w:rPr>
          <w:rFonts w:ascii="Calibri" w:cs="Calibri" w:eastAsia="Calibri" w:hAnsi="Calibri"/>
          <w:color w:val="14171F"/>
          <w:sz w:val="22"/>
          <w:szCs w:val="22"/>
        </w:rPr>
        <w:t xml:space="preserve">The wide surface area does not translate into a persistent user profile. Horoscopes are computed statelessly, kundli is one-shot, and consultation notes are not carried forward. The user gets a broader menu but not a deeper relationship.</w:t>
      </w:r>
    </w:p>
    <w:p>
      <w:pPr>
        <w:pStyle w:val="ListParagraph"/>
        <w:numPr>
          <w:ilvl w:val="0"/>
          <w:numId w:val="1"/>
        </w:numPr>
        <w:spacing w:after="80"/>
      </w:pPr>
      <w:r>
        <w:rPr>
          <w:rFonts w:ascii="Calibri" w:cs="Calibri" w:eastAsia="Calibri" w:hAnsi="Calibri"/>
          <w:color w:val="14171F"/>
          <w:sz w:val="22"/>
          <w:szCs w:val="22"/>
        </w:rPr>
        <w:t xml:space="preserve">Category app-store and social reviews cluster around one accusation: astrologers "just make it up." This is often a fair complaint about a specific bad consultation; more often, it is the emergent consequence of two different astrologers, on two different days, giving irreconcilable readings on the same question — because neither could see what the other said.</w:t>
      </w:r>
    </w:p>
    <w:p>
      <w:r>
        <w:br w:type="page"/>
      </w:r>
    </w:p>
    <w:p>
      <w:pPr>
        <w:pStyle w:val="Heading1"/>
        <w:spacing w:after="240" w:before="400"/>
      </w:pPr>
      <w:r>
        <w:rPr>
          <w:rFonts w:ascii="Georgia" w:cs="Georgia" w:eastAsia="Georgia" w:hAnsi="Georgia"/>
          <w:b/>
          <w:bCs/>
          <w:color w:val="1B2A4A"/>
          <w:sz w:val="40"/>
          <w:szCs w:val="40"/>
        </w:rPr>
        <w:t xml:space="preserve">3  Diagnosis: Why Growth Consumes Cash</w:t>
      </w:r>
    </w:p>
    <w:p>
      <w:pPr>
        <w:spacing w:after="160"/>
      </w:pPr>
      <w:r>
        <w:rPr>
          <w:rFonts w:ascii="Calibri" w:cs="Calibri" w:eastAsia="Calibri" w:hAnsi="Calibri"/>
          <w:color w:val="14171F"/>
          <w:sz w:val="22"/>
          <w:szCs w:val="22"/>
        </w:rPr>
        <w:t xml:space="preserve">The category’s problems are not separate. They compound through three specific mechanisms.</w:t>
      </w:r>
    </w:p>
    <w:p>
      <w:pPr>
        <w:pStyle w:val="Heading2"/>
        <w:spacing w:after="160" w:before="320"/>
      </w:pPr>
      <w:r>
        <w:rPr>
          <w:rFonts w:ascii="Georgia" w:cs="Georgia" w:eastAsia="Georgia" w:hAnsi="Georgia"/>
          <w:b/>
          <w:bCs/>
          <w:color w:val="1B2A4A"/>
          <w:sz w:val="30"/>
          <w:szCs w:val="30"/>
        </w:rPr>
        <w:t xml:space="preserve">3.1  The margin ceiling</w:t>
      </w:r>
    </w:p>
    <w:p>
      <w:pPr>
        <w:spacing w:after="160"/>
      </w:pPr>
      <w:r>
        <w:rPr>
          <w:rFonts w:ascii="Calibri" w:cs="Calibri" w:eastAsia="Calibri" w:hAnsi="Calibri"/>
          <w:color w:val="14171F"/>
          <w:sz w:val="22"/>
          <w:szCs w:val="22"/>
        </w:rPr>
        <w:t xml:space="preserve">Revenue is dominated by consultation minutes. Astrologers keep approximately half of the per-minute fee. This means gross margin is structurally capped by supply — no operational efficiency reduces the marginal cost of a minute of a human astrologer’s time. The category leader’s FY25 result illustrates the trap directly: revenue up 85%, net profit down 62% [1]. When the growth engine is "sell more minutes," scale amplifies fixed and variable costs faster than it improves margin. This is not a management failure; it is the shape of a marketplace whose unit is time.</w:t>
      </w:r>
    </w:p>
    <w:p>
      <w:pPr>
        <w:pStyle w:val="Heading2"/>
        <w:spacing w:after="160" w:before="320"/>
      </w:pPr>
      <w:r>
        <w:rPr>
          <w:rFonts w:ascii="Georgia" w:cs="Georgia" w:eastAsia="Georgia" w:hAnsi="Georgia"/>
          <w:b/>
          <w:bCs/>
          <w:color w:val="1B2A4A"/>
          <w:sz w:val="30"/>
          <w:szCs w:val="30"/>
        </w:rPr>
        <w:t xml:space="preserve">3.2  The CAC hole</w:t>
      </w:r>
    </w:p>
    <w:p>
      <w:pPr>
        <w:spacing w:after="160"/>
      </w:pPr>
      <w:r>
        <w:rPr>
          <w:rFonts w:ascii="Calibri" w:cs="Calibri" w:eastAsia="Calibri" w:hAnsi="Calibri"/>
          <w:color w:val="14171F"/>
          <w:sz w:val="22"/>
          <w:szCs w:val="22"/>
        </w:rPr>
        <w:t xml:space="preserve">If half of transacting users come from paid channels and the median user buys a small number of minutes at ₹10–₹30 per minute, back-of-envelope payback windows land around eight months. The company is effectively borrowing against future retention every time it acquires a new user. This works as long as retention holds; it breaks catastrophically the moment retention weakens, because acquisition spend has already been committed against LTV that no longer materialises.</w:t>
      </w:r>
    </w:p>
    <w:p>
      <w:pPr>
        <w:pStyle w:val="Heading2"/>
        <w:spacing w:after="160" w:before="320"/>
      </w:pPr>
      <w:r>
        <w:rPr>
          <w:rFonts w:ascii="Georgia" w:cs="Georgia" w:eastAsia="Georgia" w:hAnsi="Georgia"/>
          <w:b/>
          <w:bCs/>
          <w:color w:val="1B2A4A"/>
          <w:sz w:val="30"/>
          <w:szCs w:val="30"/>
        </w:rPr>
        <w:t xml:space="preserve">3.3  The amnesia defect</w:t>
      </w:r>
    </w:p>
    <w:p>
      <w:pPr>
        <w:spacing w:after="160"/>
      </w:pPr>
      <w:r>
        <w:rPr>
          <w:rFonts w:ascii="Calibri" w:cs="Calibri" w:eastAsia="Calibri" w:hAnsi="Calibri"/>
          <w:color w:val="14171F"/>
          <w:sz w:val="22"/>
          <w:szCs w:val="22"/>
        </w:rPr>
        <w:t xml:space="preserve">Both the margin ceiling and the CAC hole are widely acknowledged. What is less widely diagnosed is the mechanical connection between them and the specific product experience that produces churn. We call this the amnesia defect, and it works like this:</w:t>
      </w:r>
    </w:p>
    <w:p>
      <w:pPr>
        <w:pStyle w:val="ListParagraph"/>
        <w:numPr>
          <w:ilvl w:val="0"/>
          <w:numId w:val="2"/>
        </w:numPr>
        <w:spacing w:after="80"/>
      </w:pPr>
      <w:r>
        <w:rPr>
          <w:rFonts w:ascii="Calibri" w:cs="Calibri" w:eastAsia="Calibri" w:hAnsi="Calibri"/>
          <w:color w:val="14171F"/>
          <w:sz w:val="22"/>
          <w:szCs w:val="22"/>
        </w:rPr>
        <w:t xml:space="preserve">A user contacts an astrologer, describes their situation, receives advice, and hangs up. Neither the description nor the advice is captured in any structured form the platform can re-use.</w:t>
      </w:r>
    </w:p>
    <w:p>
      <w:pPr>
        <w:pStyle w:val="ListParagraph"/>
        <w:numPr>
          <w:ilvl w:val="0"/>
          <w:numId w:val="2"/>
        </w:numPr>
        <w:spacing w:after="80"/>
      </w:pPr>
      <w:r>
        <w:rPr>
          <w:rFonts w:ascii="Calibri" w:cs="Calibri" w:eastAsia="Calibri" w:hAnsi="Calibri"/>
          <w:color w:val="14171F"/>
          <w:sz w:val="22"/>
          <w:szCs w:val="22"/>
        </w:rPr>
        <w:t xml:space="preserve">The user returns two weeks later, is randomly matched to a different astrologer, and re-explains their situation. That astrologer, without visibility into the previous consultation, gives advice that either contradicts, ignores, or accidentally duplicates the first — sometimes all three.</w:t>
      </w:r>
    </w:p>
    <w:p>
      <w:pPr>
        <w:pStyle w:val="ListParagraph"/>
        <w:numPr>
          <w:ilvl w:val="0"/>
          <w:numId w:val="2"/>
        </w:numPr>
        <w:spacing w:after="80"/>
      </w:pPr>
      <w:r>
        <w:rPr>
          <w:rFonts w:ascii="Calibri" w:cs="Calibri" w:eastAsia="Calibri" w:hAnsi="Calibri"/>
          <w:color w:val="14171F"/>
          <w:sz w:val="22"/>
          <w:szCs w:val="22"/>
        </w:rPr>
        <w:t xml:space="preserve">The user experiences this as "they’re just guessing." They churn — sometimes silently by not returning, sometimes vocally in a review. The platform interprets this as insufficient acquisition or insufficient content variety and responds by spending more on the former and building more of the latter.</w:t>
      </w:r>
    </w:p>
    <w:p>
      <w:pPr>
        <w:spacing w:after="160"/>
      </w:pPr>
      <w:r>
        <w:rPr>
          <w:rFonts w:ascii="Calibri" w:cs="Calibri" w:eastAsia="Calibri" w:hAnsi="Calibri"/>
          <w:color w:val="14171F"/>
          <w:sz w:val="22"/>
          <w:szCs w:val="22"/>
        </w:rPr>
        <w:t xml:space="preserve">Neither response addresses the actual failure. The wide surface (horoscopes, tarot, numerology) does not fix it because none of those modules feed the consultation surface either. The amnesia defect is the mechanical root cause of both the retention problem and the credibility perception — and it is the specific one Sutra is engineered against.</w:t>
      </w:r>
    </w:p>
    <w:p>
      <w:r>
        <w:br w:type="page"/>
      </w:r>
    </w:p>
    <w:p>
      <w:pPr>
        <w:pStyle w:val="Heading1"/>
        <w:spacing w:after="240" w:before="400"/>
      </w:pPr>
      <w:r>
        <w:rPr>
          <w:rFonts w:ascii="Georgia" w:cs="Georgia" w:eastAsia="Georgia" w:hAnsi="Georgia"/>
          <w:b/>
          <w:bCs/>
          <w:color w:val="1B2A4A"/>
          <w:sz w:val="40"/>
          <w:szCs w:val="40"/>
        </w:rPr>
        <w:t xml:space="preserve">4  Sutra: The Solution</w:t>
      </w:r>
    </w:p>
    <w:p>
      <w:pPr>
        <w:pStyle w:val="Heading2"/>
        <w:spacing w:after="160" w:before="320"/>
      </w:pPr>
      <w:r>
        <w:rPr>
          <w:rFonts w:ascii="Georgia" w:cs="Georgia" w:eastAsia="Georgia" w:hAnsi="Georgia"/>
          <w:b/>
          <w:bCs/>
          <w:color w:val="1B2A4A"/>
          <w:sz w:val="30"/>
          <w:szCs w:val="30"/>
        </w:rPr>
        <w:t xml:space="preserve">4.1  The thesis, restated</w:t>
      </w:r>
    </w:p>
    <w:p>
      <w:pPr>
        <w:spacing w:after="160"/>
      </w:pPr>
      <w:r>
        <w:rPr>
          <w:rFonts w:ascii="Calibri" w:cs="Calibri" w:eastAsia="Calibri" w:hAnsi="Calibri"/>
          <w:color w:val="14171F"/>
          <w:sz w:val="22"/>
          <w:szCs w:val="22"/>
        </w:rPr>
        <w:t xml:space="preserve">The category lacks a persistent-memory layer. Sutra builds that layer as one data spine — the Life File — and consumes it from three surfaces. The three surfaces are not modules bolted together; they read and write the same underlying data, which is what allows Sutra to solve retention, trust, and margin simultaneously rather than one at a time.</w:t>
      </w:r>
    </w:p>
    <w:p>
      <w:pPr>
        <w:pStyle w:val="Heading2"/>
        <w:spacing w:after="160" w:before="320"/>
      </w:pPr>
      <w:r>
        <w:rPr>
          <w:rFonts w:ascii="Georgia" w:cs="Georgia" w:eastAsia="Georgia" w:hAnsi="Georgia"/>
          <w:b/>
          <w:bCs/>
          <w:color w:val="1B2A4A"/>
          <w:sz w:val="30"/>
          <w:szCs w:val="30"/>
        </w:rPr>
        <w:t xml:space="preserve">4.2  The Life File</w:t>
      </w:r>
    </w:p>
    <w:p>
      <w:pPr>
        <w:spacing w:after="160"/>
      </w:pPr>
      <w:r>
        <w:rPr>
          <w:rFonts w:ascii="Calibri" w:cs="Calibri" w:eastAsia="Calibri" w:hAnsi="Calibri"/>
          <w:color w:val="14171F"/>
          <w:sz w:val="22"/>
          <w:szCs w:val="22"/>
        </w:rPr>
        <w:t xml:space="preserve">The Life File is a single per-user object that accumulates, in one continuous chronological record: the natal chart, daily check-ins (mood, energy, note, transit snapshot), grounded daily readings generated from live transit conditions, past consultations with topic and summary, and predictions made by astrologers with their target windows and eventual outcomes. It is the object every subsequent interaction reads against and writes into.</w:t>
      </w:r>
    </w:p>
    <w:p>
      <w:pPr>
        <w:spacing w:after="160"/>
      </w:pPr>
      <w:r>
        <w:rPr>
          <w:rFonts w:ascii="Calibri" w:cs="Calibri" w:eastAsia="Calibri" w:hAnsi="Calibri"/>
          <w:color w:val="14171F"/>
          <w:sz w:val="22"/>
          <w:szCs w:val="22"/>
        </w:rPr>
        <w:t xml:space="preserve">In the prototype, this is a Mongo collection joined on user id, materialised into the timeline endpoint that the client renders as a reverse-chronological feed. The Life File is not a UI page; it is the underlying resource that every UI page renders a projection of.</w:t>
      </w:r>
    </w:p>
    <w:p>
      <w:pPr>
        <w:pStyle w:val="Heading2"/>
        <w:spacing w:after="160" w:before="320"/>
      </w:pPr>
      <w:r>
        <w:rPr>
          <w:rFonts w:ascii="Georgia" w:cs="Georgia" w:eastAsia="Georgia" w:hAnsi="Georgia"/>
          <w:b/>
          <w:bCs/>
          <w:color w:val="1B2A4A"/>
          <w:sz w:val="30"/>
          <w:szCs w:val="30"/>
        </w:rPr>
        <w:t xml:space="preserve">4.3  Three surfaces on one spine</w:t>
      </w:r>
    </w:p>
    <w:p>
      <w:pPr>
        <w:pStyle w:val="Heading3"/>
        <w:spacing w:after="120" w:before="240"/>
      </w:pPr>
      <w:r>
        <w:rPr>
          <w:rFonts w:ascii="Georgia" w:cs="Georgia" w:eastAsia="Georgia" w:hAnsi="Georgia"/>
          <w:b/>
          <w:bCs/>
          <w:color w:val="1B2A4A"/>
          <w:sz w:val="24"/>
          <w:szCs w:val="24"/>
        </w:rPr>
        <w:t xml:space="preserve">Surface 1 — The daily loop (user retention)</w:t>
      </w:r>
    </w:p>
    <w:p>
      <w:pPr>
        <w:spacing w:after="160"/>
      </w:pPr>
      <w:r>
        <w:rPr>
          <w:rFonts w:ascii="Calibri" w:cs="Calibri" w:eastAsia="Calibri" w:hAnsi="Calibri"/>
          <w:color w:val="14171F"/>
          <w:sz w:val="22"/>
          <w:szCs w:val="22"/>
        </w:rPr>
        <w:t xml:space="preserve">Every day the user opens Sutra to the Today screen. The API resolves the day’s reading through a three-step cascade: check Redis for a cached reading; miss, check Mongo; miss, compute transit features from the user’s natal chart against today’s ephemeris, generate a grounded narrative, and persist both. The reading is not an open-ended generation — it is a constrained narration of the specific structured facts computed for that user on that day. Beneath the reading is a one-tap check-in: six mood choices, an energy value, an optional note. The streak engine records each successful check-in in a fast Redis path and an authoritative Mongo path; two freezes per calendar month bridge a missed day. The daily loop is the retention mechanism, and the reason it can work at scale is that it costs the platform effectively nothing per active user per day.</w:t>
      </w:r>
    </w:p>
    <w:p>
      <w:pPr>
        <w:pStyle w:val="Heading3"/>
        <w:spacing w:after="120" w:before="240"/>
      </w:pPr>
      <w:r>
        <w:rPr>
          <w:rFonts w:ascii="Georgia" w:cs="Georgia" w:eastAsia="Georgia" w:hAnsi="Georgia"/>
          <w:b/>
          <w:bCs/>
          <w:color w:val="1B2A4A"/>
          <w:sz w:val="24"/>
          <w:szCs w:val="24"/>
        </w:rPr>
        <w:t xml:space="preserve">Surface 2 — The astrologer context brief (astrologer utilisation, call quality)</w:t>
      </w:r>
    </w:p>
    <w:p>
      <w:pPr>
        <w:spacing w:after="160"/>
      </w:pPr>
      <w:r>
        <w:rPr>
          <w:rFonts w:ascii="Calibri" w:cs="Calibri" w:eastAsia="Calibri" w:hAnsi="Calibri"/>
          <w:color w:val="14171F"/>
          <w:sz w:val="22"/>
          <w:szCs w:val="22"/>
        </w:rPr>
        <w:t xml:space="preserve">When a consultation begins, the astrologer sees a pre-loaded brief: chart summary, current streak, last five check-ins with mood trend, open predictions from other astrologers with their target windows, the topics the user has previously asked about. The commercial claim is stated as a measurement in the console header — CONTEXT LOAD: 0:00 · PREVIOUSLY ~5:00 — because framing it as a measurement rather than a marketing line is the design language of the whole product. The brief is why the astrologer earns more per hour on Sutra than on a competitor: they spend the first five minutes of a call answering the user’s actual question rather than establishing context.</w:t>
      </w:r>
    </w:p>
    <w:p>
      <w:pPr>
        <w:pStyle w:val="Heading3"/>
        <w:spacing w:after="120" w:before="240"/>
      </w:pPr>
      <w:r>
        <w:rPr>
          <w:rFonts w:ascii="Georgia" w:cs="Georgia" w:eastAsia="Georgia" w:hAnsi="Georgia"/>
          <w:b/>
          <w:bCs/>
          <w:color w:val="1B2A4A"/>
          <w:sz w:val="24"/>
          <w:szCs w:val="24"/>
        </w:rPr>
        <w:t xml:space="preserve">Surface 3 — Zero-marginal-cost AI products (margin)</w:t>
      </w:r>
    </w:p>
    <w:p>
      <w:pPr>
        <w:spacing w:after="160"/>
      </w:pPr>
      <w:r>
        <w:rPr>
          <w:rFonts w:ascii="Calibri" w:cs="Calibri" w:eastAsia="Calibri" w:hAnsi="Calibri"/>
          <w:color w:val="14171F"/>
          <w:sz w:val="22"/>
          <w:szCs w:val="22"/>
        </w:rPr>
        <w:t xml:space="preserve">Because the Life File contains everything needed to reason about a user, Sutra can generate personalised outputs — the daily reading, later a yearly forecast, a compatibility report joining two users’ Life Files, muhurta (auspicious timing) suggestions, remedy calendars — at a marginal cost of one LLM call each. These are the products that break the margin ceiling: revenue that does not consume astrologer minutes. The Phase 3 daily reading is the first of these. Every subsequent product built on the same substrate improves the ratio of AI-margin revenue to consultation-margin revenue.</w:t>
      </w:r>
    </w:p>
    <w:p>
      <w:pPr>
        <w:pStyle w:val="Heading2"/>
        <w:spacing w:after="160" w:before="320"/>
      </w:pPr>
      <w:r>
        <w:rPr>
          <w:rFonts w:ascii="Georgia" w:cs="Georgia" w:eastAsia="Georgia" w:hAnsi="Georgia"/>
          <w:b/>
          <w:bCs/>
          <w:color w:val="1B2A4A"/>
          <w:sz w:val="30"/>
          <w:szCs w:val="30"/>
        </w:rPr>
        <w:t xml:space="preserve">4.4  Design language: "instrument, not oracle"</w:t>
      </w:r>
    </w:p>
    <w:p>
      <w:pPr>
        <w:spacing w:after="160"/>
      </w:pPr>
      <w:r>
        <w:rPr>
          <w:rFonts w:ascii="Calibri" w:cs="Calibri" w:eastAsia="Calibri" w:hAnsi="Calibri"/>
          <w:color w:val="14171F"/>
          <w:sz w:val="22"/>
          <w:szCs w:val="22"/>
        </w:rPr>
        <w:t xml:space="preserve">The category default is dark purple, nebula gradients, and twinkling stars. Every visual signal is mysticism. This is a strategic error for a product whose central argument is precision and trust. Sutra’s design language references the Jantar Mantar observatory instruments and the North Indian kundli square: sandstone ground, deep indigo type, restrained brass accents, sharp geometry. Display type is a high-contrast serif; body copy is a humanist sans; every measurement — a degree, a coordinate, a streak count, a sample size — is set in a monospaced typeface. Data rendered as measurements is the strongest visual signal of the thesis, and it earns credibility without ever making a claim about accuracy.</w:t>
      </w:r>
    </w:p>
    <w:p>
      <w:r>
        <w:br w:type="page"/>
      </w:r>
    </w:p>
    <w:p>
      <w:pPr>
        <w:pStyle w:val="Heading1"/>
        <w:spacing w:after="240" w:before="400"/>
      </w:pPr>
      <w:r>
        <w:rPr>
          <w:rFonts w:ascii="Georgia" w:cs="Georgia" w:eastAsia="Georgia" w:hAnsi="Georgia"/>
          <w:b/>
          <w:bCs/>
          <w:color w:val="1B2A4A"/>
          <w:sz w:val="40"/>
          <w:szCs w:val="40"/>
        </w:rPr>
        <w:t xml:space="preserve">5  Technical Architecture</w:t>
      </w:r>
    </w:p>
    <w:p>
      <w:pPr>
        <w:spacing w:after="160"/>
      </w:pPr>
      <w:r>
        <w:rPr>
          <w:rFonts w:ascii="Calibri" w:cs="Calibri" w:eastAsia="Calibri" w:hAnsi="Calibri"/>
          <w:color w:val="14171F"/>
          <w:sz w:val="22"/>
          <w:szCs w:val="22"/>
        </w:rPr>
        <w:t xml:space="preserve">Sutra’s architecture is deliberately shaped to the cost model of the product. The frontend is a static SPA served from a CDN; the backend is a long-running container speaking to a managed database and a serverless Redis. Each half scales on its own economics, and the split makes the daily-loop cascade’s cost profile explicit rather than accidental.</w:t>
      </w:r>
    </w:p>
    <w:p>
      <w:pPr>
        <w:pStyle w:val="Heading2"/>
        <w:spacing w:after="160" w:before="320"/>
      </w:pPr>
      <w:r>
        <w:rPr>
          <w:rFonts w:ascii="Georgia" w:cs="Georgia" w:eastAsia="Georgia" w:hAnsi="Georgia"/>
          <w:b/>
          <w:bCs/>
          <w:color w:val="1B2A4A"/>
          <w:sz w:val="30"/>
          <w:szCs w:val="30"/>
        </w:rPr>
        <w:t xml:space="preserve">5.1  The daily-loop cascade</w:t>
      </w:r>
    </w:p>
    <w:p>
      <w:pPr>
        <w:spacing w:after="160"/>
      </w:pPr>
      <w:r>
        <w:rPr>
          <w:rFonts w:ascii="Calibri" w:cs="Calibri" w:eastAsia="Calibri" w:hAnsi="Calibri"/>
          <w:color w:val="14171F"/>
          <w:sz w:val="22"/>
          <w:szCs w:val="22"/>
        </w:rPr>
        <w:t xml:space="preserve">GET /api/today performs the following resolution:</w:t>
      </w:r>
    </w:p>
    <w:p>
      <w:pPr>
        <w:pStyle w:val="ListParagraph"/>
        <w:numPr>
          <w:ilvl w:val="0"/>
          <w:numId w:val="2"/>
        </w:numPr>
        <w:spacing w:after="80"/>
      </w:pPr>
      <w:r>
        <w:rPr>
          <w:rFonts w:ascii="Calibri" w:cs="Calibri" w:eastAsia="Calibri" w:hAnsi="Calibri"/>
          <w:color w:val="14171F"/>
          <w:sz w:val="22"/>
          <w:szCs w:val="22"/>
        </w:rPr>
        <w:t xml:space="preserve">Check Redis at reading:{userId}:{YYYY-MM-DD}. On a hit, return the cached narrative in ~1 ms. This is the fast path and the operating cost.</w:t>
      </w:r>
    </w:p>
    <w:p>
      <w:pPr>
        <w:pStyle w:val="ListParagraph"/>
        <w:numPr>
          <w:ilvl w:val="0"/>
          <w:numId w:val="2"/>
        </w:numPr>
        <w:spacing w:after="80"/>
      </w:pPr>
      <w:r>
        <w:rPr>
          <w:rFonts w:ascii="Calibri" w:cs="Calibri" w:eastAsia="Calibri" w:hAnsi="Calibri"/>
          <w:color w:val="14171F"/>
          <w:sz w:val="22"/>
          <w:szCs w:val="22"/>
        </w:rPr>
        <w:t xml:space="preserve">On a miss, check Mongo for a persisted reading. If found, backfill Redis and return. This handles a cold cache after a Redis eviction without paying the generation cost twice.</w:t>
      </w:r>
    </w:p>
    <w:p>
      <w:pPr>
        <w:pStyle w:val="ListParagraph"/>
        <w:numPr>
          <w:ilvl w:val="0"/>
          <w:numId w:val="2"/>
        </w:numPr>
        <w:spacing w:after="80"/>
      </w:pPr>
      <w:r>
        <w:rPr>
          <w:rFonts w:ascii="Calibri" w:cs="Calibri" w:eastAsia="Calibri" w:hAnsi="Calibri"/>
          <w:color w:val="14171F"/>
          <w:sz w:val="22"/>
          <w:szCs w:val="22"/>
        </w:rPr>
        <w:t xml:space="preserve">On a full miss, compute transit features from the user’s natal chart against the current ephemeris, call the narration model with the structured features only, persist to both Mongo and Redis, and return.</w:t>
      </w:r>
    </w:p>
    <w:p>
      <w:pPr>
        <w:spacing w:after="160"/>
      </w:pPr>
      <w:r>
        <w:rPr>
          <w:rFonts w:ascii="Calibri" w:cs="Calibri" w:eastAsia="Calibri" w:hAnsi="Calibri"/>
          <w:color w:val="14171F"/>
          <w:sz w:val="22"/>
          <w:szCs w:val="22"/>
        </w:rPr>
        <w:t xml:space="preserve">The generation step is the expensive one — the astro computation is fast but the LLM call takes a few hundred milliseconds and costs money. The cascade ensures generation happens at most once per user per day. This is what allows readings to be a per-user-per-day operation in aggregate rather than per-request.</w:t>
      </w:r>
    </w:p>
    <w:p>
      <w:pPr>
        <w:pStyle w:val="Heading2"/>
        <w:spacing w:after="160" w:before="320"/>
      </w:pPr>
      <w:r>
        <w:rPr>
          <w:rFonts w:ascii="Georgia" w:cs="Georgia" w:eastAsia="Georgia" w:hAnsi="Georgia"/>
          <w:b/>
          <w:bCs/>
          <w:color w:val="1B2A4A"/>
          <w:sz w:val="30"/>
          <w:szCs w:val="30"/>
        </w:rPr>
        <w:t xml:space="preserve">5.2  Grounded generation</w:t>
      </w:r>
    </w:p>
    <w:p>
      <w:pPr>
        <w:spacing w:after="160"/>
      </w:pPr>
      <w:r>
        <w:rPr>
          <w:rFonts w:ascii="Calibri" w:cs="Calibri" w:eastAsia="Calibri" w:hAnsi="Calibri"/>
          <w:color w:val="14171F"/>
          <w:sz w:val="22"/>
          <w:szCs w:val="22"/>
        </w:rPr>
        <w:t xml:space="preserve">The narration model receives only the structured transit features Sutra computes: the Moon’s sign and nakshatra, the natal-house each transiting planet occupies, active aspects with orb, any Saturn/Rahu contacts weighted separately. The system prompt forbids inventing astrological facts not present in the input. Temperature is low. This is not a stylistic constraint; it is an architectural claim. Cited in the report as "structured features → constrained narration," this approach is both cheaper than open generation (because the model is doing prose rather than reasoning) and non-hallucinating by construction (because every factual claim in the output traces to a specific field in the input).</w:t>
      </w:r>
    </w:p>
    <w:p>
      <w:pPr>
        <w:pStyle w:val="Heading2"/>
        <w:spacing w:after="160" w:before="320"/>
      </w:pPr>
      <w:r>
        <w:rPr>
          <w:rFonts w:ascii="Georgia" w:cs="Georgia" w:eastAsia="Georgia" w:hAnsi="Georgia"/>
          <w:b/>
          <w:bCs/>
          <w:color w:val="1B2A4A"/>
          <w:sz w:val="30"/>
          <w:szCs w:val="30"/>
        </w:rPr>
        <w:t xml:space="preserve">5.3  The astro engine</w:t>
      </w:r>
    </w:p>
    <w:p>
      <w:pPr>
        <w:spacing w:after="160"/>
      </w:pPr>
      <w:r>
        <w:rPr>
          <w:rFonts w:ascii="Calibri" w:cs="Calibri" w:eastAsia="Calibri" w:hAnsi="Calibri"/>
          <w:color w:val="14171F"/>
          <w:sz w:val="22"/>
          <w:szCs w:val="22"/>
        </w:rPr>
        <w:t xml:space="preserve">Sutra uses circular-natal-horoscope-js for the underlying planetary ephemeris — the library is pure JavaScript, portable to any host without native compilation. However, the library ships a fixed 24.100° "sidereal" offset that is not true Lahiri ayanamsa; real Lahiri precesses at approximately 50.29 arcseconds per year and is the Vedic standard [4]. Sutra therefore uses the library in tropical mode (its tropical ephemeris is accurate to arcminutes against reference charts) and applies a time-varying Lahiri ayanamsa computed from a linear precession model anchored at J2000. The engine is validated numerically against Albert Einstein’s published tropical positions to within 0.20°, with the ascendant sign matched exactly. This kind of numerical validation gate is a design decision, not a quality-assurance step: it is what allows the product to make claims about accuracy without hedging.</w:t>
      </w:r>
    </w:p>
    <w:p>
      <w:pPr>
        <w:pStyle w:val="Heading2"/>
        <w:spacing w:after="160" w:before="320"/>
      </w:pPr>
      <w:r>
        <w:rPr>
          <w:rFonts w:ascii="Georgia" w:cs="Georgia" w:eastAsia="Georgia" w:hAnsi="Georgia"/>
          <w:b/>
          <w:bCs/>
          <w:color w:val="1B2A4A"/>
          <w:sz w:val="30"/>
          <w:szCs w:val="30"/>
        </w:rPr>
        <w:t xml:space="preserve">5.4  The correlation engine and the honesty gate</w:t>
      </w:r>
    </w:p>
    <w:p>
      <w:pPr>
        <w:spacing w:after="160"/>
      </w:pPr>
      <w:r>
        <w:rPr>
          <w:rFonts w:ascii="Calibri" w:cs="Calibri" w:eastAsia="Calibri" w:hAnsi="Calibri"/>
          <w:color w:val="14171F"/>
          <w:sz w:val="22"/>
          <w:szCs w:val="22"/>
        </w:rPr>
        <w:t xml:space="preserve">The correlation feature is the strongest example of the design principle Sutra operates under. For each check-in, the Moon’s natal-house is derived; check-ins are grouped by (mood, house); the tightest concentration is surfaced as an observed pattern in the user’s log. The claim is not that a transit causes a mood; the claim is only that the user, in their own log, reported one mood disproportionately on days a specific transit occurred.</w:t>
      </w:r>
    </w:p>
    <w:p>
      <w:pPr>
        <w:spacing w:after="160"/>
      </w:pPr>
      <w:r>
        <w:rPr>
          <w:rFonts w:ascii="Calibri" w:cs="Calibri" w:eastAsia="Calibri" w:hAnsi="Calibri"/>
          <w:color w:val="14171F"/>
          <w:sz w:val="22"/>
          <w:szCs w:val="22"/>
        </w:rPr>
        <w:t xml:space="preserve">The honesty gate is what makes this defensible. The engine will not surface a pattern unless there are at least eight total check-ins and at least three supporting instances in the specific bin. During implementation, we discovered that fourteen days of check-ins — the PRD’s original spec — reliably failed the gate because the Moon does not linger in any single house long enough to accumulate three matches in two weeks. Rather than lower the threshold, the seed was extended to a full lunar cycle of twenty-eight days. This is the story worth telling: the credibility gate is not a formality, and it changed the product design.</w:t>
      </w:r>
    </w:p>
    <w:p>
      <w:r>
        <w:br w:type="page"/>
      </w:r>
    </w:p>
    <w:p>
      <w:pPr>
        <w:pStyle w:val="Heading1"/>
        <w:spacing w:after="240" w:before="400"/>
      </w:pPr>
      <w:r>
        <w:rPr>
          <w:rFonts w:ascii="Georgia" w:cs="Georgia" w:eastAsia="Georgia" w:hAnsi="Georgia"/>
          <w:b/>
          <w:bCs/>
          <w:color w:val="1B2A4A"/>
          <w:sz w:val="40"/>
          <w:szCs w:val="40"/>
        </w:rPr>
        <w:t xml:space="preserve">6  Expected Impact and Success Metrics</w:t>
      </w:r>
    </w:p>
    <w:p>
      <w:pPr>
        <w:spacing w:after="160"/>
      </w:pPr>
      <w:r>
        <w:rPr>
          <w:rFonts w:ascii="Calibri" w:cs="Calibri" w:eastAsia="Calibri" w:hAnsi="Calibri"/>
          <w:color w:val="14171F"/>
          <w:sz w:val="22"/>
          <w:szCs w:val="22"/>
        </w:rPr>
        <w:t xml:space="preserve">Sutra is designed against a specific set of unit-economics metrics. The projections below are working targets calibrated against publicly reported category baselines and the mechanism-by-mechanism argument for why Sutra should move each one. The rightmost column names the specific product mechanism responsible; a metric without a mechanism is not a target, it is a wish.</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400"/>
      </w:tblGrid>
      <w:tr>
        <w:trPr>
          <w:tblHeader/>
        </w:trPr>
        <w:tc>
          <w:tcPr>
            <w:tcW w:type="dxa" w:w="2400"/>
            <w:tcBorders>
              <w:top w:val="single" w:color="C8BEA8" w:sz="4"/>
              <w:left w:val="single" w:color="C8BEA8" w:sz="4"/>
              <w:bottom w:val="single" w:color="C8BEA8" w:sz="4"/>
              <w:right w:val="single" w:color="C8BEA8" w:sz="4"/>
            </w:tcBorders>
            <w:shd w:fill="1B2A4A" w:color="auto" w:val="clear"/>
          </w:tcPr>
          <w:p>
            <w:pPr>
              <w:spacing w:after="0"/>
            </w:pPr>
            <w:r>
              <w:rPr>
                <w:rFonts w:ascii="Consolas" w:cs="Consolas" w:eastAsia="Consolas" w:hAnsi="Consolas"/>
                <w:b/>
                <w:bCs/>
                <w:caps/>
                <w:color w:val="F5EFE3"/>
                <w:sz w:val="18"/>
                <w:szCs w:val="18"/>
              </w:rPr>
              <w:t xml:space="preserve">Metric</w:t>
            </w:r>
          </w:p>
        </w:tc>
        <w:tc>
          <w:tcPr>
            <w:tcW w:type="dxa" w:w="2500"/>
            <w:tcBorders>
              <w:top w:val="single" w:color="C8BEA8" w:sz="4"/>
              <w:left w:val="single" w:color="C8BEA8" w:sz="4"/>
              <w:bottom w:val="single" w:color="C8BEA8" w:sz="4"/>
              <w:right w:val="single" w:color="C8BEA8" w:sz="4"/>
            </w:tcBorders>
            <w:shd w:fill="1B2A4A" w:color="auto" w:val="clear"/>
          </w:tcPr>
          <w:p>
            <w:pPr>
              <w:spacing w:after="0"/>
            </w:pPr>
            <w:r>
              <w:rPr>
                <w:rFonts w:ascii="Consolas" w:cs="Consolas" w:eastAsia="Consolas" w:hAnsi="Consolas"/>
                <w:b/>
                <w:bCs/>
                <w:caps/>
                <w:color w:val="F5EFE3"/>
                <w:sz w:val="18"/>
                <w:szCs w:val="18"/>
              </w:rPr>
              <w:t xml:space="preserve">Category baseline (heuristic)</w:t>
            </w:r>
          </w:p>
        </w:tc>
        <w:tc>
          <w:tcPr>
            <w:tcW w:type="dxa" w:w="2500"/>
            <w:tcBorders>
              <w:top w:val="single" w:color="C8BEA8" w:sz="4"/>
              <w:left w:val="single" w:color="C8BEA8" w:sz="4"/>
              <w:bottom w:val="single" w:color="C8BEA8" w:sz="4"/>
              <w:right w:val="single" w:color="C8BEA8" w:sz="4"/>
            </w:tcBorders>
            <w:shd w:fill="1B2A4A" w:color="auto" w:val="clear"/>
          </w:tcPr>
          <w:p>
            <w:pPr>
              <w:spacing w:after="0"/>
            </w:pPr>
            <w:r>
              <w:rPr>
                <w:rFonts w:ascii="Consolas" w:cs="Consolas" w:eastAsia="Consolas" w:hAnsi="Consolas"/>
                <w:b/>
                <w:bCs/>
                <w:caps/>
                <w:color w:val="F5EFE3"/>
                <w:sz w:val="18"/>
                <w:szCs w:val="18"/>
              </w:rPr>
              <w:t xml:space="preserve">Target with Sutra</w:t>
            </w:r>
          </w:p>
        </w:tc>
        <w:tc>
          <w:tcPr>
            <w:tcW w:type="dxa" w:w="2400"/>
            <w:tcBorders>
              <w:top w:val="single" w:color="C8BEA8" w:sz="4"/>
              <w:left w:val="single" w:color="C8BEA8" w:sz="4"/>
              <w:bottom w:val="single" w:color="C8BEA8" w:sz="4"/>
              <w:right w:val="single" w:color="C8BEA8" w:sz="4"/>
            </w:tcBorders>
            <w:shd w:fill="1B2A4A" w:color="auto" w:val="clear"/>
          </w:tcPr>
          <w:p>
            <w:pPr>
              <w:spacing w:after="0"/>
            </w:pPr>
            <w:r>
              <w:rPr>
                <w:rFonts w:ascii="Consolas" w:cs="Consolas" w:eastAsia="Consolas" w:hAnsi="Consolas"/>
                <w:b/>
                <w:bCs/>
                <w:caps/>
                <w:color w:val="F5EFE3"/>
                <w:sz w:val="18"/>
                <w:szCs w:val="18"/>
              </w:rPr>
              <w:t xml:space="preserve">Why the lever exists</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D1 retention</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25–35% (category)</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45–55%</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Daily loop is a habit product with streak, not a consultation product with re-purchase.</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D7 retention</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10–15%</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25–35%</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Streak momentum + weekly patterns visible in the Life File create return reasons.</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D30 retention</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5–8%</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15–22%</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Cross-month streak preservation via freezes; correlation payoff unlocks around week 4.</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Sessions per user / month</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2–4</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10–15</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Daily read is one session per day for retained users; consult days are on top.</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ARPU (monthly)</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₹80–₹120</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₹160–₹220</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Consultation ARPU plus AI-margin readings; existing users buy more minutes at higher trust.</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CAC payback (months)</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~8</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3–5</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Higher retention shortens payback linearly at constant ARPU; ARPU lift compounds.</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Astrologer utilisation (paid min / hour on platform)</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35–40 min</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48–55 min</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Context brief removes the 5-minute context-load per call; more calls per hour at same quality.</w:t>
            </w:r>
          </w:p>
        </w:tc>
      </w:tr>
      <w:tr>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b/>
                <w:bCs/>
                <w:color w:val="14171F"/>
                <w:sz w:val="22"/>
                <w:szCs w:val="22"/>
              </w:rPr>
              <w:t xml:space="preserve">Cost per active user / month</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Not disclosed</w:t>
            </w:r>
          </w:p>
        </w:tc>
        <w:tc>
          <w:tcPr>
            <w:tcW w:type="dxa" w:w="25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~₹8–₹15</w:t>
            </w:r>
          </w:p>
        </w:tc>
        <w:tc>
          <w:tcPr>
            <w:tcW w:type="dxa" w:w="24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One LLM narration per user per day at open-model economics; Redis-cached thereafter.</w:t>
            </w:r>
          </w:p>
        </w:tc>
      </w:tr>
    </w:tbl>
    <w:p>
      <w:pPr>
        <w:spacing w:after="200"/>
      </w:pPr>
      <w:r>
        <w:rPr>
          <w:rFonts w:ascii="Calibri" w:cs="Calibri" w:eastAsia="Calibri" w:hAnsi="Calibri"/>
          <w:color w:val="14171F"/>
          <w:sz w:val="22"/>
          <w:szCs w:val="22"/>
        </w:rPr>
        <w:t xml:space="preserve"/>
      </w:r>
    </w:p>
    <w:p>
      <w:pPr>
        <w:pStyle w:val="Heading2"/>
        <w:spacing w:after="160" w:before="320"/>
      </w:pPr>
      <w:r>
        <w:rPr>
          <w:rFonts w:ascii="Georgia" w:cs="Georgia" w:eastAsia="Georgia" w:hAnsi="Georgia"/>
          <w:b/>
          <w:bCs/>
          <w:color w:val="1B2A4A"/>
          <w:sz w:val="30"/>
          <w:szCs w:val="30"/>
        </w:rPr>
        <w:t xml:space="preserve">6.1  How to read the projections</w:t>
      </w:r>
    </w:p>
    <w:p>
      <w:pPr>
        <w:spacing w:after="160"/>
      </w:pPr>
      <w:r>
        <w:rPr>
          <w:rFonts w:ascii="Calibri" w:cs="Calibri" w:eastAsia="Calibri" w:hAnsi="Calibri"/>
          <w:color w:val="14171F"/>
          <w:sz w:val="22"/>
          <w:szCs w:val="22"/>
        </w:rPr>
        <w:t xml:space="preserve">These are directional targets, not forecasts. Two of them — CAC payback and astrologer utilisation — are the ones the report stakes its argument on, because they are the mechanisms that break the two category-defining problems (the CAC hole and the margin ceiling). The retention numbers are supporting: they explain how the CAC payback improvement is achievable at constant ARPU. The ARPU lift is a second-order effect from higher trust, and the cost-per-user number is what makes the AI-margin surface a real business unit rather than a loss-leading feature.</w:t>
      </w:r>
    </w:p>
    <w:p>
      <w:pPr>
        <w:pStyle w:val="Heading2"/>
        <w:spacing w:after="160" w:before="320"/>
      </w:pPr>
      <w:r>
        <w:rPr>
          <w:rFonts w:ascii="Georgia" w:cs="Georgia" w:eastAsia="Georgia" w:hAnsi="Georgia"/>
          <w:b/>
          <w:bCs/>
          <w:color w:val="1B2A4A"/>
          <w:sz w:val="30"/>
          <w:szCs w:val="30"/>
        </w:rPr>
        <w:t xml:space="preserve">6.2  The one measurement Sutra could ship first</w:t>
      </w:r>
    </w:p>
    <w:p>
      <w:pPr>
        <w:spacing w:after="160"/>
      </w:pPr>
      <w:r>
        <w:rPr>
          <w:rFonts w:ascii="Calibri" w:cs="Calibri" w:eastAsia="Calibri" w:hAnsi="Calibri"/>
          <w:color w:val="14171F"/>
          <w:sz w:val="22"/>
          <w:szCs w:val="22"/>
        </w:rPr>
        <w:t xml:space="preserve">The single measurement that would falsify or confirm the entire thesis in eight weeks is a simple A/B test on astrologer utilisation. Ship the context brief to half the astrologers; compare paid minutes per hour and post-call user ratings. If context load falls and utilisation rises with no drop in ratings, the margin ceiling has moved. Every other prediction in this report follows from that one mechanism working.</w:t>
      </w:r>
    </w:p>
    <w:p>
      <w:r>
        <w:br w:type="page"/>
      </w:r>
    </w:p>
    <w:p>
      <w:pPr>
        <w:pStyle w:val="Heading1"/>
        <w:spacing w:after="240" w:before="400"/>
      </w:pPr>
      <w:r>
        <w:rPr>
          <w:rFonts w:ascii="Georgia" w:cs="Georgia" w:eastAsia="Georgia" w:hAnsi="Georgia"/>
          <w:b/>
          <w:bCs/>
          <w:color w:val="1B2A4A"/>
          <w:sz w:val="40"/>
          <w:szCs w:val="40"/>
        </w:rPr>
        <w:t xml:space="preserve">7  Scalability and Unit Cost</w:t>
      </w:r>
    </w:p>
    <w:p>
      <w:pPr>
        <w:spacing w:after="160"/>
      </w:pPr>
      <w:r>
        <w:rPr>
          <w:rFonts w:ascii="Calibri" w:cs="Calibri" w:eastAsia="Calibri" w:hAnsi="Calibri"/>
          <w:color w:val="14171F"/>
          <w:sz w:val="22"/>
          <w:szCs w:val="22"/>
        </w:rPr>
        <w:t xml:space="preserve">Sutra’s cost model is deliberately shaped to make the daily loop free to scale, so that the marginal cost of adding a user to the retention product is close to zero. This is what allows the daily loop to be a genuine habit product rather than a paid feature.</w:t>
      </w:r>
    </w:p>
    <w:p>
      <w:pPr>
        <w:pStyle w:val="Heading2"/>
        <w:spacing w:after="160" w:before="320"/>
      </w:pPr>
      <w:r>
        <w:rPr>
          <w:rFonts w:ascii="Georgia" w:cs="Georgia" w:eastAsia="Georgia" w:hAnsi="Georgia"/>
          <w:b/>
          <w:bCs/>
          <w:color w:val="1B2A4A"/>
          <w:sz w:val="30"/>
          <w:szCs w:val="30"/>
        </w:rPr>
        <w:t xml:space="preserve">7.1  Per-user cost decomposition (daily reading)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Astro computation</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Ephemeris + ayanamsa + house math — pure JS in-process, cost is server CPU only, effectively zero at any realistic user scale.</w:t>
            </w:r>
          </w:p>
        </w:tc>
      </w:tr>
      <w:tr>
        <w:tc>
          <w:tcPr>
            <w:tcW w:type="dxa" w:w="3200"/>
            <w:tcBorders>
              <w:top w:val="single" w:color="C8BEA8" w:sz="4"/>
              <w:left w:val="single" w:color="C8BEA8" w:sz="4"/>
              <w:bottom w:val="single" w:color="C8BEA8" w:sz="4"/>
              <w:right w:val="single" w:color="C8BEA8" w:sz="4"/>
            </w:tcBorders>
          </w:tcPr>
          <w:p>
            <w:pPr>
              <w:spacing w:after="0"/>
            </w:pPr>
            <w:r>
              <w:rPr>
                <w:rFonts w:ascii="Consolas" w:cs="Consolas" w:eastAsia="Consolas" w:hAnsi="Consolas"/>
                <w:b/>
                <w:bCs/>
                <w:caps/>
                <w:color w:val="B08948"/>
                <w:sz w:val="16"/>
                <w:szCs w:val="16"/>
              </w:rPr>
              <w:t xml:space="preserve">LLM narration call</w:t>
            </w:r>
          </w:p>
        </w:tc>
        <w:tc>
          <w:tcPr>
            <w:tcW w:type="dxa" w:w="66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One call per user per day at ~200 output tokens on an open-model provider (Llama 3.3 70B via Groq at fast-inference pricing) — sub-cent economics per reading.</w:t>
            </w:r>
          </w:p>
        </w:tc>
      </w:tr>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Cache read</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Every subsequent same-day request served from Upstash Redis at ~1ms, sub-microcent cost.</w:t>
            </w:r>
          </w:p>
        </w:tc>
      </w:tr>
      <w:tr>
        <w:tc>
          <w:tcPr>
            <w:tcW w:type="dxa" w:w="3200"/>
            <w:tcBorders>
              <w:top w:val="single" w:color="C8BEA8" w:sz="4"/>
              <w:left w:val="single" w:color="C8BEA8" w:sz="4"/>
              <w:bottom w:val="single" w:color="C8BEA8" w:sz="4"/>
              <w:right w:val="single" w:color="C8BEA8" w:sz="4"/>
            </w:tcBorders>
          </w:tcPr>
          <w:p>
            <w:pPr>
              <w:spacing w:after="0"/>
            </w:pPr>
            <w:r>
              <w:rPr>
                <w:rFonts w:ascii="Consolas" w:cs="Consolas" w:eastAsia="Consolas" w:hAnsi="Consolas"/>
                <w:b/>
                <w:bCs/>
                <w:caps/>
                <w:color w:val="B08948"/>
                <w:sz w:val="16"/>
                <w:szCs w:val="16"/>
              </w:rPr>
              <w:t xml:space="preserve">Mongo document</w:t>
            </w:r>
          </w:p>
        </w:tc>
        <w:tc>
          <w:tcPr>
            <w:tcW w:type="dxa" w:w="66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One reading document per user per day, negligible storage cost at any single-market scale.</w:t>
            </w:r>
          </w:p>
        </w:tc>
      </w:tr>
    </w:tbl>
    <w:p>
      <w:pPr>
        <w:pStyle w:val="Heading2"/>
        <w:spacing w:after="160" w:before="320"/>
      </w:pPr>
      <w:r>
        <w:rPr>
          <w:rFonts w:ascii="Georgia" w:cs="Georgia" w:eastAsia="Georgia" w:hAnsi="Georgia"/>
          <w:b/>
          <w:bCs/>
          <w:color w:val="1B2A4A"/>
          <w:sz w:val="30"/>
          <w:szCs w:val="30"/>
        </w:rPr>
        <w:t xml:space="preserve">7.2  Why the architecture holds under growth</w:t>
      </w:r>
    </w:p>
    <w:p>
      <w:pPr>
        <w:spacing w:after="160"/>
      </w:pPr>
      <w:r>
        <w:rPr>
          <w:rFonts w:ascii="Calibri" w:cs="Calibri" w:eastAsia="Calibri" w:hAnsi="Calibri"/>
          <w:color w:val="14171F"/>
          <w:sz w:val="22"/>
          <w:szCs w:val="22"/>
        </w:rPr>
        <w:t xml:space="preserve">The scarce resource in category unit economics is astrologer minutes; every other resource is elastic. Sutra puts astrologer minutes exclusively on the consultation surface, where the astrologer is being paid for them. The daily-loop and AI-margin surfaces do not consume astrologer minutes at all. Adding an active user therefore adds daily-loop cost (Redis, one LLM call, a Mongo doc) but does not add astrologer-supply pressure. This inverts the category’s standard scaling profile: at 10× users, Sutra needs roughly 10× LLM calls (which get cheaper per year, not more expensive) but the same number of astrologers per paying user, not more.</w:t>
      </w:r>
    </w:p>
    <w:p>
      <w:pPr>
        <w:pStyle w:val="Heading2"/>
        <w:spacing w:after="160" w:before="320"/>
      </w:pPr>
      <w:r>
        <w:rPr>
          <w:rFonts w:ascii="Georgia" w:cs="Georgia" w:eastAsia="Georgia" w:hAnsi="Georgia"/>
          <w:b/>
          <w:bCs/>
          <w:color w:val="1B2A4A"/>
          <w:sz w:val="30"/>
          <w:szCs w:val="30"/>
        </w:rPr>
        <w:t xml:space="preserve">7.3  Failure modes and their bounds</w:t>
      </w:r>
    </w:p>
    <w:p>
      <w:pPr>
        <w:pStyle w:val="ListParagraph"/>
        <w:numPr>
          <w:ilvl w:val="0"/>
          <w:numId w:val="1"/>
        </w:numPr>
        <w:spacing w:after="80"/>
      </w:pPr>
      <w:r>
        <w:rPr>
          <w:rFonts w:ascii="Calibri" w:cs="Calibri" w:eastAsia="Calibri" w:hAnsi="Calibri"/>
          <w:color w:val="14171F"/>
          <w:sz w:val="22"/>
          <w:szCs w:val="22"/>
        </w:rPr>
        <w:t xml:space="preserve">LLM provider outage: the deterministic fallback narrator (built into the prototype) produces a real, chart-grounded reading from the same features. The daily loop never breaks; only the prose quality dips.</w:t>
      </w:r>
    </w:p>
    <w:p>
      <w:pPr>
        <w:pStyle w:val="ListParagraph"/>
        <w:numPr>
          <w:ilvl w:val="0"/>
          <w:numId w:val="1"/>
        </w:numPr>
        <w:spacing w:after="80"/>
      </w:pPr>
      <w:r>
        <w:rPr>
          <w:rFonts w:ascii="Calibri" w:cs="Calibri" w:eastAsia="Calibri" w:hAnsi="Calibri"/>
          <w:color w:val="14171F"/>
          <w:sz w:val="22"/>
          <w:szCs w:val="22"/>
        </w:rPr>
        <w:t xml:space="preserve">Redis eviction: the Mongo backfill step catches this without paying the generation cost twice.</w:t>
      </w:r>
    </w:p>
    <w:p>
      <w:pPr>
        <w:pStyle w:val="ListParagraph"/>
        <w:numPr>
          <w:ilvl w:val="0"/>
          <w:numId w:val="1"/>
        </w:numPr>
        <w:spacing w:after="80"/>
      </w:pPr>
      <w:r>
        <w:rPr>
          <w:rFonts w:ascii="Calibri" w:cs="Calibri" w:eastAsia="Calibri" w:hAnsi="Calibri"/>
          <w:color w:val="14171F"/>
          <w:sz w:val="22"/>
          <w:szCs w:val="22"/>
        </w:rPr>
        <w:t xml:space="preserve">Ephemeris drift over decades: the linear Lahiri model is accurate to ~1 arcminute across 1900–2100 — comfortably inside operational tolerance.</w:t>
      </w:r>
    </w:p>
    <w:p>
      <w:r>
        <w:br w:type="page"/>
      </w:r>
    </w:p>
    <w:p>
      <w:pPr>
        <w:pStyle w:val="Heading1"/>
        <w:spacing w:after="240" w:before="400"/>
      </w:pPr>
      <w:r>
        <w:rPr>
          <w:rFonts w:ascii="Georgia" w:cs="Georgia" w:eastAsia="Georgia" w:hAnsi="Georgia"/>
          <w:b/>
          <w:bCs/>
          <w:color w:val="1B2A4A"/>
          <w:sz w:val="40"/>
          <w:szCs w:val="40"/>
        </w:rPr>
        <w:t xml:space="preserve">8  Phased Roadmap</w:t>
      </w:r>
    </w:p>
    <w:p>
      <w:pPr>
        <w:spacing w:after="160"/>
      </w:pPr>
      <w:r>
        <w:rPr>
          <w:rFonts w:ascii="Calibri" w:cs="Calibri" w:eastAsia="Calibri" w:hAnsi="Calibri"/>
          <w:color w:val="14171F"/>
          <w:sz w:val="22"/>
          <w:szCs w:val="22"/>
        </w:rPr>
        <w:t xml:space="preserve">The prototype is intentionally narrow: it implements the substrate (the Life File) and the three surfaces that read against it. Everything else — payments, real audio/video calling, admin tooling, native mobile, subscriptions, referrals, non-astrology modules — is deliberately post-substrate. The roadmap below is prioritised by which product moves further the mechanism it is trying to strengthen (retention, margin, or supply). It is not a feature list; each item names the mechanism it exists to move.</w:t>
      </w:r>
    </w:p>
    <w:p>
      <w:pPr>
        <w:pStyle w:val="Heading2"/>
        <w:spacing w:after="160" w:before="320"/>
      </w:pPr>
      <w:r>
        <w:rPr>
          <w:rFonts w:ascii="Georgia" w:cs="Georgia" w:eastAsia="Georgia" w:hAnsi="Georgia"/>
          <w:b/>
          <w:bCs/>
          <w:color w:val="1B2A4A"/>
          <w:sz w:val="30"/>
          <w:szCs w:val="30"/>
        </w:rPr>
        <w:t xml:space="preserve">8.1  Post-launch, Quarter 1</w:t>
      </w:r>
    </w:p>
    <w:p>
      <w:pPr>
        <w:pStyle w:val="ListParagraph"/>
        <w:numPr>
          <w:ilvl w:val="0"/>
          <w:numId w:val="1"/>
        </w:numPr>
        <w:spacing w:after="80"/>
      </w:pPr>
      <w:r>
        <w:rPr>
          <w:rFonts w:ascii="Calibri" w:cs="Calibri" w:eastAsia="Calibri" w:hAnsi="Calibri"/>
          <w:color w:val="14171F"/>
          <w:sz w:val="22"/>
          <w:szCs w:val="22"/>
        </w:rPr>
        <w:t xml:space="preserve">Real audio/video calling on the consultation surface (currently mocked). Consumes an existing WebRTC vendor; not novel work. Mechanism: enables revenue on the consultation surface.</w:t>
      </w:r>
    </w:p>
    <w:p>
      <w:pPr>
        <w:pStyle w:val="ListParagraph"/>
        <w:numPr>
          <w:ilvl w:val="0"/>
          <w:numId w:val="1"/>
        </w:numPr>
        <w:spacing w:after="80"/>
      </w:pPr>
      <w:r>
        <w:rPr>
          <w:rFonts w:ascii="Calibri" w:cs="Calibri" w:eastAsia="Calibri" w:hAnsi="Calibri"/>
          <w:color w:val="14171F"/>
          <w:sz w:val="22"/>
          <w:szCs w:val="22"/>
        </w:rPr>
        <w:t xml:space="preserve">Payments integration (Razorpay / UPI). Mechanism: same.</w:t>
      </w:r>
    </w:p>
    <w:p>
      <w:pPr>
        <w:pStyle w:val="ListParagraph"/>
        <w:numPr>
          <w:ilvl w:val="0"/>
          <w:numId w:val="1"/>
        </w:numPr>
        <w:spacing w:after="80"/>
      </w:pPr>
      <w:r>
        <w:rPr>
          <w:rFonts w:ascii="Calibri" w:cs="Calibri" w:eastAsia="Calibri" w:hAnsi="Calibri"/>
          <w:color w:val="14171F"/>
          <w:sz w:val="22"/>
          <w:szCs w:val="22"/>
        </w:rPr>
        <w:t xml:space="preserve">Astrologer onboarding and admin console. Mechanism: supply-side scale.</w:t>
      </w:r>
    </w:p>
    <w:p>
      <w:pPr>
        <w:pStyle w:val="ListParagraph"/>
        <w:numPr>
          <w:ilvl w:val="0"/>
          <w:numId w:val="1"/>
        </w:numPr>
        <w:spacing w:after="80"/>
      </w:pPr>
      <w:r>
        <w:rPr>
          <w:rFonts w:ascii="Calibri" w:cs="Calibri" w:eastAsia="Calibri" w:hAnsi="Calibri"/>
          <w:color w:val="14171F"/>
          <w:sz w:val="22"/>
          <w:szCs w:val="22"/>
        </w:rPr>
        <w:t xml:space="preserve">Push notifications for streak preservation. Mechanism: D7/D30 retention; complements the freeze feature, does not replace it.</w:t>
      </w:r>
    </w:p>
    <w:p>
      <w:pPr>
        <w:pStyle w:val="Heading2"/>
        <w:spacing w:after="160" w:before="320"/>
      </w:pPr>
      <w:r>
        <w:rPr>
          <w:rFonts w:ascii="Georgia" w:cs="Georgia" w:eastAsia="Georgia" w:hAnsi="Georgia"/>
          <w:b/>
          <w:bCs/>
          <w:color w:val="1B2A4A"/>
          <w:sz w:val="30"/>
          <w:szCs w:val="30"/>
        </w:rPr>
        <w:t xml:space="preserve">8.2  Quarter 2</w:t>
      </w:r>
    </w:p>
    <w:p>
      <w:pPr>
        <w:pStyle w:val="ListParagraph"/>
        <w:numPr>
          <w:ilvl w:val="0"/>
          <w:numId w:val="1"/>
        </w:numPr>
        <w:spacing w:after="80"/>
      </w:pPr>
      <w:r>
        <w:rPr>
          <w:rFonts w:ascii="Calibri" w:cs="Calibri" w:eastAsia="Calibri" w:hAnsi="Calibri"/>
          <w:color w:val="14171F"/>
          <w:sz w:val="22"/>
          <w:szCs w:val="22"/>
        </w:rPr>
        <w:t xml:space="preserve">Compatibility reports — joining two users’ Life Files to produce a personalised compatibility narrative. Mechanism: first true AI-margin product beyond the daily reading; ARPU lift at zero astrologer-minute cost.</w:t>
      </w:r>
    </w:p>
    <w:p>
      <w:pPr>
        <w:pStyle w:val="ListParagraph"/>
        <w:numPr>
          <w:ilvl w:val="0"/>
          <w:numId w:val="1"/>
        </w:numPr>
        <w:spacing w:after="80"/>
      </w:pPr>
      <w:r>
        <w:rPr>
          <w:rFonts w:ascii="Calibri" w:cs="Calibri" w:eastAsia="Calibri" w:hAnsi="Calibri"/>
          <w:color w:val="14171F"/>
          <w:sz w:val="22"/>
          <w:szCs w:val="22"/>
        </w:rPr>
        <w:t xml:space="preserve">Yearly forecast (personalised, generated from natal chart + upcoming transits). Mechanism: same as above; sold as a one-time purchase at a price point far above per-call minutes.</w:t>
      </w:r>
    </w:p>
    <w:p>
      <w:pPr>
        <w:pStyle w:val="ListParagraph"/>
        <w:numPr>
          <w:ilvl w:val="0"/>
          <w:numId w:val="1"/>
        </w:numPr>
        <w:spacing w:after="80"/>
      </w:pPr>
      <w:r>
        <w:rPr>
          <w:rFonts w:ascii="Calibri" w:cs="Calibri" w:eastAsia="Calibri" w:hAnsi="Calibri"/>
          <w:color w:val="14171F"/>
          <w:sz w:val="22"/>
          <w:szCs w:val="22"/>
        </w:rPr>
        <w:t xml:space="preserve">Astrologer subscription tier — a monthly rate for astrologers to receive priority routing, in return for standardised note-taking. Mechanism: supply-side stickiness plus improved Life File data density.</w:t>
      </w:r>
    </w:p>
    <w:p>
      <w:pPr>
        <w:pStyle w:val="Heading2"/>
        <w:spacing w:after="160" w:before="320"/>
      </w:pPr>
      <w:r>
        <w:rPr>
          <w:rFonts w:ascii="Georgia" w:cs="Georgia" w:eastAsia="Georgia" w:hAnsi="Georgia"/>
          <w:b/>
          <w:bCs/>
          <w:color w:val="1B2A4A"/>
          <w:sz w:val="30"/>
          <w:szCs w:val="30"/>
        </w:rPr>
        <w:t xml:space="preserve">8.3  Quarter 3+</w:t>
      </w:r>
    </w:p>
    <w:p>
      <w:pPr>
        <w:pStyle w:val="ListParagraph"/>
        <w:numPr>
          <w:ilvl w:val="0"/>
          <w:numId w:val="1"/>
        </w:numPr>
        <w:spacing w:after="80"/>
      </w:pPr>
      <w:r>
        <w:rPr>
          <w:rFonts w:ascii="Calibri" w:cs="Calibri" w:eastAsia="Calibri" w:hAnsi="Calibri"/>
          <w:color w:val="14171F"/>
          <w:sz w:val="22"/>
          <w:szCs w:val="22"/>
        </w:rPr>
        <w:t xml:space="preserve">Native iOS/Android apps. Mechanism: reduced friction on the daily loop for the users least likely to install a bookmark. Deferred deliberately: the web app must prove retention first.</w:t>
      </w:r>
    </w:p>
    <w:p>
      <w:pPr>
        <w:pStyle w:val="ListParagraph"/>
        <w:numPr>
          <w:ilvl w:val="0"/>
          <w:numId w:val="1"/>
        </w:numPr>
        <w:spacing w:after="80"/>
      </w:pPr>
      <w:r>
        <w:rPr>
          <w:rFonts w:ascii="Calibri" w:cs="Calibri" w:eastAsia="Calibri" w:hAnsi="Calibri"/>
          <w:color w:val="14171F"/>
          <w:sz w:val="22"/>
          <w:szCs w:val="22"/>
        </w:rPr>
        <w:t xml:space="preserve">Vernacular languages beyond English (Hindi first, then Tamil, Telugu, Bengali, Marathi). Mechanism: TAM expansion.</w:t>
      </w:r>
    </w:p>
    <w:p>
      <w:pPr>
        <w:pStyle w:val="ListParagraph"/>
        <w:numPr>
          <w:ilvl w:val="0"/>
          <w:numId w:val="1"/>
        </w:numPr>
        <w:spacing w:after="80"/>
      </w:pPr>
      <w:r>
        <w:rPr>
          <w:rFonts w:ascii="Calibri" w:cs="Calibri" w:eastAsia="Calibri" w:hAnsi="Calibri"/>
          <w:color w:val="14171F"/>
          <w:sz w:val="22"/>
          <w:szCs w:val="22"/>
        </w:rPr>
        <w:t xml:space="preserve">Referral program. Mechanism: CAC reduction on a product whose retention now justifies referral incentives.</w:t>
      </w:r>
    </w:p>
    <w:p>
      <w:pPr>
        <w:pStyle w:val="ListParagraph"/>
        <w:numPr>
          <w:ilvl w:val="0"/>
          <w:numId w:val="1"/>
        </w:numPr>
        <w:spacing w:after="80"/>
      </w:pPr>
      <w:r>
        <w:rPr>
          <w:rFonts w:ascii="Calibri" w:cs="Calibri" w:eastAsia="Calibri" w:hAnsi="Calibri"/>
          <w:color w:val="14171F"/>
          <w:sz w:val="22"/>
          <w:szCs w:val="22"/>
        </w:rPr>
        <w:t xml:space="preserve">Additional divinatory modules (tarot, numerology, matchmaking) built as first-class Life File readers rather than parallel bolt-ons — each contributes its own signal to the substrate.</w:t>
      </w:r>
    </w:p>
    <w:p>
      <w:pPr>
        <w:pStyle w:val="Heading2"/>
        <w:spacing w:after="160" w:before="320"/>
      </w:pPr>
      <w:r>
        <w:rPr>
          <w:rFonts w:ascii="Georgia" w:cs="Georgia" w:eastAsia="Georgia" w:hAnsi="Georgia"/>
          <w:b/>
          <w:bCs/>
          <w:color w:val="1B2A4A"/>
          <w:sz w:val="30"/>
          <w:szCs w:val="30"/>
        </w:rPr>
        <w:t xml:space="preserve">8.4  What is intentionally not on the roadmap</w:t>
      </w:r>
    </w:p>
    <w:p>
      <w:pPr>
        <w:spacing w:after="160"/>
      </w:pPr>
      <w:r>
        <w:rPr>
          <w:rFonts w:ascii="Calibri" w:cs="Calibri" w:eastAsia="Calibri" w:hAnsi="Calibri"/>
          <w:color w:val="14171F"/>
          <w:sz w:val="22"/>
          <w:szCs w:val="22"/>
        </w:rPr>
        <w:t xml:space="preserve">Ranking astrologers by predictive accuracy. Aggregating predictions by astrologer and sorting them by hit rate is technically trivial given the Life File data model, and it is a category temptation. Sutra will not build it. The reasons are treated in Section 9.</w:t>
      </w:r>
    </w:p>
    <w:p>
      <w:r>
        <w:br w:type="page"/>
      </w:r>
    </w:p>
    <w:p>
      <w:pPr>
        <w:pStyle w:val="Heading1"/>
        <w:spacing w:after="240" w:before="400"/>
      </w:pPr>
      <w:r>
        <w:rPr>
          <w:rFonts w:ascii="Georgia" w:cs="Georgia" w:eastAsia="Georgia" w:hAnsi="Georgia"/>
          <w:b/>
          <w:bCs/>
          <w:color w:val="1B2A4A"/>
          <w:sz w:val="40"/>
          <w:szCs w:val="40"/>
        </w:rPr>
        <w:t xml:space="preserve">9  Positioning Guard: Reflection, Not Scorecard</w:t>
      </w:r>
    </w:p>
    <w:p>
      <w:pPr>
        <w:spacing w:after="160"/>
      </w:pPr>
      <w:r>
        <w:rPr>
          <w:rFonts w:ascii="Calibri" w:cs="Calibri" w:eastAsia="Calibri" w:hAnsi="Calibri"/>
          <w:color w:val="14171F"/>
          <w:sz w:val="22"/>
          <w:szCs w:val="22"/>
        </w:rPr>
        <w:t xml:space="preserve">Sutra records predictions and lets users resolve them as fulfilled, missed, or unclear. The same data — the same records, the same resolutions — could be rendered two very different ways. This section is about the design decision to render it only one of those ways, and why.</w:t>
      </w:r>
    </w:p>
    <w:p>
      <w:pPr>
        <w:pStyle w:val="Heading2"/>
        <w:spacing w:after="160" w:before="320"/>
      </w:pPr>
      <w:r>
        <w:rPr>
          <w:rFonts w:ascii="Georgia" w:cs="Georgia" w:eastAsia="Georgia" w:hAnsi="Georgia"/>
          <w:b/>
          <w:bCs/>
          <w:color w:val="1B2A4A"/>
          <w:sz w:val="30"/>
          <w:szCs w:val="30"/>
        </w:rPr>
        <w:t xml:space="preserve">9.1  The two possible framings</w:t>
      </w:r>
    </w:p>
    <w:p>
      <w:pPr>
        <w:spacing w:after="160"/>
      </w:pPr>
      <w:r>
        <w:rPr>
          <w:rFonts w:ascii="Calibri" w:cs="Calibri" w:eastAsia="Calibri" w:hAnsi="Calibri"/>
          <w:color w:val="14171F"/>
          <w:sz w:val="22"/>
          <w:szCs w:val="22"/>
        </w:rPr>
        <w:t xml:space="preserve">Framing A (rejected): an accuracy scorecard for astrologers. Aggregate predictions by astrologer, compute hit rate, rank the roster. Present users with an accuracy leaderboard when they browse astrologers.</w:t>
      </w:r>
    </w:p>
    <w:p>
      <w:pPr>
        <w:spacing w:after="160"/>
      </w:pPr>
      <w:r>
        <w:rPr>
          <w:rFonts w:ascii="Calibri" w:cs="Calibri" w:eastAsia="Calibri" w:hAnsi="Calibri"/>
          <w:color w:val="14171F"/>
          <w:sz w:val="22"/>
          <w:szCs w:val="22"/>
        </w:rPr>
        <w:t xml:space="preserve">Framing B (adopted): user-side reflection. Predictions belong to the user’s Life File. The user resolves them for their own reference. The astrologer sees them in the pre-consult brief. No aggregation across astrologers is presented anywhere.</w:t>
      </w:r>
    </w:p>
    <w:p>
      <w:pPr>
        <w:pStyle w:val="Heading2"/>
        <w:spacing w:after="160" w:before="320"/>
      </w:pPr>
      <w:r>
        <w:rPr>
          <w:rFonts w:ascii="Georgia" w:cs="Georgia" w:eastAsia="Georgia" w:hAnsi="Georgia"/>
          <w:b/>
          <w:bCs/>
          <w:color w:val="1B2A4A"/>
          <w:sz w:val="30"/>
          <w:szCs w:val="30"/>
        </w:rPr>
        <w:t xml:space="preserve">9.2  Why Framing A is wrong</w:t>
      </w:r>
    </w:p>
    <w:p>
      <w:pPr>
        <w:pStyle w:val="ListParagraph"/>
        <w:numPr>
          <w:ilvl w:val="0"/>
          <w:numId w:val="1"/>
        </w:numPr>
        <w:spacing w:after="80"/>
      </w:pPr>
      <w:r>
        <w:rPr>
          <w:rFonts w:ascii="Calibri" w:cs="Calibri" w:eastAsia="Calibri" w:hAnsi="Calibri"/>
          <w:color w:val="14171F"/>
          <w:sz w:val="22"/>
          <w:szCs w:val="22"/>
        </w:rPr>
        <w:t xml:space="preserve">Astrological predictions are probabilistic and contextual by their own tradition — an "accuracy score" imposes a legibility that the practice does not claim. Doing so misrepresents the domain to a user who is trying to use it in good faith.</w:t>
      </w:r>
    </w:p>
    <w:p>
      <w:pPr>
        <w:pStyle w:val="ListParagraph"/>
        <w:numPr>
          <w:ilvl w:val="0"/>
          <w:numId w:val="1"/>
        </w:numPr>
        <w:spacing w:after="80"/>
      </w:pPr>
      <w:r>
        <w:rPr>
          <w:rFonts w:ascii="Calibri" w:cs="Calibri" w:eastAsia="Calibri" w:hAnsi="Calibri"/>
          <w:color w:val="14171F"/>
          <w:sz w:val="22"/>
          <w:szCs w:val="22"/>
        </w:rPr>
        <w:t xml:space="preserve">Legal exposure. A public accuracy claim about a specific practitioner opens a large surface for defamation and consumer-protection complaints.</w:t>
      </w:r>
    </w:p>
    <w:p>
      <w:pPr>
        <w:pStyle w:val="ListParagraph"/>
        <w:numPr>
          <w:ilvl w:val="0"/>
          <w:numId w:val="1"/>
        </w:numPr>
        <w:spacing w:after="80"/>
      </w:pPr>
      <w:r>
        <w:rPr>
          <w:rFonts w:ascii="Calibri" w:cs="Calibri" w:eastAsia="Calibri" w:hAnsi="Calibri"/>
          <w:color w:val="14171F"/>
          <w:sz w:val="22"/>
          <w:szCs w:val="22"/>
        </w:rPr>
        <w:t xml:space="preserve">Supply-side revolt. Astrologers, who are the constrained resource in the category’s economics, will not stay on a platform that publicly ranks them by a metric they do not accept.</w:t>
      </w:r>
    </w:p>
    <w:p>
      <w:pPr>
        <w:pStyle w:val="ListParagraph"/>
        <w:numPr>
          <w:ilvl w:val="0"/>
          <w:numId w:val="1"/>
        </w:numPr>
        <w:spacing w:after="80"/>
      </w:pPr>
      <w:r>
        <w:rPr>
          <w:rFonts w:ascii="Calibri" w:cs="Calibri" w:eastAsia="Calibri" w:hAnsi="Calibri"/>
          <w:color w:val="14171F"/>
          <w:sz w:val="22"/>
          <w:szCs w:val="22"/>
        </w:rPr>
        <w:t xml:space="preserve">It insults the client at their own hackathon. AstroLive is a marketplace whose supply are the practitioners; a proposed product that ranks them adversarially is not a partnership pitch, it is a hostile takeover of their supply relationship.</w:t>
      </w:r>
    </w:p>
    <w:p>
      <w:pPr>
        <w:pStyle w:val="Heading2"/>
        <w:spacing w:after="160" w:before="320"/>
      </w:pPr>
      <w:r>
        <w:rPr>
          <w:rFonts w:ascii="Georgia" w:cs="Georgia" w:eastAsia="Georgia" w:hAnsi="Georgia"/>
          <w:b/>
          <w:bCs/>
          <w:color w:val="1B2A4A"/>
          <w:sz w:val="30"/>
          <w:szCs w:val="30"/>
        </w:rPr>
        <w:t xml:space="preserve">9.3  Why Framing B is right</w:t>
      </w:r>
    </w:p>
    <w:p>
      <w:pPr>
        <w:pStyle w:val="ListParagraph"/>
        <w:numPr>
          <w:ilvl w:val="0"/>
          <w:numId w:val="1"/>
        </w:numPr>
        <w:spacing w:after="80"/>
      </w:pPr>
      <w:r>
        <w:rPr>
          <w:rFonts w:ascii="Calibri" w:cs="Calibri" w:eastAsia="Calibri" w:hAnsi="Calibri"/>
          <w:color w:val="14171F"/>
          <w:sz w:val="22"/>
          <w:szCs w:val="22"/>
        </w:rPr>
        <w:t xml:space="preserve">Same data, opposite politics. The Life File captures the same predictions and their outcomes either way; the difference is entirely in what the user sees.</w:t>
      </w:r>
    </w:p>
    <w:p>
      <w:pPr>
        <w:pStyle w:val="ListParagraph"/>
        <w:numPr>
          <w:ilvl w:val="0"/>
          <w:numId w:val="1"/>
        </w:numPr>
        <w:spacing w:after="80"/>
      </w:pPr>
      <w:r>
        <w:rPr>
          <w:rFonts w:ascii="Calibri" w:cs="Calibri" w:eastAsia="Calibri" w:hAnsi="Calibri"/>
          <w:color w:val="14171F"/>
          <w:sz w:val="22"/>
          <w:szCs w:val="22"/>
        </w:rPr>
        <w:t xml:space="preserve">The claim shifts from "we scored the astrologer" to "we kept track for you." The first is aggression; the second is service.</w:t>
      </w:r>
    </w:p>
    <w:p>
      <w:pPr>
        <w:pStyle w:val="ListParagraph"/>
        <w:numPr>
          <w:ilvl w:val="0"/>
          <w:numId w:val="1"/>
        </w:numPr>
        <w:spacing w:after="80"/>
      </w:pPr>
      <w:r>
        <w:rPr>
          <w:rFonts w:ascii="Calibri" w:cs="Calibri" w:eastAsia="Calibri" w:hAnsi="Calibri"/>
          <w:color w:val="14171F"/>
          <w:sz w:val="22"/>
          <w:szCs w:val="22"/>
        </w:rPr>
        <w:t xml:space="preserve">Trust accumulates on the platform (users trust that Sutra remembers) rather than on the individual astrologer (whose accuracy score would be spuriously precise). Platform trust is the correct asset for a marketplace to build.</w:t>
      </w:r>
    </w:p>
    <w:p>
      <w:pPr>
        <w:pStyle w:val="ListParagraph"/>
        <w:numPr>
          <w:ilvl w:val="0"/>
          <w:numId w:val="1"/>
        </w:numPr>
        <w:spacing w:after="80"/>
      </w:pPr>
      <w:r>
        <w:rPr>
          <w:rFonts w:ascii="Calibri" w:cs="Calibri" w:eastAsia="Calibri" w:hAnsi="Calibri"/>
          <w:color w:val="14171F"/>
          <w:sz w:val="22"/>
          <w:szCs w:val="22"/>
        </w:rPr>
        <w:t xml:space="preserve">Correlation payoff (Section 5.4) uses the same underlying principle: an observed pattern in the user’s own log, framed as observation, gated by sample size, never as a claim about cause or a claim about a practitioner.</w:t>
      </w:r>
    </w:p>
    <w:p>
      <w:pPr>
        <w:pStyle w:val="Heading1"/>
        <w:spacing w:after="240" w:before="400"/>
      </w:pPr>
      <w:r>
        <w:rPr>
          <w:rFonts w:ascii="Georgia" w:cs="Georgia" w:eastAsia="Georgia" w:hAnsi="Georgia"/>
          <w:b/>
          <w:bCs/>
          <w:color w:val="1B2A4A"/>
          <w:sz w:val="40"/>
          <w:szCs w:val="40"/>
        </w:rPr>
        <w:t xml:space="preserve">10  AI Tools Disclosure</w:t>
      </w:r>
    </w:p>
    <w:p>
      <w:pPr>
        <w:spacing w:after="160"/>
      </w:pPr>
      <w:r>
        <w:rPr>
          <w:rFonts w:ascii="Calibri" w:cs="Calibri" w:eastAsia="Calibri" w:hAnsi="Calibri"/>
          <w:color w:val="14171F"/>
          <w:sz w:val="22"/>
          <w:szCs w:val="22"/>
        </w:rPr>
        <w:t xml:space="preserve">The hackathon requires disclosure of every AI tool used to produce this submission. This section is exhaustive.</w:t>
      </w:r>
    </w:p>
    <w:p>
      <w:pPr>
        <w:pStyle w:val="Heading2"/>
        <w:spacing w:after="160" w:before="320"/>
      </w:pPr>
      <w:r>
        <w:rPr>
          <w:rFonts w:ascii="Georgia" w:cs="Georgia" w:eastAsia="Georgia" w:hAnsi="Georgia"/>
          <w:b/>
          <w:bCs/>
          <w:color w:val="1B2A4A"/>
          <w:sz w:val="30"/>
          <w:szCs w:val="30"/>
        </w:rPr>
        <w:t xml:space="preserve">10.1  AI in the product itself</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Groq — Llama 3.3 70B Versatile</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The daily reading narrative is generated by this model. The model receives only the structured transit features Sutra computes, with a system prompt that forbids inventing astrological facts not present in the input. Temperature is low. Provider chosen for its fast-inference economics, which are consistent with the per-user-per-day cost thesis of the daily loop itself. Access via the provider’s OpenAI-compatible chat-completions endpoint.</w:t>
            </w:r>
          </w:p>
        </w:tc>
      </w:tr>
      <w:tr>
        <w:tc>
          <w:tcPr>
            <w:tcW w:type="dxa" w:w="3200"/>
            <w:tcBorders>
              <w:top w:val="single" w:color="C8BEA8" w:sz="4"/>
              <w:left w:val="single" w:color="C8BEA8" w:sz="4"/>
              <w:bottom w:val="single" w:color="C8BEA8" w:sz="4"/>
              <w:right w:val="single" w:color="C8BEA8" w:sz="4"/>
            </w:tcBorders>
          </w:tcPr>
          <w:p>
            <w:pPr>
              <w:spacing w:after="0"/>
            </w:pPr>
            <w:r>
              <w:rPr>
                <w:rFonts w:ascii="Consolas" w:cs="Consolas" w:eastAsia="Consolas" w:hAnsi="Consolas"/>
                <w:b/>
                <w:bCs/>
                <w:caps/>
                <w:color w:val="B08948"/>
                <w:sz w:val="16"/>
                <w:szCs w:val="16"/>
              </w:rPr>
              <w:t xml:space="preserve">Deterministic fallback narrator</w:t>
            </w:r>
          </w:p>
        </w:tc>
        <w:tc>
          <w:tcPr>
            <w:tcW w:type="dxa" w:w="6600"/>
            <w:tcBorders>
              <w:top w:val="single" w:color="C8BEA8" w:sz="4"/>
              <w:left w:val="single" w:color="C8BEA8" w:sz="4"/>
              <w:bottom w:val="single" w:color="C8BEA8" w:sz="4"/>
              <w:right w:val="single" w:color="C8BEA8" w:sz="4"/>
            </w:tcBorders>
          </w:tcPr>
          <w:p>
            <w:pPr>
              <w:spacing w:after="0"/>
            </w:pPr>
            <w:r>
              <w:rPr>
                <w:rFonts w:ascii="Calibri" w:cs="Calibri" w:eastAsia="Calibri" w:hAnsi="Calibri"/>
                <w:color w:val="14171F"/>
                <w:sz w:val="22"/>
                <w:szCs w:val="22"/>
              </w:rPr>
              <w:t xml:space="preserve">Not an AI system; a hand-written template that produces a real, chart-grounded reading from the same structured features when no LLM key is configured or the provider is unavailable. Shipped so the product never depends on external inference for basic function.</w:t>
            </w:r>
          </w:p>
        </w:tc>
      </w:tr>
    </w:tbl>
    <w:p>
      <w:pPr>
        <w:spacing w:after="160"/>
      </w:pPr>
      <w:r>
        <w:rPr>
          <w:rFonts w:ascii="Calibri" w:cs="Calibri" w:eastAsia="Calibri" w:hAnsi="Calibri"/>
          <w:color w:val="14171F"/>
          <w:sz w:val="22"/>
          <w:szCs w:val="22"/>
        </w:rPr>
        <w:t xml:space="preserve">No AI system generates astrological content that reaches the user without passing through the grounded-narration constraint above. There is no open generation anywhere in the product surface. Every factual claim in a Sutra reading traces to a specific field in the structured input.</w:t>
      </w:r>
    </w:p>
    <w:p>
      <w:pPr>
        <w:pStyle w:val="Heading2"/>
        <w:spacing w:after="160" w:before="320"/>
      </w:pPr>
      <w:r>
        <w:rPr>
          <w:rFonts w:ascii="Georgia" w:cs="Georgia" w:eastAsia="Georgia" w:hAnsi="Georgia"/>
          <w:b/>
          <w:bCs/>
          <w:color w:val="1B2A4A"/>
          <w:sz w:val="30"/>
          <w:szCs w:val="30"/>
        </w:rPr>
        <w:t xml:space="preserve">10.2  AI in development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200"/>
        <w:gridCol w:w="6600"/>
      </w:tblGrid>
      <w:tr>
        <w:tc>
          <w:tcPr>
            <w:tcW w:type="dxa" w:w="3200"/>
            <w:tcBorders>
              <w:top w:val="single" w:color="C8BEA8" w:sz="4"/>
              <w:left w:val="single" w:color="C8BEA8" w:sz="4"/>
              <w:bottom w:val="single" w:color="C8BEA8" w:sz="4"/>
              <w:right w:val="single" w:color="C8BEA8" w:sz="4"/>
            </w:tcBorders>
            <w:shd w:fill="F5EFE3" w:color="auto" w:val="clear"/>
          </w:tcPr>
          <w:p>
            <w:pPr>
              <w:spacing w:after="0"/>
            </w:pPr>
            <w:r>
              <w:rPr>
                <w:rFonts w:ascii="Consolas" w:cs="Consolas" w:eastAsia="Consolas" w:hAnsi="Consolas"/>
                <w:b/>
                <w:bCs/>
                <w:caps/>
                <w:color w:val="B08948"/>
                <w:sz w:val="16"/>
                <w:szCs w:val="16"/>
              </w:rPr>
              <w:t xml:space="preserve">Anthropic Claude (Claude Code)</w:t>
            </w:r>
          </w:p>
        </w:tc>
        <w:tc>
          <w:tcPr>
            <w:tcW w:type="dxa" w:w="6600"/>
            <w:tcBorders>
              <w:top w:val="single" w:color="C8BEA8" w:sz="4"/>
              <w:left w:val="single" w:color="C8BEA8" w:sz="4"/>
              <w:bottom w:val="single" w:color="C8BEA8" w:sz="4"/>
              <w:right w:val="single" w:color="C8BEA8" w:sz="4"/>
            </w:tcBorders>
            <w:shd w:fill="F5EFE3" w:color="auto" w:val="clear"/>
          </w:tcPr>
          <w:p>
            <w:pPr>
              <w:spacing w:after="0"/>
            </w:pPr>
            <w:r>
              <w:rPr>
                <w:rFonts w:ascii="Calibri" w:cs="Calibri" w:eastAsia="Calibri" w:hAnsi="Calibri"/>
                <w:color w:val="14171F"/>
                <w:sz w:val="22"/>
                <w:szCs w:val="22"/>
              </w:rPr>
              <w:t xml:space="preserve">Used as a build assistant during development for iterating on code, debugging, documentation drafting, and this report. Claude did not autonomously produce shippable code without human review, and every architectural decision and numerical validation in the prototype was directed and verified by the author.</w:t>
            </w:r>
          </w:p>
        </w:tc>
      </w:tr>
    </w:tbl>
    <w:p>
      <w:pPr>
        <w:pStyle w:val="Heading2"/>
        <w:spacing w:after="160" w:before="320"/>
      </w:pPr>
      <w:r>
        <w:rPr>
          <w:rFonts w:ascii="Georgia" w:cs="Georgia" w:eastAsia="Georgia" w:hAnsi="Georgia"/>
          <w:b/>
          <w:bCs/>
          <w:color w:val="1B2A4A"/>
          <w:sz w:val="30"/>
          <w:szCs w:val="30"/>
        </w:rPr>
        <w:t xml:space="preserve">10.3  Design and library dependencies (not AI, disclosed for completeness)</w:t>
      </w:r>
    </w:p>
    <w:p>
      <w:pPr>
        <w:pStyle w:val="ListParagraph"/>
        <w:numPr>
          <w:ilvl w:val="0"/>
          <w:numId w:val="1"/>
        </w:numPr>
        <w:spacing w:after="80"/>
      </w:pPr>
      <w:r>
        <w:rPr>
          <w:rFonts w:ascii="Calibri" w:cs="Calibri" w:eastAsia="Calibri" w:hAnsi="Calibri"/>
          <w:color w:val="14171F"/>
          <w:sz w:val="22"/>
          <w:szCs w:val="22"/>
        </w:rPr>
        <w:t xml:space="preserve">circular-natal-horoscope-js — pure-JS Vedic ephemeris library, used with our own Lahiri ayanamsa correction (see Section 5.3).</w:t>
      </w:r>
    </w:p>
    <w:p>
      <w:pPr>
        <w:pStyle w:val="ListParagraph"/>
        <w:numPr>
          <w:ilvl w:val="0"/>
          <w:numId w:val="1"/>
        </w:numPr>
        <w:spacing w:after="80"/>
      </w:pPr>
      <w:r>
        <w:rPr>
          <w:rFonts w:ascii="Calibri" w:cs="Calibri" w:eastAsia="Calibri" w:hAnsi="Calibri"/>
          <w:color w:val="14171F"/>
          <w:sz w:val="22"/>
          <w:szCs w:val="22"/>
        </w:rPr>
        <w:t xml:space="preserve">React 18, Vite, TypeScript, Tailwind, React Router — frontend stack.</w:t>
      </w:r>
    </w:p>
    <w:p>
      <w:pPr>
        <w:pStyle w:val="ListParagraph"/>
        <w:numPr>
          <w:ilvl w:val="0"/>
          <w:numId w:val="1"/>
        </w:numPr>
        <w:spacing w:after="80"/>
      </w:pPr>
      <w:r>
        <w:rPr>
          <w:rFonts w:ascii="Calibri" w:cs="Calibri" w:eastAsia="Calibri" w:hAnsi="Calibri"/>
          <w:color w:val="14171F"/>
          <w:sz w:val="22"/>
          <w:szCs w:val="22"/>
        </w:rPr>
        <w:t xml:space="preserve">Node 20, Express, Mongoose, Zod, bcryptjs, jsonwebtoken — backend stack.</w:t>
      </w:r>
    </w:p>
    <w:p>
      <w:pPr>
        <w:pStyle w:val="ListParagraph"/>
        <w:numPr>
          <w:ilvl w:val="0"/>
          <w:numId w:val="1"/>
        </w:numPr>
        <w:spacing w:after="80"/>
      </w:pPr>
      <w:r>
        <w:rPr>
          <w:rFonts w:ascii="Calibri" w:cs="Calibri" w:eastAsia="Calibri" w:hAnsi="Calibri"/>
          <w:color w:val="14171F"/>
          <w:sz w:val="22"/>
          <w:szCs w:val="22"/>
        </w:rPr>
        <w:t xml:space="preserve">MongoDB Atlas, Upstash Redis, Vercel, Render — managed infrastructure.</w:t>
      </w:r>
    </w:p>
    <w:p>
      <w:pPr>
        <w:pStyle w:val="Heading1"/>
        <w:spacing w:after="240" w:before="400"/>
      </w:pPr>
      <w:r>
        <w:rPr>
          <w:rFonts w:ascii="Georgia" w:cs="Georgia" w:eastAsia="Georgia" w:hAnsi="Georgia"/>
          <w:b/>
          <w:bCs/>
          <w:color w:val="1B2A4A"/>
          <w:sz w:val="40"/>
          <w:szCs w:val="40"/>
        </w:rPr>
        <w:t xml:space="preserve">11  References and Sources</w:t>
      </w:r>
    </w:p>
    <w:p>
      <w:pPr>
        <w:pStyle w:val="Heading3"/>
        <w:spacing w:after="120" w:before="240"/>
      </w:pPr>
      <w:r>
        <w:rPr>
          <w:rFonts w:ascii="Georgia" w:cs="Georgia" w:eastAsia="Georgia" w:hAnsi="Georgia"/>
          <w:b/>
          <w:bCs/>
          <w:color w:val="1B2A4A"/>
          <w:sz w:val="24"/>
          <w:szCs w:val="24"/>
        </w:rPr>
        <w:t xml:space="preserve">Category and unit economics</w:t>
      </w:r>
    </w:p>
    <w:p>
      <w:pPr>
        <w:pStyle w:val="ListParagraph"/>
        <w:numPr>
          <w:ilvl w:val="0"/>
          <w:numId w:val="1"/>
        </w:numPr>
        <w:spacing w:after="80"/>
      </w:pPr>
      <w:r>
        <w:rPr>
          <w:rFonts w:ascii="Calibri" w:cs="Calibri" w:eastAsia="Calibri" w:hAnsi="Calibri"/>
          <w:color w:val="14171F"/>
          <w:sz w:val="22"/>
          <w:szCs w:val="22"/>
        </w:rPr>
        <w:t xml:space="preserve">[1] Public reporting on Astrotalk’s FY25 revenue (₹1,214 crore, +85% YoY) and net-profit decline; scale metrics (three crore users, fifteen thousand astrologers, ~80% category share); IPO trajectory. Source category: business-press coverage on the company’s DRHP and annual filings — Moneycontrol, Economic Times, Inc42, VCCircle. Verify against the company’s most recent public filings before citing final figures.</w:t>
      </w:r>
    </w:p>
    <w:p>
      <w:pPr>
        <w:pStyle w:val="ListParagraph"/>
        <w:numPr>
          <w:ilvl w:val="0"/>
          <w:numId w:val="1"/>
        </w:numPr>
        <w:spacing w:after="80"/>
      </w:pPr>
      <w:r>
        <w:rPr>
          <w:rFonts w:ascii="Calibri" w:cs="Calibri" w:eastAsia="Calibri" w:hAnsi="Calibri"/>
          <w:color w:val="14171F"/>
          <w:sz w:val="22"/>
          <w:szCs w:val="22"/>
        </w:rPr>
        <w:t xml:space="preserve">[2] Category CAC and payback heuristics for per-minute Indian consumer marketplaces — inferred from public reporting on Astrotalk’s paid-marketing mix and comparable per-minute vertical marketplaces; not a single-source citation.</w:t>
      </w:r>
    </w:p>
    <w:p>
      <w:pPr>
        <w:pStyle w:val="Heading3"/>
        <w:spacing w:after="120" w:before="240"/>
      </w:pPr>
      <w:r>
        <w:rPr>
          <w:rFonts w:ascii="Georgia" w:cs="Georgia" w:eastAsia="Georgia" w:hAnsi="Georgia"/>
          <w:b/>
          <w:bCs/>
          <w:color w:val="1B2A4A"/>
          <w:sz w:val="24"/>
          <w:szCs w:val="24"/>
        </w:rPr>
        <w:t xml:space="preserve">Astrology domain</w:t>
      </w:r>
    </w:p>
    <w:p>
      <w:pPr>
        <w:pStyle w:val="ListParagraph"/>
        <w:numPr>
          <w:ilvl w:val="0"/>
          <w:numId w:val="1"/>
        </w:numPr>
        <w:spacing w:after="80"/>
      </w:pPr>
      <w:r>
        <w:rPr>
          <w:rFonts w:ascii="Calibri" w:cs="Calibri" w:eastAsia="Calibri" w:hAnsi="Calibri"/>
          <w:color w:val="14171F"/>
          <w:sz w:val="22"/>
          <w:szCs w:val="22"/>
        </w:rPr>
        <w:t xml:space="preserve">[3] North Indian Vedic kundli conventions — house layout, sign numbering, whole-sign house system. Standard Vedic astrology practice; introductory references include the North Indian Chart page on Astro-Seek and standard Vedic textbooks (e.g., B. V. Raman, "A Manual of Hindu Astrology").</w:t>
      </w:r>
    </w:p>
    <w:p>
      <w:pPr>
        <w:pStyle w:val="ListParagraph"/>
        <w:numPr>
          <w:ilvl w:val="0"/>
          <w:numId w:val="1"/>
        </w:numPr>
        <w:spacing w:after="80"/>
      </w:pPr>
      <w:r>
        <w:rPr>
          <w:rFonts w:ascii="Calibri" w:cs="Calibri" w:eastAsia="Calibri" w:hAnsi="Calibri"/>
          <w:color w:val="14171F"/>
          <w:sz w:val="22"/>
          <w:szCs w:val="22"/>
        </w:rPr>
        <w:t xml:space="preserve">[4] Lahiri (Chitrapaksha) ayanamsa — the Vedic standard adopted by the Rashtriya Panchang, India Ephemeris and Nautical Almanac Office; approximate precession rate 50.29″/year; reference epoch J2000.0 = 23°51′11″. See Swiss Ephemeris documentation and standard Vedic astronomical references.</w:t>
      </w:r>
    </w:p>
    <w:p>
      <w:pPr>
        <w:pStyle w:val="ListParagraph"/>
        <w:numPr>
          <w:ilvl w:val="0"/>
          <w:numId w:val="1"/>
        </w:numPr>
        <w:spacing w:after="80"/>
      </w:pPr>
      <w:r>
        <w:rPr>
          <w:rFonts w:ascii="Calibri" w:cs="Calibri" w:eastAsia="Calibri" w:hAnsi="Calibri"/>
          <w:color w:val="14171F"/>
          <w:sz w:val="22"/>
          <w:szCs w:val="22"/>
        </w:rPr>
        <w:t xml:space="preserve">[5] Albert Einstein reference chart (born 14 March 1879, 11:30 LMT, Ulm, Germany) — used for numerical validation of the astro engine. Published birth data and tropical positions from astro.com’s AstroDatabank.</w:t>
      </w:r>
    </w:p>
    <w:p>
      <w:pPr>
        <w:pStyle w:val="Heading3"/>
        <w:spacing w:after="120" w:before="240"/>
      </w:pPr>
      <w:r>
        <w:rPr>
          <w:rFonts w:ascii="Georgia" w:cs="Georgia" w:eastAsia="Georgia" w:hAnsi="Georgia"/>
          <w:b/>
          <w:bCs/>
          <w:color w:val="1B2A4A"/>
          <w:sz w:val="24"/>
          <w:szCs w:val="24"/>
        </w:rPr>
        <w:t xml:space="preserve">Design and visual references</w:t>
      </w:r>
    </w:p>
    <w:p>
      <w:pPr>
        <w:pStyle w:val="ListParagraph"/>
        <w:numPr>
          <w:ilvl w:val="0"/>
          <w:numId w:val="1"/>
        </w:numPr>
        <w:spacing w:after="80"/>
      </w:pPr>
      <w:r>
        <w:rPr>
          <w:rFonts w:ascii="Calibri" w:cs="Calibri" w:eastAsia="Calibri" w:hAnsi="Calibri"/>
          <w:color w:val="14171F"/>
          <w:sz w:val="22"/>
          <w:szCs w:val="22"/>
        </w:rPr>
        <w:t xml:space="preserve">[6] Jantar Mantar observatory — Jaipur, 18th century, UNESCO World Heritage Site. Visual reference for the "instrument, not oracle" design language; sandstone and brass palette, sharp geometric forms.</w:t>
      </w:r>
    </w:p>
    <w:p>
      <w:pPr>
        <w:pStyle w:val="ListParagraph"/>
        <w:numPr>
          <w:ilvl w:val="0"/>
          <w:numId w:val="1"/>
        </w:numPr>
        <w:spacing w:after="80"/>
      </w:pPr>
      <w:r>
        <w:rPr>
          <w:rFonts w:ascii="Calibri" w:cs="Calibri" w:eastAsia="Calibri" w:hAnsi="Calibri"/>
          <w:color w:val="14171F"/>
          <w:sz w:val="22"/>
          <w:szCs w:val="22"/>
        </w:rPr>
        <w:t xml:space="preserve">[7] Typefaces: Instrument Serif (Instrument), Karla (Google Fonts), Space Mono (Google Fonts).</w:t>
      </w:r>
    </w:p>
    <w:p>
      <w:pPr>
        <w:pStyle w:val="Heading3"/>
        <w:spacing w:after="120" w:before="240"/>
      </w:pPr>
      <w:r>
        <w:rPr>
          <w:rFonts w:ascii="Georgia" w:cs="Georgia" w:eastAsia="Georgia" w:hAnsi="Georgia"/>
          <w:b/>
          <w:bCs/>
          <w:color w:val="1B2A4A"/>
          <w:sz w:val="24"/>
          <w:szCs w:val="24"/>
        </w:rPr>
        <w:t xml:space="preserve">Software libraries</w:t>
      </w:r>
    </w:p>
    <w:p>
      <w:pPr>
        <w:pStyle w:val="ListParagraph"/>
        <w:numPr>
          <w:ilvl w:val="0"/>
          <w:numId w:val="1"/>
        </w:numPr>
        <w:spacing w:after="80"/>
      </w:pPr>
      <w:r>
        <w:rPr>
          <w:rFonts w:ascii="Calibri" w:cs="Calibri" w:eastAsia="Calibri" w:hAnsi="Calibri"/>
          <w:color w:val="14171F"/>
          <w:sz w:val="22"/>
          <w:szCs w:val="22"/>
        </w:rPr>
        <w:t xml:space="preserve">[8] circular-natal-horoscope-js — planetary ephemeris library. Note the fixed-24.1° "sidereal" issue documented in Section 5.3.</w:t>
      </w:r>
    </w:p>
    <w:p>
      <w:pPr>
        <w:pStyle w:val="ListParagraph"/>
        <w:numPr>
          <w:ilvl w:val="0"/>
          <w:numId w:val="1"/>
        </w:numPr>
        <w:spacing w:after="80"/>
      </w:pPr>
      <w:r>
        <w:rPr>
          <w:rFonts w:ascii="Calibri" w:cs="Calibri" w:eastAsia="Calibri" w:hAnsi="Calibri"/>
          <w:color w:val="14171F"/>
          <w:sz w:val="22"/>
          <w:szCs w:val="22"/>
        </w:rPr>
        <w:t xml:space="preserve">[9] Anthropic Claude — via Claude Code CLI, used as a build assistant.</w:t>
      </w:r>
    </w:p>
    <w:p>
      <w:pPr>
        <w:pStyle w:val="ListParagraph"/>
        <w:numPr>
          <w:ilvl w:val="0"/>
          <w:numId w:val="1"/>
        </w:numPr>
        <w:spacing w:after="80"/>
      </w:pPr>
      <w:r>
        <w:rPr>
          <w:rFonts w:ascii="Calibri" w:cs="Calibri" w:eastAsia="Calibri" w:hAnsi="Calibri"/>
          <w:color w:val="14171F"/>
          <w:sz w:val="22"/>
          <w:szCs w:val="22"/>
        </w:rPr>
        <w:t xml:space="preserve">[10] Groq — Llama 3.3 70B Versatile via OpenAI-compatible chat-completions API. Llama models are open-weights from Meta.</w:t>
      </w:r>
    </w:p>
    <w:p>
      <w:pPr>
        <w:pStyle w:val="Heading3"/>
        <w:spacing w:after="120" w:before="240"/>
      </w:pPr>
      <w:r>
        <w:rPr>
          <w:rFonts w:ascii="Georgia" w:cs="Georgia" w:eastAsia="Georgia" w:hAnsi="Georgia"/>
          <w:b/>
          <w:bCs/>
          <w:color w:val="1B2A4A"/>
          <w:sz w:val="24"/>
          <w:szCs w:val="24"/>
        </w:rPr>
        <w:t xml:space="preserve">Prototype access</w:t>
      </w:r>
    </w:p>
    <w:p>
      <w:pPr>
        <w:pStyle w:val="ListParagraph"/>
        <w:numPr>
          <w:ilvl w:val="0"/>
          <w:numId w:val="1"/>
        </w:numPr>
        <w:spacing w:after="80"/>
      </w:pPr>
      <w:r>
        <w:rPr>
          <w:rFonts w:ascii="Calibri" w:cs="Calibri" w:eastAsia="Calibri" w:hAnsi="Calibri"/>
          <w:color w:val="14171F"/>
          <w:sz w:val="22"/>
          <w:szCs w:val="22"/>
        </w:rPr>
        <w:t xml:space="preserve">Live application: https://sutra-client.vercel.app</w:t>
      </w:r>
    </w:p>
    <w:p>
      <w:pPr>
        <w:pStyle w:val="ListParagraph"/>
        <w:numPr>
          <w:ilvl w:val="0"/>
          <w:numId w:val="1"/>
        </w:numPr>
        <w:spacing w:after="80"/>
      </w:pPr>
      <w:r>
        <w:rPr>
          <w:rFonts w:ascii="Calibri" w:cs="Calibri" w:eastAsia="Calibri" w:hAnsi="Calibri"/>
          <w:color w:val="14171F"/>
          <w:sz w:val="22"/>
          <w:szCs w:val="22"/>
        </w:rPr>
        <w:t xml:space="preserve">Repository: https://github.com/aryamanbhati/sutra</w:t>
      </w:r>
    </w:p>
    <w:p>
      <w:pPr>
        <w:pStyle w:val="ListParagraph"/>
        <w:numPr>
          <w:ilvl w:val="0"/>
          <w:numId w:val="1"/>
        </w:numPr>
        <w:spacing w:after="80"/>
      </w:pPr>
      <w:r>
        <w:rPr>
          <w:rFonts w:ascii="Calibri" w:cs="Calibri" w:eastAsia="Calibri" w:hAnsi="Calibri"/>
          <w:color w:val="14171F"/>
          <w:sz w:val="22"/>
          <w:szCs w:val="22"/>
        </w:rPr>
        <w:t xml:space="preserve">Demo login credentials are surfaced on the login screen.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2E4370"/>
        <w:sz w:val="16"/>
        <w:szCs w:val="16"/>
      </w:rPr>
      <w:t xml:space="preserve">Page </w:t>
    </w:r>
    <w:r>
      <w:rPr>
        <w:rFonts w:ascii="Consolas" w:cs="Consolas" w:eastAsia="Consolas" w:hAnsi="Consolas"/>
        <w:color w:val="2E4370"/>
        <w:sz w:val="16"/>
        <w:szCs w:val="16"/>
      </w:rPr>
      <w:fldChar w:fldCharType="begin"/>
      <w:instrText xml:space="preserve">PAGE</w:instrText>
      <w:fldChar w:fldCharType="separate"/>
      <w:fldChar w:fldCharType="end"/>
    </w:r>
    <w:r>
      <w:rPr>
        <w:rFonts w:ascii="Consolas" w:cs="Consolas" w:eastAsia="Consolas" w:hAnsi="Consolas"/>
        <w:color w:val="2E4370"/>
        <w:sz w:val="16"/>
        <w:szCs w:val="16"/>
      </w:rPr>
      <w:t xml:space="preserve"> of </w:t>
    </w:r>
    <w:r>
      <w:rPr>
        <w:rFonts w:ascii="Consolas" w:cs="Consolas" w:eastAsia="Consolas" w:hAnsi="Consolas"/>
        <w:color w:val="2E43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onsolas" w:cs="Consolas" w:eastAsia="Consolas" w:hAnsi="Consolas"/>
        <w:b/>
        <w:bCs/>
        <w:caps/>
        <w:color w:val="B08948"/>
        <w:sz w:val="16"/>
        <w:szCs w:val="16"/>
      </w:rPr>
      <w:t xml:space="preserve">SUTRA · ASTROLIVE CHALLENGE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Sutra — AstroLive Challenge Submission Report</dc:title>
  <dc:creator>Aryaman Bhati</dc:creator>
  <dc:description>A report on the persistent-memory astrology platform submitted for AstroHack 2026.</dc:description>
  <cp:lastModifiedBy>Un-named</cp:lastModifiedBy>
  <cp:revision>1</cp:revision>
  <dcterms:created xsi:type="dcterms:W3CDTF">2026-07-31T18:06:11.378Z</dcterms:created>
  <dcterms:modified xsi:type="dcterms:W3CDTF">2026-07-31T18:06:11.379Z</dcterms:modified>
</cp:coreProperties>
</file>

<file path=docProps/custom.xml><?xml version="1.0" encoding="utf-8"?>
<Properties xmlns="http://schemas.openxmlformats.org/officeDocument/2006/custom-properties" xmlns:vt="http://schemas.openxmlformats.org/officeDocument/2006/docPropsVTypes"/>
</file>