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0"/>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cyberlens-180.png"/>
                    <pic:cNvPicPr/>
                  </pic:nvPicPr>
                  <pic:blipFill>
                    <a:blip r:embed="rId10"/>
                    <a:stretch>
                      <a:fillRect/>
                    </a:stretch>
                  </pic:blipFill>
                  <pic:spPr>
                    <a:xfrm>
                      <a:off x="0" y="0"/>
                      <a:ext cx="749808" cy="749808"/>
                    </a:xfrm>
                    <a:prstGeom prst="rect"/>
                  </pic:spPr>
                </pic:pic>
              </a:graphicData>
            </a:graphic>
          </wp:inline>
        </w:drawing>
      </w:r>
    </w:p>
    <w:p>
      <w:pPr>
        <w:pStyle w:val="Title"/>
        <w:spacing w:before="40" w:after="160"/>
      </w:pPr>
      <w:r>
        <w:t>CyberLens</w:t>
      </w:r>
    </w:p>
    <w:p>
      <w:pPr>
        <w:spacing w:after="440"/>
        <w:jc w:val="center"/>
      </w:pPr>
      <w:r>
        <w:rPr>
          <w:rFonts w:ascii="Times New Roman" w:hAnsi="Times New Roman"/>
          <w:b/>
          <w:color w:val="20242B"/>
          <w:sz w:val="34"/>
        </w:rPr>
        <w:t>A Local Cyber Threat Intelligence and Incident Response Workspace</w:t>
      </w:r>
    </w:p>
    <w:p>
      <w:pPr>
        <w:spacing w:after="440"/>
        <w:jc w:val="center"/>
      </w:pPr>
      <w:r>
        <w:rPr>
          <w:rFonts w:ascii="Times New Roman" w:hAnsi="Times New Roman"/>
          <w:b/>
          <w:color w:val="13284B"/>
          <w:sz w:val="28"/>
        </w:rPr>
        <w:t>MINOR PROJECT REPORT</w:t>
      </w:r>
    </w:p>
    <w:p>
      <w:pPr>
        <w:spacing w:after="120"/>
        <w:jc w:val="center"/>
      </w:pPr>
      <w:r>
        <w:rPr>
          <w:rFonts w:ascii="Times New Roman" w:hAnsi="Times New Roman"/>
          <w:i/>
          <w:color w:val="20242B"/>
          <w:sz w:val="24"/>
        </w:rPr>
        <w:t>Submitted by</w:t>
      </w:r>
    </w:p>
    <w:p>
      <w:pPr>
        <w:spacing w:after="60"/>
        <w:jc w:val="center"/>
      </w:pPr>
      <w:r>
        <w:rPr>
          <w:rFonts w:ascii="Times New Roman" w:hAnsi="Times New Roman"/>
          <w:b/>
          <w:color w:val="20242B"/>
          <w:sz w:val="24"/>
        </w:rPr>
        <w:t>[Student Name]</w:t>
      </w:r>
    </w:p>
    <w:p>
      <w:pPr>
        <w:spacing w:after="60"/>
        <w:jc w:val="center"/>
      </w:pPr>
      <w:r>
        <w:rPr>
          <w:rFonts w:ascii="Times New Roman" w:hAnsi="Times New Roman"/>
          <w:b/>
          <w:color w:val="20242B"/>
          <w:sz w:val="24"/>
        </w:rPr>
        <w:t>[Register Number]</w:t>
      </w:r>
    </w:p>
    <w:p>
      <w:pPr>
        <w:spacing w:before="320" w:after="100"/>
        <w:jc w:val="center"/>
      </w:pPr>
      <w:r>
        <w:rPr>
          <w:rFonts w:ascii="Times New Roman" w:hAnsi="Times New Roman"/>
          <w:i/>
          <w:color w:val="20242B"/>
          <w:sz w:val="24"/>
        </w:rPr>
        <w:t>Under the guidance of</w:t>
      </w:r>
    </w:p>
    <w:p>
      <w:pPr>
        <w:spacing w:after="60"/>
        <w:jc w:val="center"/>
      </w:pPr>
      <w:r>
        <w:rPr>
          <w:rFonts w:ascii="Times New Roman" w:hAnsi="Times New Roman"/>
          <w:color w:val="20242B"/>
          <w:sz w:val="24"/>
        </w:rPr>
        <w:t>[Supervisor Name]</w:t>
      </w:r>
    </w:p>
    <w:p>
      <w:pPr>
        <w:spacing w:after="60"/>
        <w:jc w:val="center"/>
      </w:pPr>
      <w:r>
        <w:rPr>
          <w:rFonts w:ascii="Times New Roman" w:hAnsi="Times New Roman"/>
          <w:color w:val="20242B"/>
          <w:sz w:val="24"/>
        </w:rPr>
        <w:t>[Designation]</w:t>
      </w:r>
    </w:p>
    <w:p>
      <w:pPr>
        <w:spacing w:before="160" w:after="60"/>
        <w:jc w:val="center"/>
      </w:pPr>
      <w:r>
        <w:rPr>
          <w:rFonts w:ascii="Times New Roman" w:hAnsi="Times New Roman"/>
          <w:b w:val="0"/>
          <w:color w:val="20242B"/>
          <w:sz w:val="24"/>
        </w:rPr>
        <w:t>in partial fulfillment of the requirements for the degree of</w:t>
      </w:r>
    </w:p>
    <w:p>
      <w:pPr>
        <w:spacing w:before="0" w:after="60"/>
        <w:jc w:val="center"/>
      </w:pPr>
      <w:r>
        <w:rPr>
          <w:rFonts w:ascii="Times New Roman" w:hAnsi="Times New Roman"/>
          <w:b/>
          <w:color w:val="20242B"/>
          <w:sz w:val="24"/>
        </w:rPr>
        <w:t>[Degree Program]</w:t>
      </w:r>
    </w:p>
    <w:p>
      <w:pPr>
        <w:spacing w:before="0" w:after="60"/>
        <w:jc w:val="center"/>
      </w:pPr>
      <w:r>
        <w:rPr>
          <w:rFonts w:ascii="Times New Roman" w:hAnsi="Times New Roman"/>
          <w:b/>
          <w:color w:val="20242B"/>
          <w:sz w:val="24"/>
        </w:rPr>
        <w:t>[Department Name]</w:t>
      </w:r>
    </w:p>
    <w:p>
      <w:pPr>
        <w:spacing w:before="0" w:after="60"/>
        <w:jc w:val="center"/>
      </w:pPr>
      <w:r>
        <w:rPr>
          <w:rFonts w:ascii="Times New Roman" w:hAnsi="Times New Roman"/>
          <w:b w:val="0"/>
          <w:color w:val="20242B"/>
          <w:sz w:val="24"/>
        </w:rPr>
        <w:t>[College or Institute Name]</w:t>
      </w:r>
    </w:p>
    <w:p>
      <w:pPr>
        <w:spacing w:before="0" w:after="60"/>
        <w:jc w:val="center"/>
      </w:pPr>
      <w:r>
        <w:rPr>
          <w:rFonts w:ascii="Times New Roman" w:hAnsi="Times New Roman"/>
          <w:b w:val="0"/>
          <w:color w:val="20242B"/>
          <w:sz w:val="24"/>
        </w:rPr>
        <w:t>[City, State]</w:t>
      </w:r>
    </w:p>
    <w:p>
      <w:pPr>
        <w:spacing w:before="0" w:after="60"/>
        <w:jc w:val="center"/>
      </w:pPr>
      <w:r>
        <w:rPr>
          <w:rFonts w:ascii="Times New Roman" w:hAnsi="Times New Roman"/>
          <w:b w:val="0"/>
          <w:color w:val="20242B"/>
          <w:sz w:val="24"/>
        </w:rPr>
        <w:t>[Month Year]</w:t>
      </w:r>
    </w:p>
    <w:p>
      <w:r>
        <w:br w:type="page"/>
      </w:r>
    </w:p>
    <w:p>
      <w:pPr>
        <w:keepNext/>
        <w:spacing w:after="400"/>
        <w:jc w:val="center"/>
      </w:pPr>
      <w:r>
        <w:rPr>
          <w:rFonts w:ascii="Times New Roman" w:hAnsi="Times New Roman"/>
          <w:b/>
          <w:color w:val="13284B"/>
          <w:sz w:val="30"/>
        </w:rPr>
        <w:t>DECLARATION</w:t>
      </w:r>
    </w:p>
    <w:p>
      <w:pPr>
        <w:keepLines w:val="0"/>
        <w:spacing w:before="0" w:after="140" w:line="360" w:lineRule="auto"/>
        <w:ind w:firstLine="0"/>
        <w:jc w:val="both"/>
      </w:pPr>
      <w:r>
        <w:rPr>
          <w:rFonts w:ascii="Times New Roman" w:hAnsi="Times New Roman"/>
          <w:color w:val="20242B"/>
          <w:sz w:val="24"/>
        </w:rPr>
        <w:t>I hereby declare that this minor project report entitled “CyberLens: A Local Cyber Threat Intelligence and Incident Response Workspace” describes the project work submitted by me in partial fulfillment of the requirements for [Degree Program] at [College or Institute Name]. The implementation and written report are presented for academic evaluation. Any external standards, provider documentation, and software documentation used to explain the design are cited in the references.</w:t>
      </w:r>
    </w:p>
    <w:p>
      <w:pPr>
        <w:keepLines w:val="0"/>
        <w:spacing w:before="0" w:after="140" w:line="360" w:lineRule="auto"/>
        <w:ind w:firstLine="0"/>
        <w:jc w:val="both"/>
      </w:pPr>
      <w:r>
        <w:rPr>
          <w:rFonts w:ascii="Times New Roman" w:hAnsi="Times New Roman"/>
          <w:color w:val="20242B"/>
          <w:sz w:val="24"/>
        </w:rPr>
        <w:t>I understand that the institution’s own declaration and originality requirements take precedence. I will review this report, replace the editable student and institution details, verify the implementation claims against my final project build, and sign this statement only if it is accurate.</w:t>
      </w:r>
    </w:p>
    <w:p/>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331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21"/>
              </w:rPr>
              <w:t>Student Details</w:t>
            </w:r>
          </w:p>
        </w:tc>
        <w:tc>
          <w:tcPr>
            <w:tcW w:type="dxa" w:w="6048"/>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21"/>
              </w:rPr>
              <w:t>To be completed</w:t>
            </w:r>
          </w:p>
        </w:tc>
      </w:tr>
      <w:tr>
        <w:trPr>
          <w:cantSplit/>
        </w:trPr>
        <w:tc>
          <w:tcPr>
            <w:tcW w:type="dxa" w:w="331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Name</w:t>
            </w:r>
          </w:p>
        </w:tc>
        <w:tc>
          <w:tcPr>
            <w:tcW w:type="dxa" w:w="604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[Student Name]</w:t>
            </w:r>
          </w:p>
        </w:tc>
      </w:tr>
      <w:tr>
        <w:trPr>
          <w:cantSplit/>
        </w:trPr>
        <w:tc>
          <w:tcPr>
            <w:tcW w:type="dxa" w:w="331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Register number</w:t>
            </w:r>
          </w:p>
        </w:tc>
        <w:tc>
          <w:tcPr>
            <w:tcW w:type="dxa" w:w="604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[Register Number]</w:t>
            </w:r>
          </w:p>
        </w:tc>
      </w:tr>
      <w:tr>
        <w:trPr>
          <w:cantSplit/>
        </w:trPr>
        <w:tc>
          <w:tcPr>
            <w:tcW w:type="dxa" w:w="331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Signature</w:t>
            </w:r>
          </w:p>
        </w:tc>
        <w:tc>
          <w:tcPr>
            <w:tcW w:type="dxa" w:w="604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________________________________</w:t>
            </w:r>
          </w:p>
        </w:tc>
      </w:tr>
      <w:tr>
        <w:trPr>
          <w:cantSplit/>
        </w:trPr>
        <w:tc>
          <w:tcPr>
            <w:tcW w:type="dxa" w:w="331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Date</w:t>
            </w:r>
          </w:p>
        </w:tc>
        <w:tc>
          <w:tcPr>
            <w:tcW w:type="dxa" w:w="604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1"/>
              </w:rPr>
              <w:t>________________________________</w:t>
            </w:r>
          </w:p>
        </w:tc>
      </w:tr>
    </w:tbl>
    <w:p>
      <w:pPr>
        <w:spacing w:after="40"/>
      </w:pPr>
    </w:p>
    <w:p>
      <w:r>
        <w:br w:type="page"/>
      </w:r>
    </w:p>
    <w:p>
      <w:pPr>
        <w:keepNext/>
        <w:spacing w:after="400"/>
        <w:jc w:val="center"/>
      </w:pPr>
      <w:r>
        <w:rPr>
          <w:rFonts w:ascii="Times New Roman" w:hAnsi="Times New Roman"/>
          <w:b/>
          <w:color w:val="13284B"/>
          <w:sz w:val="30"/>
        </w:rPr>
        <w:t>BONAFIDE CERTIFICATE</w:t>
      </w:r>
    </w:p>
    <w:p>
      <w:pPr>
        <w:keepLines w:val="0"/>
        <w:spacing w:before="0" w:after="140" w:line="360" w:lineRule="auto"/>
        <w:ind w:firstLine="0"/>
        <w:jc w:val="both"/>
      </w:pPr>
      <w:r>
        <w:rPr>
          <w:rFonts w:ascii="Times New Roman" w:hAnsi="Times New Roman"/>
          <w:color w:val="20242B"/>
          <w:sz w:val="24"/>
        </w:rPr>
        <w:t>This is to certify that the project report entitled “CyberLens: A Local Cyber Threat Intelligence and Incident Response Workspace” is submitted by [Student Name], [Register Number], in partial fulfillment of the requirements for [Degree Program] at [College or Institute Name]. The project work was carried out under the guidance of [Supervisor Name], [Designation], [Department Name].</w:t>
      </w:r>
    </w:p>
    <w:p>
      <w:pPr>
        <w:keepLines w:val="0"/>
        <w:spacing w:before="0" w:after="140" w:line="360" w:lineRule="auto"/>
        <w:ind w:firstLine="0"/>
        <w:jc w:val="both"/>
      </w:pPr>
      <w:r>
        <w:rPr>
          <w:rFonts w:ascii="Times New Roman" w:hAnsi="Times New Roman"/>
          <w:color w:val="20242B"/>
          <w:sz w:val="24"/>
        </w:rPr>
        <w:t>The final wording, institutional seal, signatures, and date must be completed by the authorized supervisor and department in accordance with the institution’s report format.</w:t>
      </w:r>
    </w:p>
    <w:p/>
    <w:p/>
    <w:tbl>
      <w:tblPr>
        <w:tblStyle w:val="TableGrid"/>
        <w:tblW w:type="auto" w:w="0"/>
        <w:tblLayout w:type="fixed"/>
        <w:tblLook w:firstColumn="1" w:firstRow="1" w:lastColumn="0" w:lastRow="0" w:noHBand="0" w:noVBand="1" w:val="04A0"/>
      </w:tblPr>
      <w:tblGrid>
        <w:gridCol w:w="2938"/>
        <w:gridCol w:w="2938"/>
        <w:gridCol w:w="2938"/>
      </w:tblGrid>
      <w:tr>
        <w:trPr>
          <w:tblHeader w:val="true"/>
          <w:cantSplit/>
        </w:trPr>
        <w:tc>
          <w:tcPr>
            <w:tcW w:type="dxa" w:w="2304"/>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9"/>
              </w:rPr>
              <w:t>Role</w:t>
            </w:r>
          </w:p>
        </w:tc>
        <w:tc>
          <w:tcPr>
            <w:tcW w:type="dxa" w:w="5184"/>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9"/>
              </w:rPr>
              <w:t>Name and signature</w:t>
            </w:r>
          </w:p>
        </w:tc>
        <w:tc>
          <w:tcPr>
            <w:tcW w:type="dxa" w:w="1728"/>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9"/>
              </w:rPr>
              <w:t>Date</w:t>
            </w:r>
          </w:p>
        </w:tc>
      </w:tr>
      <w:tr>
        <w:trPr>
          <w:cantSplit/>
        </w:trPr>
        <w:tc>
          <w:tcPr>
            <w:tcW w:type="dxa" w:w="230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Project supervisor</w:t>
            </w:r>
          </w:p>
        </w:tc>
        <w:tc>
          <w:tcPr>
            <w:tcW w:type="dxa" w:w="518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[Supervisor Name]  __________________</w:t>
            </w:r>
          </w:p>
        </w:tc>
        <w:tc>
          <w:tcPr>
            <w:tcW w:type="dxa" w:w="172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____________</w:t>
            </w:r>
          </w:p>
        </w:tc>
      </w:tr>
      <w:tr>
        <w:trPr>
          <w:cantSplit/>
        </w:trPr>
        <w:tc>
          <w:tcPr>
            <w:tcW w:type="dxa" w:w="2304"/>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Head of department</w:t>
            </w:r>
          </w:p>
        </w:tc>
        <w:tc>
          <w:tcPr>
            <w:tcW w:type="dxa" w:w="5184"/>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[HOD Name]  ______________________</w:t>
            </w:r>
          </w:p>
        </w:tc>
        <w:tc>
          <w:tcPr>
            <w:tcW w:type="dxa" w:w="172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____________</w:t>
            </w:r>
          </w:p>
        </w:tc>
      </w:tr>
      <w:tr>
        <w:trPr>
          <w:cantSplit/>
        </w:trPr>
        <w:tc>
          <w:tcPr>
            <w:tcW w:type="dxa" w:w="230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External examiner</w:t>
            </w:r>
          </w:p>
        </w:tc>
        <w:tc>
          <w:tcPr>
            <w:tcW w:type="dxa" w:w="518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______________________________</w:t>
            </w:r>
          </w:p>
        </w:tc>
        <w:tc>
          <w:tcPr>
            <w:tcW w:type="dxa" w:w="172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____________</w:t>
            </w:r>
          </w:p>
        </w:tc>
      </w:tr>
    </w:tbl>
    <w:p>
      <w:pPr>
        <w:spacing w:after="40"/>
      </w:pPr>
    </w:p>
    <w:p>
      <w:r>
        <w:br w:type="page"/>
      </w:r>
    </w:p>
    <w:p>
      <w:pPr>
        <w:keepNext/>
        <w:spacing w:after="400"/>
        <w:jc w:val="center"/>
      </w:pPr>
      <w:r>
        <w:rPr>
          <w:rFonts w:ascii="Times New Roman" w:hAnsi="Times New Roman"/>
          <w:b/>
          <w:color w:val="13284B"/>
          <w:sz w:val="30"/>
        </w:rPr>
        <w:t>ACKNOWLEDGEMENTS</w:t>
      </w:r>
    </w:p>
    <w:p>
      <w:pPr>
        <w:keepLines w:val="0"/>
        <w:spacing w:before="0" w:after="140" w:line="360" w:lineRule="auto"/>
        <w:ind w:firstLine="403"/>
        <w:jc w:val="both"/>
      </w:pPr>
      <w:r>
        <w:rPr>
          <w:rFonts w:ascii="Times New Roman" w:hAnsi="Times New Roman"/>
          <w:color w:val="20242B"/>
          <w:sz w:val="24"/>
        </w:rPr>
        <w:t>I express my sincere gratitude to [Supervisor Name] for guidance, feedback, and support during the development of CyberLens. The discussions helped shape the project scope and kept the implementation focused on evidence review, analyst decisions, and safe investigation workflows.</w:t>
      </w:r>
    </w:p>
    <w:p>
      <w:pPr>
        <w:keepLines w:val="0"/>
        <w:spacing w:before="0" w:after="140" w:line="360" w:lineRule="auto"/>
        <w:ind w:firstLine="403"/>
        <w:jc w:val="both"/>
      </w:pPr>
      <w:r>
        <w:rPr>
          <w:rFonts w:ascii="Times New Roman" w:hAnsi="Times New Roman"/>
          <w:color w:val="20242B"/>
          <w:sz w:val="24"/>
        </w:rPr>
        <w:t>I thank the faculty and staff of [Department Name], [College or Institute Name], for providing the academic environment and resources required to complete this project. I also acknowledge the maintainers of the open-source software and public cybersecurity data sources cited in this report.</w:t>
      </w:r>
    </w:p>
    <w:p>
      <w:pPr>
        <w:keepLines w:val="0"/>
        <w:spacing w:before="0" w:after="140" w:line="360" w:lineRule="auto"/>
        <w:ind w:firstLine="403"/>
        <w:jc w:val="both"/>
      </w:pPr>
      <w:r>
        <w:rPr>
          <w:rFonts w:ascii="Times New Roman" w:hAnsi="Times New Roman"/>
          <w:color w:val="20242B"/>
          <w:sz w:val="24"/>
        </w:rPr>
        <w:t>Finally, I thank my family and peers for their encouragement throughout the project.</w:t>
      </w:r>
    </w:p>
    <w:p>
      <w:pPr>
        <w:spacing w:before="600"/>
        <w:jc w:val="right"/>
      </w:pPr>
      <w:r>
        <w:rPr>
          <w:rFonts w:ascii="Times New Roman" w:hAnsi="Times New Roman"/>
          <w:b/>
          <w:color w:val="20242B"/>
          <w:sz w:val="24"/>
        </w:rPr>
        <w:t>[Student Name]</w:t>
      </w:r>
    </w:p>
    <w:p>
      <w:r>
        <w:br w:type="page"/>
      </w:r>
    </w:p>
    <w:p>
      <w:pPr>
        <w:keepNext/>
        <w:spacing w:after="400"/>
        <w:jc w:val="center"/>
      </w:pPr>
      <w:r>
        <w:rPr>
          <w:rFonts w:ascii="Times New Roman" w:hAnsi="Times New Roman"/>
          <w:b/>
          <w:color w:val="13284B"/>
          <w:sz w:val="30"/>
        </w:rPr>
        <w:t>ABSTRACT</w:t>
      </w:r>
    </w:p>
    <w:p>
      <w:pPr>
        <w:keepLines w:val="0"/>
        <w:spacing w:before="0" w:after="140" w:line="360" w:lineRule="auto"/>
        <w:ind w:firstLine="403"/>
        <w:jc w:val="both"/>
      </w:pPr>
      <w:r>
        <w:rPr>
          <w:rFonts w:ascii="Times New Roman" w:hAnsi="Times New Roman"/>
          <w:color w:val="20242B"/>
          <w:sz w:val="24"/>
        </w:rPr>
        <w:t>CyberLens is a browser-based workspace for organizing cyber threat intelligence, security observations, and incident-response records for assets that an analyst is authorized to assess. It combines an inventory of domains, IP addresses, URLs, email addresses, applications, and software components with background investigations that collect selected evidence from configured sources. Each investigation records collector status, observation time, source provenance, and evidence checksums. Vulnerability matches remain review candidates until an analyst evaluates applicability, while a documented academic prioritization method explains which reviewed evidence contributes to risk.</w:t>
      </w:r>
    </w:p>
    <w:p>
      <w:pPr>
        <w:keepLines w:val="0"/>
        <w:spacing w:before="0" w:after="140" w:line="360" w:lineRule="auto"/>
        <w:ind w:firstLine="403"/>
        <w:jc w:val="both"/>
      </w:pPr>
      <w:r>
        <w:rPr>
          <w:rFonts w:ascii="Times New Roman" w:hAnsi="Times New Roman"/>
          <w:color w:val="20242B"/>
          <w:sz w:val="24"/>
        </w:rPr>
        <w:t>The application uses a React and TypeScript interface, a FastAPI service, PostgreSQL for durable records, Redis with RQ for background processing, a separate dispatcher for reliable queue delivery, and Docker Compose for local operation. Analysts can review evidence relationships, compare investigation history, create incident cases, track remediation plans, and export PDF or JSON report snapshots. Security controls include role-based access, cookie-backed sessions, CSRF checks, password hashing, shared login throttling, scoped authorization records, bounded outbound requests, and backend-only provider credentials.</w:t>
      </w:r>
    </w:p>
    <w:p>
      <w:pPr>
        <w:keepLines w:val="0"/>
        <w:spacing w:before="0" w:after="140" w:line="360" w:lineRule="auto"/>
        <w:ind w:firstLine="403"/>
        <w:jc w:val="both"/>
      </w:pPr>
      <w:r>
        <w:rPr>
          <w:rFonts w:ascii="Times New Roman" w:hAnsi="Times New Roman"/>
          <w:color w:val="20242B"/>
          <w:sz w:val="24"/>
        </w:rPr>
        <w:t>CyberLens has a separate offline Demo mode that uses synthetic fixtures. The normal Live mode can use real provider data when the required configuration, access, and authorization are available. The project is designed as a local single-workspace showcase and does not perform exploitation, network-wide scanning, automatic containment, or automatic remediation. The risk score is an explainable academic prioritization aid and has not been calibrated against incident outcomes.</w:t>
      </w:r>
    </w:p>
    <w:p>
      <w:pPr>
        <w:ind w:firstLine="0"/>
      </w:pPr>
      <w:r>
        <w:rPr>
          <w:rFonts w:ascii="Times New Roman" w:hAnsi="Times New Roman"/>
          <w:b/>
          <w:color w:val="13284B"/>
          <w:sz w:val="22"/>
        </w:rPr>
        <w:t xml:space="preserve">Keywords: </w:t>
      </w:r>
      <w:r>
        <w:rPr>
          <w:rFonts w:ascii="Times New Roman" w:hAnsi="Times New Roman"/>
          <w:color w:val="20242B"/>
          <w:sz w:val="22"/>
        </w:rPr>
        <w:t>cyber threat intelligence, incident response, evidence provenance, vulnerability applicability, risk prioritization, background jobs</w:t>
      </w:r>
    </w:p>
    <w:p>
      <w:r>
        <w:br w:type="page"/>
      </w:r>
    </w:p>
    <w:p>
      <w:pPr>
        <w:keepNext/>
        <w:spacing w:after="400"/>
        <w:jc w:val="center"/>
      </w:pPr>
      <w:r>
        <w:rPr>
          <w:rFonts w:ascii="Times New Roman" w:hAnsi="Times New Roman"/>
          <w:b/>
          <w:color w:val="13284B"/>
          <w:sz w:val="30"/>
        </w:rPr>
        <w:t>TABLE OF CONTENTS</w:t>
      </w:r>
    </w:p>
    <w:p>
      <w:pPr>
        <w:tabs>
          <w:tab w:pos="8640" w:val="right" w:leader="dot"/>
          <w:tab w:pos="8640" w:val="right" w:leader="dot"/>
        </w:tabs>
        <w:spacing w:after="100" w:line="252" w:lineRule="auto"/>
        <w:ind w:left="0" w:firstLine="0"/>
      </w:pPr>
      <w:r>
        <w:rPr>
          <w:rFonts w:ascii="Times New Roman" w:hAnsi="Times New Roman"/>
          <w:b/>
          <w:color w:val="20242B"/>
          <w:sz w:val="22"/>
        </w:rPr>
        <w:t>ABSTRACT</w:t>
        <w:tab/>
      </w:r>
      <w:r>
        <w:rPr>
          <w:rFonts w:ascii="Times New Roman" w:hAnsi="Times New Roman"/>
          <w:b/>
          <w:color w:val="20242B"/>
          <w:sz w:val="22"/>
        </w:rPr>
        <w:t>v</w:t>
      </w:r>
    </w:p>
    <w:p>
      <w:pPr>
        <w:tabs>
          <w:tab w:pos="8640" w:val="right" w:leader="dot"/>
          <w:tab w:pos="8640" w:val="right" w:leader="dot"/>
        </w:tabs>
        <w:spacing w:after="100" w:line="252" w:lineRule="auto"/>
        <w:ind w:left="0" w:firstLine="0"/>
      </w:pPr>
      <w:r>
        <w:rPr>
          <w:rFonts w:ascii="Times New Roman" w:hAnsi="Times New Roman"/>
          <w:b/>
          <w:color w:val="20242B"/>
          <w:sz w:val="22"/>
        </w:rPr>
        <w:t>ABBREVIATIONS</w:t>
        <w:tab/>
      </w:r>
      <w:r>
        <w:rPr>
          <w:rFonts w:ascii="Times New Roman" w:hAnsi="Times New Roman"/>
          <w:b/>
          <w:color w:val="20242B"/>
          <w:sz w:val="22"/>
        </w:rPr>
        <w:t>ix</w:t>
      </w:r>
    </w:p>
    <w:p>
      <w:pPr>
        <w:tabs>
          <w:tab w:pos="8640" w:val="right" w:leader="dot"/>
          <w:tab w:pos="8640" w:val="right" w:leader="dot"/>
        </w:tabs>
        <w:spacing w:after="100" w:line="252" w:lineRule="auto"/>
        <w:ind w:left="0" w:firstLine="0"/>
      </w:pPr>
      <w:r>
        <w:rPr>
          <w:rFonts w:ascii="Times New Roman" w:hAnsi="Times New Roman"/>
          <w:b/>
          <w:color w:val="20242B"/>
          <w:sz w:val="22"/>
        </w:rPr>
        <w:t>CHAPTER 1  INTRODUCTION</w:t>
        <w:tab/>
      </w:r>
      <w:r>
        <w:rPr>
          <w:rFonts w:ascii="Times New Roman" w:hAnsi="Times New Roman"/>
          <w:b/>
          <w:color w:val="20242B"/>
          <w:sz w:val="22"/>
        </w:rPr>
        <w:t>1</w:t>
      </w:r>
    </w:p>
    <w:p>
      <w:pPr>
        <w:tabs>
          <w:tab w:pos="8640" w:val="right" w:leader="dot"/>
          <w:tab w:pos="8640" w:val="right" w:leader="dot"/>
        </w:tabs>
        <w:spacing w:after="60" w:line="252" w:lineRule="auto"/>
        <w:ind w:left="403" w:firstLine="0"/>
      </w:pPr>
      <w:r>
        <w:rPr>
          <w:rFonts w:ascii="Times New Roman" w:hAnsi="Times New Roman"/>
          <w:b w:val="0"/>
          <w:color w:val="20242B"/>
          <w:sz w:val="21"/>
        </w:rPr>
        <w:t>1.1  Background</w:t>
        <w:tab/>
      </w:r>
      <w:r>
        <w:rPr>
          <w:rFonts w:ascii="Times New Roman" w:hAnsi="Times New Roman"/>
          <w:b w:val="0"/>
          <w:color w:val="20242B"/>
          <w:sz w:val="21"/>
        </w:rPr>
        <w:t>1</w:t>
      </w:r>
    </w:p>
    <w:p>
      <w:pPr>
        <w:tabs>
          <w:tab w:pos="8640" w:val="right" w:leader="dot"/>
          <w:tab w:pos="8640" w:val="right" w:leader="dot"/>
        </w:tabs>
        <w:spacing w:after="60" w:line="252" w:lineRule="auto"/>
        <w:ind w:left="403" w:firstLine="0"/>
      </w:pPr>
      <w:r>
        <w:rPr>
          <w:rFonts w:ascii="Times New Roman" w:hAnsi="Times New Roman"/>
          <w:b w:val="0"/>
          <w:color w:val="20242B"/>
          <w:sz w:val="21"/>
        </w:rPr>
        <w:t>1.2  Problem Statement</w:t>
        <w:tab/>
      </w:r>
      <w:r>
        <w:rPr>
          <w:rFonts w:ascii="Times New Roman" w:hAnsi="Times New Roman"/>
          <w:b w:val="0"/>
          <w:color w:val="20242B"/>
          <w:sz w:val="21"/>
        </w:rPr>
        <w:t>1</w:t>
      </w:r>
    </w:p>
    <w:p>
      <w:pPr>
        <w:tabs>
          <w:tab w:pos="8640" w:val="right" w:leader="dot"/>
          <w:tab w:pos="8640" w:val="right" w:leader="dot"/>
        </w:tabs>
        <w:spacing w:after="60" w:line="252" w:lineRule="auto"/>
        <w:ind w:left="403" w:firstLine="0"/>
      </w:pPr>
      <w:r>
        <w:rPr>
          <w:rFonts w:ascii="Times New Roman" w:hAnsi="Times New Roman"/>
          <w:b w:val="0"/>
          <w:color w:val="20242B"/>
          <w:sz w:val="21"/>
        </w:rPr>
        <w:t>1.3  Aim and Objectives</w:t>
        <w:tab/>
      </w:r>
      <w:r>
        <w:rPr>
          <w:rFonts w:ascii="Times New Roman" w:hAnsi="Times New Roman"/>
          <w:b w:val="0"/>
          <w:color w:val="20242B"/>
          <w:sz w:val="21"/>
        </w:rPr>
        <w:t>1</w:t>
      </w:r>
    </w:p>
    <w:p>
      <w:pPr>
        <w:tabs>
          <w:tab w:pos="8640" w:val="right" w:leader="dot"/>
          <w:tab w:pos="8640" w:val="right" w:leader="dot"/>
        </w:tabs>
        <w:spacing w:after="60" w:line="252" w:lineRule="auto"/>
        <w:ind w:left="403" w:firstLine="0"/>
      </w:pPr>
      <w:r>
        <w:rPr>
          <w:rFonts w:ascii="Times New Roman" w:hAnsi="Times New Roman"/>
          <w:b w:val="0"/>
          <w:color w:val="20242B"/>
          <w:sz w:val="21"/>
        </w:rPr>
        <w:t>1.4  Scope and Boundaries</w:t>
        <w:tab/>
      </w:r>
      <w:r>
        <w:rPr>
          <w:rFonts w:ascii="Times New Roman" w:hAnsi="Times New Roman"/>
          <w:b w:val="0"/>
          <w:color w:val="20242B"/>
          <w:sz w:val="21"/>
        </w:rPr>
        <w:t>2</w:t>
      </w:r>
    </w:p>
    <w:p>
      <w:pPr>
        <w:tabs>
          <w:tab w:pos="8640" w:val="right" w:leader="dot"/>
          <w:tab w:pos="8640" w:val="right" w:leader="dot"/>
        </w:tabs>
        <w:spacing w:after="60" w:line="252" w:lineRule="auto"/>
        <w:ind w:left="403" w:firstLine="0"/>
      </w:pPr>
      <w:r>
        <w:rPr>
          <w:rFonts w:ascii="Times New Roman" w:hAnsi="Times New Roman"/>
          <w:b w:val="0"/>
          <w:color w:val="20242B"/>
          <w:sz w:val="21"/>
        </w:rPr>
        <w:t>1.5  Project Contributions</w:t>
        <w:tab/>
      </w:r>
      <w:r>
        <w:rPr>
          <w:rFonts w:ascii="Times New Roman" w:hAnsi="Times New Roman"/>
          <w:b w:val="0"/>
          <w:color w:val="20242B"/>
          <w:sz w:val="21"/>
        </w:rPr>
        <w:t>2</w:t>
      </w:r>
    </w:p>
    <w:p>
      <w:pPr>
        <w:tabs>
          <w:tab w:pos="8640" w:val="right" w:leader="dot"/>
          <w:tab w:pos="8640" w:val="right" w:leader="dot"/>
        </w:tabs>
        <w:spacing w:after="100" w:line="252" w:lineRule="auto"/>
        <w:ind w:left="0" w:firstLine="0"/>
      </w:pPr>
      <w:r>
        <w:rPr>
          <w:rFonts w:ascii="Times New Roman" w:hAnsi="Times New Roman"/>
          <w:b/>
          <w:color w:val="20242B"/>
          <w:sz w:val="22"/>
        </w:rPr>
        <w:t>CHAPTER 2  TECHNICAL BACKGROUND AND RELATED WORK</w:t>
        <w:tab/>
      </w:r>
      <w:r>
        <w:rPr>
          <w:rFonts w:ascii="Times New Roman" w:hAnsi="Times New Roman"/>
          <w:b/>
          <w:color w:val="20242B"/>
          <w:sz w:val="22"/>
        </w:rPr>
        <w:t>4</w:t>
      </w:r>
    </w:p>
    <w:p>
      <w:pPr>
        <w:tabs>
          <w:tab w:pos="8640" w:val="right" w:leader="dot"/>
          <w:tab w:pos="8640" w:val="right" w:leader="dot"/>
        </w:tabs>
        <w:spacing w:after="60" w:line="252" w:lineRule="auto"/>
        <w:ind w:left="403" w:firstLine="0"/>
      </w:pPr>
      <w:r>
        <w:rPr>
          <w:rFonts w:ascii="Times New Roman" w:hAnsi="Times New Roman"/>
          <w:b w:val="0"/>
          <w:color w:val="20242B"/>
          <w:sz w:val="21"/>
        </w:rPr>
        <w:t>2.1  Cyber Threat Intelligence and Asset Context</w:t>
        <w:tab/>
      </w:r>
      <w:r>
        <w:rPr>
          <w:rFonts w:ascii="Times New Roman" w:hAnsi="Times New Roman"/>
          <w:b w:val="0"/>
          <w:color w:val="20242B"/>
          <w:sz w:val="21"/>
        </w:rPr>
        <w:t>4</w:t>
      </w:r>
    </w:p>
    <w:p>
      <w:pPr>
        <w:tabs>
          <w:tab w:pos="8640" w:val="right" w:leader="dot"/>
          <w:tab w:pos="8640" w:val="right" w:leader="dot"/>
        </w:tabs>
        <w:spacing w:after="60" w:line="252" w:lineRule="auto"/>
        <w:ind w:left="403" w:firstLine="0"/>
      </w:pPr>
      <w:r>
        <w:rPr>
          <w:rFonts w:ascii="Times New Roman" w:hAnsi="Times New Roman"/>
          <w:b w:val="0"/>
          <w:color w:val="20242B"/>
          <w:sz w:val="21"/>
        </w:rPr>
        <w:t>2.2  Vulnerability Sources and Prioritization Signals</w:t>
        <w:tab/>
      </w:r>
      <w:r>
        <w:rPr>
          <w:rFonts w:ascii="Times New Roman" w:hAnsi="Times New Roman"/>
          <w:b w:val="0"/>
          <w:color w:val="20242B"/>
          <w:sz w:val="21"/>
        </w:rPr>
        <w:t>4</w:t>
      </w:r>
    </w:p>
    <w:p>
      <w:pPr>
        <w:tabs>
          <w:tab w:pos="8640" w:val="right" w:leader="dot"/>
          <w:tab w:pos="8640" w:val="right" w:leader="dot"/>
        </w:tabs>
        <w:spacing w:after="60" w:line="252" w:lineRule="auto"/>
        <w:ind w:left="403" w:firstLine="0"/>
      </w:pPr>
      <w:r>
        <w:rPr>
          <w:rFonts w:ascii="Times New Roman" w:hAnsi="Times New Roman"/>
          <w:b w:val="0"/>
          <w:color w:val="20242B"/>
          <w:sz w:val="21"/>
        </w:rPr>
        <w:t>2.3  ATT&amp;CK and Structured Threat Knowledge</w:t>
        <w:tab/>
      </w:r>
      <w:r>
        <w:rPr>
          <w:rFonts w:ascii="Times New Roman" w:hAnsi="Times New Roman"/>
          <w:b w:val="0"/>
          <w:color w:val="20242B"/>
          <w:sz w:val="21"/>
        </w:rPr>
        <w:t>5</w:t>
      </w:r>
    </w:p>
    <w:p>
      <w:pPr>
        <w:tabs>
          <w:tab w:pos="8640" w:val="right" w:leader="dot"/>
          <w:tab w:pos="8640" w:val="right" w:leader="dot"/>
        </w:tabs>
        <w:spacing w:after="60" w:line="252" w:lineRule="auto"/>
        <w:ind w:left="403" w:firstLine="0"/>
      </w:pPr>
      <w:r>
        <w:rPr>
          <w:rFonts w:ascii="Times New Roman" w:hAnsi="Times New Roman"/>
          <w:b w:val="0"/>
          <w:color w:val="20242B"/>
          <w:sz w:val="21"/>
        </w:rPr>
        <w:t>2.4  Background Processing and Evidence</w:t>
        <w:tab/>
      </w:r>
      <w:r>
        <w:rPr>
          <w:rFonts w:ascii="Times New Roman" w:hAnsi="Times New Roman"/>
          <w:b w:val="0"/>
          <w:color w:val="20242B"/>
          <w:sz w:val="21"/>
        </w:rPr>
        <w:t>5</w:t>
      </w:r>
    </w:p>
    <w:p>
      <w:pPr>
        <w:tabs>
          <w:tab w:pos="8640" w:val="right" w:leader="dot"/>
          <w:tab w:pos="8640" w:val="right" w:leader="dot"/>
        </w:tabs>
        <w:spacing w:after="60" w:line="252" w:lineRule="auto"/>
        <w:ind w:left="403" w:firstLine="0"/>
      </w:pPr>
      <w:r>
        <w:rPr>
          <w:rFonts w:ascii="Times New Roman" w:hAnsi="Times New Roman"/>
          <w:b w:val="0"/>
          <w:color w:val="20242B"/>
          <w:sz w:val="21"/>
        </w:rPr>
        <w:t>2.5  Design Opportunity</w:t>
        <w:tab/>
      </w:r>
      <w:r>
        <w:rPr>
          <w:rFonts w:ascii="Times New Roman" w:hAnsi="Times New Roman"/>
          <w:b w:val="0"/>
          <w:color w:val="20242B"/>
          <w:sz w:val="21"/>
        </w:rPr>
        <w:t>5</w:t>
      </w:r>
    </w:p>
    <w:p>
      <w:pPr>
        <w:tabs>
          <w:tab w:pos="8640" w:val="right" w:leader="dot"/>
          <w:tab w:pos="8640" w:val="right" w:leader="dot"/>
        </w:tabs>
        <w:spacing w:after="100" w:line="252" w:lineRule="auto"/>
        <w:ind w:left="0" w:firstLine="0"/>
      </w:pPr>
      <w:r>
        <w:rPr>
          <w:rFonts w:ascii="Times New Roman" w:hAnsi="Times New Roman"/>
          <w:b/>
          <w:color w:val="20242B"/>
          <w:sz w:val="22"/>
        </w:rPr>
        <w:t>CHAPTER 3  REQUIREMENTS AND SYSTEM DESIGN</w:t>
        <w:tab/>
      </w:r>
      <w:r>
        <w:rPr>
          <w:rFonts w:ascii="Times New Roman" w:hAnsi="Times New Roman"/>
          <w:b/>
          <w:color w:val="20242B"/>
          <w:sz w:val="22"/>
        </w:rPr>
        <w:t>6</w:t>
      </w:r>
    </w:p>
    <w:p>
      <w:pPr>
        <w:tabs>
          <w:tab w:pos="8640" w:val="right" w:leader="dot"/>
          <w:tab w:pos="8640" w:val="right" w:leader="dot"/>
        </w:tabs>
        <w:spacing w:after="60" w:line="252" w:lineRule="auto"/>
        <w:ind w:left="403" w:firstLine="0"/>
      </w:pPr>
      <w:r>
        <w:rPr>
          <w:rFonts w:ascii="Times New Roman" w:hAnsi="Times New Roman"/>
          <w:b w:val="0"/>
          <w:color w:val="20242B"/>
          <w:sz w:val="21"/>
        </w:rPr>
        <w:t>3.1  Requirements</w:t>
        <w:tab/>
      </w:r>
      <w:r>
        <w:rPr>
          <w:rFonts w:ascii="Times New Roman" w:hAnsi="Times New Roman"/>
          <w:b w:val="0"/>
          <w:color w:val="20242B"/>
          <w:sz w:val="21"/>
        </w:rPr>
        <w:t>6</w:t>
      </w:r>
    </w:p>
    <w:p>
      <w:pPr>
        <w:tabs>
          <w:tab w:pos="8640" w:val="right" w:leader="dot"/>
          <w:tab w:pos="8640" w:val="right" w:leader="dot"/>
        </w:tabs>
        <w:spacing w:after="60" w:line="252" w:lineRule="auto"/>
        <w:ind w:left="403" w:firstLine="0"/>
      </w:pPr>
      <w:r>
        <w:rPr>
          <w:rFonts w:ascii="Times New Roman" w:hAnsi="Times New Roman"/>
          <w:b w:val="0"/>
          <w:color w:val="20242B"/>
          <w:sz w:val="21"/>
        </w:rPr>
        <w:t>3.2  Architecture</w:t>
        <w:tab/>
      </w:r>
      <w:r>
        <w:rPr>
          <w:rFonts w:ascii="Times New Roman" w:hAnsi="Times New Roman"/>
          <w:b w:val="0"/>
          <w:color w:val="20242B"/>
          <w:sz w:val="21"/>
        </w:rPr>
        <w:t>6</w:t>
      </w:r>
    </w:p>
    <w:p>
      <w:pPr>
        <w:tabs>
          <w:tab w:pos="8640" w:val="right" w:leader="dot"/>
          <w:tab w:pos="8640" w:val="right" w:leader="dot"/>
        </w:tabs>
        <w:spacing w:after="60" w:line="252" w:lineRule="auto"/>
        <w:ind w:left="403" w:firstLine="0"/>
      </w:pPr>
      <w:r>
        <w:rPr>
          <w:rFonts w:ascii="Times New Roman" w:hAnsi="Times New Roman"/>
          <w:b w:val="0"/>
          <w:color w:val="20242B"/>
          <w:sz w:val="21"/>
        </w:rPr>
        <w:t>3.3  Investigation Workflow</w:t>
        <w:tab/>
      </w:r>
      <w:r>
        <w:rPr>
          <w:rFonts w:ascii="Times New Roman" w:hAnsi="Times New Roman"/>
          <w:b w:val="0"/>
          <w:color w:val="20242B"/>
          <w:sz w:val="21"/>
        </w:rPr>
        <w:t>7</w:t>
      </w:r>
    </w:p>
    <w:p>
      <w:pPr>
        <w:tabs>
          <w:tab w:pos="8640" w:val="right" w:leader="dot"/>
          <w:tab w:pos="8640" w:val="right" w:leader="dot"/>
        </w:tabs>
        <w:spacing w:after="60" w:line="252" w:lineRule="auto"/>
        <w:ind w:left="403" w:firstLine="0"/>
      </w:pPr>
      <w:r>
        <w:rPr>
          <w:rFonts w:ascii="Times New Roman" w:hAnsi="Times New Roman"/>
          <w:b w:val="0"/>
          <w:color w:val="20242B"/>
          <w:sz w:val="21"/>
        </w:rPr>
        <w:t>3.4  Data Model</w:t>
        <w:tab/>
      </w:r>
      <w:r>
        <w:rPr>
          <w:rFonts w:ascii="Times New Roman" w:hAnsi="Times New Roman"/>
          <w:b w:val="0"/>
          <w:color w:val="20242B"/>
          <w:sz w:val="21"/>
        </w:rPr>
        <w:t>9</w:t>
      </w:r>
    </w:p>
    <w:p>
      <w:pPr>
        <w:tabs>
          <w:tab w:pos="8640" w:val="right" w:leader="dot"/>
          <w:tab w:pos="8640" w:val="right" w:leader="dot"/>
        </w:tabs>
        <w:spacing w:after="60" w:line="252" w:lineRule="auto"/>
        <w:ind w:left="403" w:firstLine="0"/>
      </w:pPr>
      <w:r>
        <w:rPr>
          <w:rFonts w:ascii="Times New Roman" w:hAnsi="Times New Roman"/>
          <w:b w:val="0"/>
          <w:color w:val="20242B"/>
          <w:sz w:val="21"/>
        </w:rPr>
        <w:t>3.5  Risk Assessment Method</w:t>
        <w:tab/>
      </w:r>
      <w:r>
        <w:rPr>
          <w:rFonts w:ascii="Times New Roman" w:hAnsi="Times New Roman"/>
          <w:b w:val="0"/>
          <w:color w:val="20242B"/>
          <w:sz w:val="21"/>
        </w:rPr>
        <w:t>10</w:t>
      </w:r>
    </w:p>
    <w:p>
      <w:pPr>
        <w:tabs>
          <w:tab w:pos="8640" w:val="right" w:leader="dot"/>
          <w:tab w:pos="8640" w:val="right" w:leader="dot"/>
        </w:tabs>
        <w:spacing w:after="60" w:line="252" w:lineRule="auto"/>
        <w:ind w:left="403" w:firstLine="0"/>
      </w:pPr>
      <w:r>
        <w:rPr>
          <w:rFonts w:ascii="Times New Roman" w:hAnsi="Times New Roman"/>
          <w:b w:val="0"/>
          <w:color w:val="20242B"/>
          <w:sz w:val="21"/>
        </w:rPr>
        <w:t>3.6  Security and Privacy Design</w:t>
        <w:tab/>
      </w:r>
      <w:r>
        <w:rPr>
          <w:rFonts w:ascii="Times New Roman" w:hAnsi="Times New Roman"/>
          <w:b w:val="0"/>
          <w:color w:val="20242B"/>
          <w:sz w:val="21"/>
        </w:rPr>
        <w:t>11</w:t>
      </w:r>
    </w:p>
    <w:p>
      <w:pPr>
        <w:tabs>
          <w:tab w:pos="8640" w:val="right" w:leader="dot"/>
          <w:tab w:pos="8640" w:val="right" w:leader="dot"/>
        </w:tabs>
        <w:spacing w:after="60" w:line="252" w:lineRule="auto"/>
        <w:ind w:left="403" w:firstLine="0"/>
      </w:pPr>
      <w:r>
        <w:rPr>
          <w:rFonts w:ascii="Times New Roman" w:hAnsi="Times New Roman"/>
          <w:b w:val="0"/>
          <w:color w:val="20242B"/>
          <w:sz w:val="21"/>
        </w:rPr>
        <w:t>3.7  Operating Modes</w:t>
        <w:tab/>
      </w:r>
      <w:r>
        <w:rPr>
          <w:rFonts w:ascii="Times New Roman" w:hAnsi="Times New Roman"/>
          <w:b w:val="0"/>
          <w:color w:val="20242B"/>
          <w:sz w:val="21"/>
        </w:rPr>
        <w:t>11</w:t>
      </w:r>
    </w:p>
    <w:p>
      <w:pPr>
        <w:tabs>
          <w:tab w:pos="8640" w:val="right" w:leader="dot"/>
          <w:tab w:pos="8640" w:val="right" w:leader="dot"/>
        </w:tabs>
        <w:spacing w:after="100" w:line="252" w:lineRule="auto"/>
        <w:ind w:left="0" w:firstLine="0"/>
      </w:pPr>
      <w:r>
        <w:rPr>
          <w:rFonts w:ascii="Times New Roman" w:hAnsi="Times New Roman"/>
          <w:b/>
          <w:color w:val="20242B"/>
          <w:sz w:val="22"/>
        </w:rPr>
        <w:t>CHAPTER 4  IMPLEMENTATION AND EVALUATION</w:t>
        <w:tab/>
      </w:r>
      <w:r>
        <w:rPr>
          <w:rFonts w:ascii="Times New Roman" w:hAnsi="Times New Roman"/>
          <w:b/>
          <w:color w:val="20242B"/>
          <w:sz w:val="22"/>
        </w:rPr>
        <w:t>11</w:t>
      </w:r>
    </w:p>
    <w:p>
      <w:pPr>
        <w:tabs>
          <w:tab w:pos="8640" w:val="right" w:leader="dot"/>
          <w:tab w:pos="8640" w:val="right" w:leader="dot"/>
        </w:tabs>
        <w:spacing w:after="60" w:line="252" w:lineRule="auto"/>
        <w:ind w:left="403" w:firstLine="0"/>
      </w:pPr>
      <w:r>
        <w:rPr>
          <w:rFonts w:ascii="Times New Roman" w:hAnsi="Times New Roman"/>
          <w:b w:val="0"/>
          <w:color w:val="20242B"/>
          <w:sz w:val="21"/>
        </w:rPr>
        <w:t>4.1  Technology Stack</w:t>
        <w:tab/>
      </w:r>
      <w:r>
        <w:rPr>
          <w:rFonts w:ascii="Times New Roman" w:hAnsi="Times New Roman"/>
          <w:b w:val="0"/>
          <w:color w:val="20242B"/>
          <w:sz w:val="21"/>
        </w:rPr>
        <w:t>11</w:t>
      </w:r>
    </w:p>
    <w:p>
      <w:pPr>
        <w:tabs>
          <w:tab w:pos="8640" w:val="right" w:leader="dot"/>
          <w:tab w:pos="8640" w:val="right" w:leader="dot"/>
        </w:tabs>
        <w:spacing w:after="60" w:line="252" w:lineRule="auto"/>
        <w:ind w:left="403" w:firstLine="0"/>
      </w:pPr>
      <w:r>
        <w:rPr>
          <w:rFonts w:ascii="Times New Roman" w:hAnsi="Times New Roman"/>
          <w:b w:val="0"/>
          <w:color w:val="20242B"/>
          <w:sz w:val="21"/>
        </w:rPr>
        <w:t>4.2  Core Modules</w:t>
        <w:tab/>
      </w:r>
      <w:r>
        <w:rPr>
          <w:rFonts w:ascii="Times New Roman" w:hAnsi="Times New Roman"/>
          <w:b w:val="0"/>
          <w:color w:val="20242B"/>
          <w:sz w:val="21"/>
        </w:rPr>
        <w:t>11</w:t>
      </w:r>
    </w:p>
    <w:p>
      <w:pPr>
        <w:tabs>
          <w:tab w:pos="8640" w:val="right" w:leader="dot"/>
          <w:tab w:pos="8640" w:val="right" w:leader="dot"/>
        </w:tabs>
        <w:spacing w:after="60" w:line="252" w:lineRule="auto"/>
        <w:ind w:left="403" w:firstLine="0"/>
      </w:pPr>
      <w:r>
        <w:rPr>
          <w:rFonts w:ascii="Times New Roman" w:hAnsi="Times New Roman"/>
          <w:b w:val="0"/>
          <w:color w:val="20242B"/>
          <w:sz w:val="21"/>
        </w:rPr>
        <w:t>4.3  Durable Investigation Orchestration</w:t>
        <w:tab/>
      </w:r>
      <w:r>
        <w:rPr>
          <w:rFonts w:ascii="Times New Roman" w:hAnsi="Times New Roman"/>
          <w:b w:val="0"/>
          <w:color w:val="20242B"/>
          <w:sz w:val="21"/>
        </w:rPr>
        <w:t>12</w:t>
      </w:r>
    </w:p>
    <w:p>
      <w:pPr>
        <w:tabs>
          <w:tab w:pos="8640" w:val="right" w:leader="dot"/>
          <w:tab w:pos="8640" w:val="right" w:leader="dot"/>
        </w:tabs>
        <w:spacing w:after="60" w:line="252" w:lineRule="auto"/>
        <w:ind w:left="403" w:firstLine="0"/>
      </w:pPr>
      <w:r>
        <w:rPr>
          <w:rFonts w:ascii="Times New Roman" w:hAnsi="Times New Roman"/>
          <w:b w:val="0"/>
          <w:color w:val="20242B"/>
          <w:sz w:val="21"/>
        </w:rPr>
        <w:t>4.4  Evidence, Findings and Change Radar</w:t>
        <w:tab/>
      </w:r>
      <w:r>
        <w:rPr>
          <w:rFonts w:ascii="Times New Roman" w:hAnsi="Times New Roman"/>
          <w:b w:val="0"/>
          <w:color w:val="20242B"/>
          <w:sz w:val="21"/>
        </w:rPr>
        <w:t>12</w:t>
      </w:r>
    </w:p>
    <w:p>
      <w:pPr>
        <w:tabs>
          <w:tab w:pos="8640" w:val="right" w:leader="dot"/>
          <w:tab w:pos="8640" w:val="right" w:leader="dot"/>
        </w:tabs>
        <w:spacing w:after="60" w:line="252" w:lineRule="auto"/>
        <w:ind w:left="403" w:firstLine="0"/>
      </w:pPr>
      <w:r>
        <w:rPr>
          <w:rFonts w:ascii="Times New Roman" w:hAnsi="Times New Roman"/>
          <w:b w:val="0"/>
          <w:color w:val="20242B"/>
          <w:sz w:val="21"/>
        </w:rPr>
        <w:t>4.5  Case Management and Reports</w:t>
        <w:tab/>
      </w:r>
      <w:r>
        <w:rPr>
          <w:rFonts w:ascii="Times New Roman" w:hAnsi="Times New Roman"/>
          <w:b w:val="0"/>
          <w:color w:val="20242B"/>
          <w:sz w:val="21"/>
        </w:rPr>
        <w:t>13</w:t>
      </w:r>
    </w:p>
    <w:p>
      <w:pPr>
        <w:tabs>
          <w:tab w:pos="8640" w:val="right" w:leader="dot"/>
          <w:tab w:pos="8640" w:val="right" w:leader="dot"/>
        </w:tabs>
        <w:spacing w:after="60" w:line="252" w:lineRule="auto"/>
        <w:ind w:left="403" w:firstLine="0"/>
      </w:pPr>
      <w:r>
        <w:rPr>
          <w:rFonts w:ascii="Times New Roman" w:hAnsi="Times New Roman"/>
          <w:b w:val="0"/>
          <w:color w:val="20242B"/>
          <w:sz w:val="21"/>
        </w:rPr>
        <w:t>4.6  Verification and Observed Results</w:t>
        <w:tab/>
      </w:r>
      <w:r>
        <w:rPr>
          <w:rFonts w:ascii="Times New Roman" w:hAnsi="Times New Roman"/>
          <w:b w:val="0"/>
          <w:color w:val="20242B"/>
          <w:sz w:val="21"/>
        </w:rPr>
        <w:t>13</w:t>
      </w:r>
    </w:p>
    <w:p>
      <w:pPr>
        <w:tabs>
          <w:tab w:pos="8640" w:val="right" w:leader="dot"/>
          <w:tab w:pos="8640" w:val="right" w:leader="dot"/>
        </w:tabs>
        <w:spacing w:after="60" w:line="252" w:lineRule="auto"/>
        <w:ind w:left="403" w:firstLine="0"/>
      </w:pPr>
      <w:r>
        <w:rPr>
          <w:rFonts w:ascii="Times New Roman" w:hAnsi="Times New Roman"/>
          <w:b w:val="0"/>
          <w:color w:val="20242B"/>
          <w:sz w:val="21"/>
        </w:rPr>
        <w:t>4.7  Limitations</w:t>
        <w:tab/>
      </w:r>
      <w:r>
        <w:rPr>
          <w:rFonts w:ascii="Times New Roman" w:hAnsi="Times New Roman"/>
          <w:b w:val="0"/>
          <w:color w:val="20242B"/>
          <w:sz w:val="21"/>
        </w:rPr>
        <w:t>14</w:t>
      </w:r>
    </w:p>
    <w:p>
      <w:pPr>
        <w:tabs>
          <w:tab w:pos="8640" w:val="right" w:leader="dot"/>
          <w:tab w:pos="8640" w:val="right" w:leader="dot"/>
        </w:tabs>
        <w:spacing w:after="100" w:line="252" w:lineRule="auto"/>
        <w:ind w:left="0" w:firstLine="0"/>
      </w:pPr>
      <w:r>
        <w:rPr>
          <w:rFonts w:ascii="Times New Roman" w:hAnsi="Times New Roman"/>
          <w:b/>
          <w:color w:val="20242B"/>
          <w:sz w:val="22"/>
        </w:rPr>
        <w:t>CHAPTER 5  CONCLUSION AND FUTURE WORK</w:t>
        <w:tab/>
      </w:r>
      <w:r>
        <w:rPr>
          <w:rFonts w:ascii="Times New Roman" w:hAnsi="Times New Roman"/>
          <w:b/>
          <w:color w:val="20242B"/>
          <w:sz w:val="22"/>
        </w:rPr>
        <w:t>15</w:t>
      </w:r>
    </w:p>
    <w:p>
      <w:pPr>
        <w:tabs>
          <w:tab w:pos="8640" w:val="right" w:leader="dot"/>
          <w:tab w:pos="8640" w:val="right" w:leader="dot"/>
        </w:tabs>
        <w:spacing w:after="60" w:line="252" w:lineRule="auto"/>
        <w:ind w:left="403" w:firstLine="0"/>
      </w:pPr>
      <w:r>
        <w:rPr>
          <w:rFonts w:ascii="Times New Roman" w:hAnsi="Times New Roman"/>
          <w:b w:val="0"/>
          <w:color w:val="20242B"/>
          <w:sz w:val="21"/>
        </w:rPr>
        <w:t>5.1  Conclusion</w:t>
        <w:tab/>
      </w:r>
      <w:r>
        <w:rPr>
          <w:rFonts w:ascii="Times New Roman" w:hAnsi="Times New Roman"/>
          <w:b w:val="0"/>
          <w:color w:val="20242B"/>
          <w:sz w:val="21"/>
        </w:rPr>
        <w:t>15</w:t>
      </w:r>
    </w:p>
    <w:p>
      <w:pPr>
        <w:tabs>
          <w:tab w:pos="8640" w:val="right" w:leader="dot"/>
          <w:tab w:pos="8640" w:val="right" w:leader="dot"/>
        </w:tabs>
        <w:spacing w:after="60" w:line="252" w:lineRule="auto"/>
        <w:ind w:left="403" w:firstLine="0"/>
      </w:pPr>
      <w:r>
        <w:rPr>
          <w:rFonts w:ascii="Times New Roman" w:hAnsi="Times New Roman"/>
          <w:b w:val="0"/>
          <w:color w:val="20242B"/>
          <w:sz w:val="21"/>
        </w:rPr>
        <w:t>5.2  Future Work</w:t>
        <w:tab/>
      </w:r>
      <w:r>
        <w:rPr>
          <w:rFonts w:ascii="Times New Roman" w:hAnsi="Times New Roman"/>
          <w:b w:val="0"/>
          <w:color w:val="20242B"/>
          <w:sz w:val="21"/>
        </w:rPr>
        <w:t>16</w:t>
      </w:r>
    </w:p>
    <w:p>
      <w:pPr>
        <w:tabs>
          <w:tab w:pos="8640" w:val="right" w:leader="dot"/>
          <w:tab w:pos="8640" w:val="right" w:leader="dot"/>
        </w:tabs>
        <w:spacing w:after="100" w:line="252" w:lineRule="auto"/>
        <w:ind w:left="0" w:firstLine="0"/>
      </w:pPr>
      <w:r>
        <w:rPr>
          <w:rFonts w:ascii="Times New Roman" w:hAnsi="Times New Roman"/>
          <w:b/>
          <w:color w:val="20242B"/>
          <w:sz w:val="22"/>
        </w:rPr>
        <w:t>REFERENCES</w:t>
        <w:tab/>
      </w:r>
      <w:r>
        <w:rPr>
          <w:rFonts w:ascii="Times New Roman" w:hAnsi="Times New Roman"/>
          <w:b/>
          <w:color w:val="20242B"/>
          <w:sz w:val="22"/>
        </w:rPr>
        <w:t>17</w:t>
      </w:r>
    </w:p>
    <w:p>
      <w:pPr>
        <w:tabs>
          <w:tab w:pos="8640" w:val="right" w:leader="dot"/>
          <w:tab w:pos="8640" w:val="right" w:leader="dot"/>
        </w:tabs>
        <w:spacing w:after="100" w:line="252" w:lineRule="auto"/>
        <w:ind w:left="0" w:firstLine="0"/>
      </w:pPr>
      <w:r>
        <w:rPr>
          <w:rFonts w:ascii="Times New Roman" w:hAnsi="Times New Roman"/>
          <w:b/>
          <w:color w:val="20242B"/>
          <w:sz w:val="22"/>
        </w:rPr>
        <w:t>APPENDIX A  API RESOURCE SUMMARY</w:t>
        <w:tab/>
      </w:r>
      <w:r>
        <w:rPr>
          <w:rFonts w:ascii="Times New Roman" w:hAnsi="Times New Roman"/>
          <w:b/>
          <w:color w:val="20242B"/>
          <w:sz w:val="22"/>
        </w:rPr>
        <w:t>18</w:t>
      </w:r>
    </w:p>
    <w:p>
      <w:pPr>
        <w:tabs>
          <w:tab w:pos="8640" w:val="right" w:leader="dot"/>
          <w:tab w:pos="8640" w:val="right" w:leader="dot"/>
        </w:tabs>
        <w:spacing w:after="100" w:line="252" w:lineRule="auto"/>
        <w:ind w:left="0" w:firstLine="0"/>
      </w:pPr>
      <w:r>
        <w:rPr>
          <w:rFonts w:ascii="Times New Roman" w:hAnsi="Times New Roman"/>
          <w:b/>
          <w:color w:val="20242B"/>
          <w:sz w:val="22"/>
        </w:rPr>
        <w:t>APPENDIX B  LOCAL RUN AND SHOWCASE NOTES</w:t>
        <w:tab/>
      </w:r>
      <w:r>
        <w:rPr>
          <w:rFonts w:ascii="Times New Roman" w:hAnsi="Times New Roman"/>
          <w:b/>
          <w:color w:val="20242B"/>
          <w:sz w:val="22"/>
        </w:rPr>
        <w:t>19</w:t>
      </w:r>
    </w:p>
    <w:p>
      <w:r>
        <w:br w:type="page"/>
      </w:r>
    </w:p>
    <w:p>
      <w:pPr>
        <w:keepNext/>
        <w:spacing w:after="400"/>
        <w:jc w:val="center"/>
      </w:pPr>
      <w:r>
        <w:rPr>
          <w:rFonts w:ascii="Times New Roman" w:hAnsi="Times New Roman"/>
          <w:b/>
          <w:color w:val="13284B"/>
          <w:sz w:val="30"/>
        </w:rPr>
        <w:t>LIST OF FIGURES</w:t>
      </w:r>
    </w:p>
    <w:p>
      <w:pPr>
        <w:tabs>
          <w:tab w:pos="8640" w:val="right" w:leader="dot"/>
          <w:tab w:pos="8640" w:val="right" w:leader="dot"/>
        </w:tabs>
        <w:spacing w:after="100" w:line="252" w:lineRule="auto"/>
        <w:ind w:left="0" w:firstLine="0"/>
      </w:pPr>
      <w:r>
        <w:rPr>
          <w:rFonts w:ascii="Times New Roman" w:hAnsi="Times New Roman"/>
          <w:b w:val="0"/>
          <w:color w:val="20242B"/>
          <w:sz w:val="21"/>
        </w:rPr>
        <w:t>Fig. 3.1  CyberLens service architecture</w:t>
        <w:tab/>
      </w:r>
      <w:r>
        <w:rPr>
          <w:rFonts w:ascii="Times New Roman" w:hAnsi="Times New Roman"/>
          <w:b w:val="0"/>
          <w:color w:val="20242B"/>
          <w:sz w:val="21"/>
        </w:rPr>
        <w:t>7</w:t>
      </w:r>
    </w:p>
    <w:p>
      <w:pPr>
        <w:tabs>
          <w:tab w:pos="8640" w:val="right" w:leader="dot"/>
          <w:tab w:pos="8640" w:val="right" w:leader="dot"/>
        </w:tabs>
        <w:spacing w:after="100" w:line="252" w:lineRule="auto"/>
        <w:ind w:left="0" w:firstLine="0"/>
      </w:pPr>
      <w:r>
        <w:rPr>
          <w:rFonts w:ascii="Times New Roman" w:hAnsi="Times New Roman"/>
          <w:b w:val="0"/>
          <w:color w:val="20242B"/>
          <w:sz w:val="21"/>
        </w:rPr>
        <w:t>Fig. 3.2  Investigation processing and analyst review workflow</w:t>
        <w:tab/>
      </w:r>
      <w:r>
        <w:rPr>
          <w:rFonts w:ascii="Times New Roman" w:hAnsi="Times New Roman"/>
          <w:b w:val="0"/>
          <w:color w:val="20242B"/>
          <w:sz w:val="21"/>
        </w:rPr>
        <w:t>8</w:t>
      </w:r>
    </w:p>
    <w:p>
      <w:pPr>
        <w:tabs>
          <w:tab w:pos="8640" w:val="right" w:leader="dot"/>
          <w:tab w:pos="8640" w:val="right" w:leader="dot"/>
        </w:tabs>
        <w:spacing w:after="100" w:line="252" w:lineRule="auto"/>
        <w:ind w:left="0" w:firstLine="0"/>
      </w:pPr>
      <w:r>
        <w:rPr>
          <w:rFonts w:ascii="Times New Roman" w:hAnsi="Times New Roman"/>
          <w:b w:val="0"/>
          <w:color w:val="20242B"/>
          <w:sz w:val="21"/>
        </w:rPr>
        <w:t>Fig. 3.3  Core data relationships</w:t>
        <w:tab/>
      </w:r>
      <w:r>
        <w:rPr>
          <w:rFonts w:ascii="Times New Roman" w:hAnsi="Times New Roman"/>
          <w:b w:val="0"/>
          <w:color w:val="20242B"/>
          <w:sz w:val="21"/>
        </w:rPr>
        <w:t>9</w:t>
      </w:r>
    </w:p>
    <w:p>
      <w:r>
        <w:br w:type="page"/>
      </w:r>
    </w:p>
    <w:p>
      <w:pPr>
        <w:keepNext/>
        <w:spacing w:after="400"/>
        <w:jc w:val="center"/>
      </w:pPr>
      <w:r>
        <w:rPr>
          <w:rFonts w:ascii="Times New Roman" w:hAnsi="Times New Roman"/>
          <w:b/>
          <w:color w:val="13284B"/>
          <w:sz w:val="30"/>
        </w:rPr>
        <w:t>LIST OF TABLES</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3.1  Functional requirements</w:t>
        <w:tab/>
      </w:r>
      <w:r>
        <w:rPr>
          <w:rFonts w:ascii="Times New Roman" w:hAnsi="Times New Roman"/>
          <w:b w:val="0"/>
          <w:color w:val="20242B"/>
          <w:sz w:val="21"/>
        </w:rPr>
        <w:t>6</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3.2  Non-functional requirements</w:t>
        <w:tab/>
      </w:r>
      <w:r>
        <w:rPr>
          <w:rFonts w:ascii="Times New Roman" w:hAnsi="Times New Roman"/>
          <w:b w:val="0"/>
          <w:color w:val="20242B"/>
          <w:sz w:val="21"/>
        </w:rPr>
        <w:t>6</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3.3  Core data entities</w:t>
        <w:tab/>
      </w:r>
      <w:r>
        <w:rPr>
          <w:rFonts w:ascii="Times New Roman" w:hAnsi="Times New Roman"/>
          <w:b w:val="0"/>
          <w:color w:val="20242B"/>
          <w:sz w:val="21"/>
        </w:rPr>
        <w:t>9</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4.1  Technology stack</w:t>
        <w:tab/>
      </w:r>
      <w:r>
        <w:rPr>
          <w:rFonts w:ascii="Times New Roman" w:hAnsi="Times New Roman"/>
          <w:b w:val="0"/>
          <w:color w:val="20242B"/>
          <w:sz w:val="21"/>
        </w:rPr>
        <w:t>11</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4.2  Selected evidence sources and interpretation</w:t>
        <w:tab/>
      </w:r>
      <w:r>
        <w:rPr>
          <w:rFonts w:ascii="Times New Roman" w:hAnsi="Times New Roman"/>
          <w:b w:val="0"/>
          <w:color w:val="20242B"/>
          <w:sz w:val="21"/>
        </w:rPr>
        <w:t>12</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4.3  Documented verification evidence</w:t>
        <w:tab/>
      </w:r>
      <w:r>
        <w:rPr>
          <w:rFonts w:ascii="Times New Roman" w:hAnsi="Times New Roman"/>
          <w:b w:val="0"/>
          <w:color w:val="20242B"/>
          <w:sz w:val="21"/>
        </w:rPr>
        <w:t>14</w:t>
      </w:r>
    </w:p>
    <w:p>
      <w:pPr>
        <w:tabs>
          <w:tab w:pos="8640" w:val="right" w:leader="dot"/>
          <w:tab w:pos="8640" w:val="right" w:leader="dot"/>
        </w:tabs>
        <w:spacing w:after="100" w:line="252" w:lineRule="auto"/>
        <w:ind w:left="0" w:firstLine="0"/>
      </w:pPr>
      <w:r>
        <w:rPr>
          <w:rFonts w:ascii="Times New Roman" w:hAnsi="Times New Roman"/>
          <w:b w:val="0"/>
          <w:color w:val="20242B"/>
          <w:sz w:val="21"/>
        </w:rPr>
        <w:t>Table 4.4  Limitations and proposed extensions</w:t>
        <w:tab/>
      </w:r>
      <w:r>
        <w:rPr>
          <w:rFonts w:ascii="Times New Roman" w:hAnsi="Times New Roman"/>
          <w:b w:val="0"/>
          <w:color w:val="20242B"/>
          <w:sz w:val="21"/>
        </w:rPr>
        <w:t>16</w:t>
      </w:r>
    </w:p>
    <w:p>
      <w:r>
        <w:br w:type="page"/>
      </w:r>
    </w:p>
    <w:p>
      <w:pPr>
        <w:keepNext/>
        <w:spacing w:after="400"/>
        <w:jc w:val="center"/>
      </w:pPr>
      <w:r>
        <w:rPr>
          <w:rFonts w:ascii="Times New Roman" w:hAnsi="Times New Roman"/>
          <w:b/>
          <w:color w:val="13284B"/>
          <w:sz w:val="30"/>
        </w:rPr>
        <w:t>ABBREVIATIONS</w:t>
      </w:r>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2088"/>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20"/>
              </w:rPr>
              <w:t>Abbreviation</w:t>
            </w:r>
          </w:p>
        </w:tc>
        <w:tc>
          <w:tcPr>
            <w:tcW w:type="dxa" w:w="727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20"/>
              </w:rPr>
              <w:t>Meaning</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API</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Application Programming Interface</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ATT&amp;CK</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Adversarial Tactics, Techniques, and Common Knowledge</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CISA</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Cybersecurity and Infrastructure Security Agency</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CPE</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Common Platform Enumeration</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CVE</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Common Vulnerabilities and Exposures</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CVSS</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Common Vulnerability Scoring System</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CSRF</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Cross-Site Request Forgery</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CTI</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Cyber Threat Intelligence</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DNS</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Domain Name System</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EPSS</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Exploit Prediction Scoring System</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HIBP</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Have I Been Pwned</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HTTP(S)</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Hypertext Transfer Protocol (Secure)</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JSON</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JavaScript Object Notation</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KEV</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Known Exploited Vulnerabilities</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NVD</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National Vulnerability Database</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OSV</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Open Source Vulnerabilities</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RQ</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Redis Queue</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SSRF</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Server-Side Request Forgery</w:t>
            </w:r>
          </w:p>
        </w:tc>
      </w:tr>
      <w:tr>
        <w:trPr>
          <w:cantSplit/>
        </w:trPr>
        <w:tc>
          <w:tcPr>
            <w:tcW w:type="dxa" w:w="208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STIX</w:t>
            </w:r>
          </w:p>
        </w:tc>
        <w:tc>
          <w:tcPr>
            <w:tcW w:type="dxa" w:w="72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Structured Threat Information Expression</w:t>
            </w:r>
          </w:p>
        </w:tc>
      </w:tr>
      <w:tr>
        <w:trPr>
          <w:cantSplit/>
        </w:trPr>
        <w:tc>
          <w:tcPr>
            <w:tcW w:type="dxa" w:w="208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TLS</w:t>
            </w:r>
          </w:p>
        </w:tc>
        <w:tc>
          <w:tcPr>
            <w:tcW w:type="dxa" w:w="72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20"/>
              </w:rPr>
              <w:t>Transport Layer Security</w:t>
            </w:r>
          </w:p>
        </w:tc>
      </w:tr>
    </w:tbl>
    <w:p>
      <w:pPr>
        <w:spacing w:after="40"/>
      </w:pPr>
    </w:p>
    <w:p>
      <w:pPr>
        <w:sectPr>
          <w:footerReference w:type="default" r:id="rId9"/>
          <w:pgSz w:w="11909" w:h="16834"/>
          <w:pgMar w:top="1296" w:right="1440" w:bottom="1224" w:left="1656" w:header="720" w:footer="576" w:gutter="0"/>
          <w:cols w:space="720"/>
          <w:docGrid w:linePitch="360"/>
          <w:pgNumType w:fmt="lowerRoman" w:start="1"/>
        </w:sectPr>
      </w:pPr>
    </w:p>
    <w:p>
      <w:pPr>
        <w:keepNext/>
        <w:spacing w:before="0" w:after="60"/>
        <w:jc w:val="center"/>
      </w:pPr>
      <w:r>
        <w:rPr>
          <w:rFonts w:ascii="Times New Roman" w:hAnsi="Times New Roman"/>
          <w:b/>
          <w:color w:val="13284B"/>
          <w:sz w:val="30"/>
        </w:rPr>
        <w:t>CHAPTER 1</w:t>
      </w:r>
    </w:p>
    <w:p>
      <w:pPr>
        <w:keepNext/>
        <w:spacing w:after="440"/>
        <w:jc w:val="center"/>
      </w:pPr>
      <w:r>
        <w:rPr>
          <w:rFonts w:ascii="Times New Roman" w:hAnsi="Times New Roman"/>
          <w:b/>
          <w:color w:val="20242B"/>
          <w:sz w:val="30"/>
        </w:rPr>
        <w:t>INTRODUCTION</w:t>
      </w:r>
    </w:p>
    <w:p>
      <w:pPr>
        <w:pStyle w:val="Heading2"/>
        <w:keepNext/>
      </w:pPr>
      <w:r>
        <w:rPr>
          <w:rFonts w:ascii="Times New Roman" w:hAnsi="Times New Roman"/>
          <w:b/>
          <w:color w:val="20242B"/>
          <w:sz w:val="26"/>
        </w:rPr>
        <w:t>1.1 Background</w:t>
      </w:r>
    </w:p>
    <w:p>
      <w:pPr>
        <w:keepLines w:val="0"/>
        <w:spacing w:before="0" w:after="140" w:line="360" w:lineRule="auto"/>
        <w:ind w:firstLine="403"/>
        <w:jc w:val="both"/>
      </w:pPr>
      <w:r>
        <w:rPr>
          <w:rFonts w:ascii="Times New Roman" w:hAnsi="Times New Roman"/>
          <w:color w:val="20242B"/>
          <w:sz w:val="24"/>
        </w:rPr>
        <w:t>Organizations use public vulnerability databases, threat feeds, asset inventories, and incident records to understand security exposure. The information is distributed across providers and differs in scope, freshness, and confidence. A CVE record can describe a product weakness without proving that the affected version is installed. A threat-feed match can be stale or incomplete. A historical email-breach record does not establish current account compromise. Analysts therefore need a workspace that preserves what each source observed and makes uncertainty visible.</w:t>
      </w:r>
    </w:p>
    <w:p>
      <w:pPr>
        <w:keepLines w:val="0"/>
        <w:spacing w:before="0" w:after="140" w:line="360" w:lineRule="auto"/>
        <w:ind w:firstLine="403"/>
        <w:jc w:val="both"/>
      </w:pPr>
      <w:r>
        <w:rPr>
          <w:rFonts w:ascii="Times New Roman" w:hAnsi="Times New Roman"/>
          <w:color w:val="20242B"/>
          <w:sz w:val="24"/>
        </w:rPr>
        <w:t>CyberLens brings asset context, selected source observations, evidence, findings, and response records into one local browser application. The system uses asynchronous investigations so the web request can return while the worker performs provider checks. The analyst reviews the stored results and determines how they apply to the organization.</w:t>
      </w:r>
    </w:p>
    <w:p>
      <w:pPr>
        <w:pStyle w:val="Heading2"/>
        <w:keepNext/>
      </w:pPr>
      <w:r>
        <w:rPr>
          <w:rFonts w:ascii="Times New Roman" w:hAnsi="Times New Roman"/>
          <w:b/>
          <w:color w:val="20242B"/>
          <w:sz w:val="26"/>
        </w:rPr>
        <w:t>1.2 Problem Statement</w:t>
      </w:r>
    </w:p>
    <w:p>
      <w:pPr>
        <w:keepLines w:val="0"/>
        <w:spacing w:before="0" w:after="140" w:line="360" w:lineRule="auto"/>
        <w:ind w:firstLine="403"/>
        <w:jc w:val="both"/>
      </w:pPr>
      <w:r>
        <w:rPr>
          <w:rFonts w:ascii="Times New Roman" w:hAnsi="Times New Roman"/>
          <w:color w:val="20242B"/>
          <w:sz w:val="24"/>
        </w:rPr>
        <w:t>Security information often arrives as separate API responses, spreadsheets, and incident notes. When these records are not connected to the asset and the observation that produced them, analysts can lose source provenance, repeat work, or overstate what a result means. A vulnerability candidate may be treated as present without checking the installed version. A provider outage may be mistaken for an absence of risk. Risk scores can also appear authoritative even when the scoring method is not calibrated against real incident outcomes.</w:t>
      </w:r>
    </w:p>
    <w:p>
      <w:pPr>
        <w:keepLines w:val="0"/>
        <w:spacing w:before="0" w:after="140" w:line="360" w:lineRule="auto"/>
        <w:ind w:firstLine="403"/>
        <w:jc w:val="both"/>
      </w:pPr>
      <w:r>
        <w:rPr>
          <w:rFonts w:ascii="Times New Roman" w:hAnsi="Times New Roman"/>
          <w:color w:val="20242B"/>
          <w:sz w:val="24"/>
        </w:rPr>
        <w:t>The project addresses the need for a single analyst workflow that records authorized assets, runs bounded investigations, preserves source status and evidence, separates candidate detection from applicability decisions, and supports case tracking and report generation without automating disruptive response actions.</w:t>
      </w:r>
    </w:p>
    <w:p>
      <w:pPr>
        <w:pStyle w:val="Heading2"/>
        <w:keepNext/>
      </w:pPr>
      <w:r>
        <w:rPr>
          <w:rFonts w:ascii="Times New Roman" w:hAnsi="Times New Roman"/>
          <w:b/>
          <w:color w:val="20242B"/>
          <w:sz w:val="26"/>
        </w:rPr>
        <w:t>1.3 Aim and Objectives</w:t>
      </w:r>
    </w:p>
    <w:p>
      <w:pPr>
        <w:keepLines w:val="0"/>
        <w:spacing w:before="0" w:after="140" w:line="360" w:lineRule="auto"/>
        <w:ind w:firstLine="403"/>
        <w:jc w:val="both"/>
      </w:pPr>
      <w:r>
        <w:rPr>
          <w:rFonts w:ascii="Times New Roman" w:hAnsi="Times New Roman"/>
          <w:color w:val="20242B"/>
          <w:sz w:val="24"/>
        </w:rPr>
        <w:t>The aim of CyberLens is to provide a local workspace that helps analysts collect, review, and document security evidence for authorized assets.</w:t>
      </w:r>
    </w:p>
    <w:p>
      <w:pPr>
        <w:pStyle w:val="ListBullet"/>
        <w:spacing w:after="80" w:line="300" w:lineRule="auto"/>
        <w:ind w:left="461" w:hanging="259"/>
        <w:jc w:val="left"/>
      </w:pPr>
      <w:r>
        <w:rPr>
          <w:rFonts w:ascii="Times New Roman" w:hAnsi="Times New Roman"/>
          <w:color w:val="20242B"/>
          <w:sz w:val="23"/>
        </w:rPr>
        <w:t>Provide inventory records for domains, IP addresses, URLs, email addresses, applications, and software components.</w:t>
      </w:r>
    </w:p>
    <w:p>
      <w:pPr>
        <w:pStyle w:val="ListBullet"/>
        <w:spacing w:after="80" w:line="300" w:lineRule="auto"/>
        <w:ind w:left="461" w:hanging="259"/>
        <w:jc w:val="left"/>
      </w:pPr>
      <w:r>
        <w:rPr>
          <w:rFonts w:ascii="Times New Roman" w:hAnsi="Times New Roman"/>
          <w:color w:val="20242B"/>
          <w:sz w:val="23"/>
        </w:rPr>
        <w:t>Run selected Live-mode collectors as background work and record success, partial coverage, failure, freshness, and provenance.</w:t>
      </w:r>
    </w:p>
    <w:p>
      <w:pPr>
        <w:pStyle w:val="ListBullet"/>
        <w:spacing w:after="80" w:line="300" w:lineRule="auto"/>
        <w:ind w:left="461" w:hanging="259"/>
        <w:jc w:val="left"/>
      </w:pPr>
      <w:r>
        <w:rPr>
          <w:rFonts w:ascii="Times New Roman" w:hAnsi="Times New Roman"/>
          <w:color w:val="20242B"/>
          <w:sz w:val="23"/>
        </w:rPr>
        <w:t>Preserve evidence snapshots and connect findings and relationships to their supporting evidence.</w:t>
      </w:r>
    </w:p>
    <w:p>
      <w:pPr>
        <w:pStyle w:val="ListBullet"/>
        <w:spacing w:after="80" w:line="300" w:lineRule="auto"/>
        <w:ind w:left="461" w:hanging="259"/>
        <w:jc w:val="left"/>
      </w:pPr>
      <w:r>
        <w:rPr>
          <w:rFonts w:ascii="Times New Roman" w:hAnsi="Times New Roman"/>
          <w:color w:val="20242B"/>
          <w:sz w:val="23"/>
        </w:rPr>
        <w:t>Require analyst review of vulnerability applicability before candidate findings affect vulnerability risk.</w:t>
      </w:r>
    </w:p>
    <w:p>
      <w:pPr>
        <w:pStyle w:val="ListBullet"/>
        <w:spacing w:after="80" w:line="300" w:lineRule="auto"/>
        <w:ind w:left="461" w:hanging="259"/>
        <w:jc w:val="left"/>
      </w:pPr>
      <w:r>
        <w:rPr>
          <w:rFonts w:ascii="Times New Roman" w:hAnsi="Times New Roman"/>
          <w:color w:val="20242B"/>
          <w:sz w:val="23"/>
        </w:rPr>
        <w:t>Explain the project’s academic prioritization score and preserve changes as assessment revisions.</w:t>
      </w:r>
    </w:p>
    <w:p>
      <w:pPr>
        <w:pStyle w:val="ListBullet"/>
        <w:spacing w:after="80" w:line="300" w:lineRule="auto"/>
        <w:ind w:left="461" w:hanging="259"/>
        <w:jc w:val="left"/>
      </w:pPr>
      <w:r>
        <w:rPr>
          <w:rFonts w:ascii="Times New Roman" w:hAnsi="Times New Roman"/>
          <w:color w:val="20242B"/>
          <w:sz w:val="23"/>
        </w:rPr>
        <w:t>Support incidents, response tasks, remediation plans, control mappings, monitoring history, and saved PDF or JSON reports.</w:t>
      </w:r>
    </w:p>
    <w:p>
      <w:pPr>
        <w:pStyle w:val="ListBullet"/>
        <w:spacing w:after="80" w:line="300" w:lineRule="auto"/>
        <w:ind w:left="461" w:hanging="259"/>
        <w:jc w:val="left"/>
      </w:pPr>
      <w:r>
        <w:rPr>
          <w:rFonts w:ascii="Times New Roman" w:hAnsi="Times New Roman"/>
          <w:color w:val="20242B"/>
          <w:sz w:val="23"/>
        </w:rPr>
        <w:t>Use role-based authorization, CSRF protection, session management, audit records, and bounded outbound networking.</w:t>
      </w:r>
    </w:p>
    <w:p>
      <w:pPr>
        <w:pStyle w:val="ListBullet"/>
        <w:spacing w:after="80" w:line="300" w:lineRule="auto"/>
        <w:ind w:left="461" w:hanging="259"/>
        <w:jc w:val="left"/>
      </w:pPr>
      <w:r>
        <w:rPr>
          <w:rFonts w:ascii="Times New Roman" w:hAnsi="Times New Roman"/>
          <w:color w:val="20242B"/>
          <w:sz w:val="23"/>
        </w:rPr>
        <w:t>Provide an isolated offline Demo mode for repeatable workflows without real provider requests.</w:t>
      </w:r>
    </w:p>
    <w:p>
      <w:pPr>
        <w:pStyle w:val="Heading2"/>
        <w:keepNext/>
      </w:pPr>
      <w:r>
        <w:rPr>
          <w:rFonts w:ascii="Times New Roman" w:hAnsi="Times New Roman"/>
          <w:b/>
          <w:color w:val="20242B"/>
          <w:sz w:val="26"/>
        </w:rPr>
        <w:t>1.4 Scope and Boundaries</w:t>
      </w:r>
    </w:p>
    <w:p>
      <w:pPr>
        <w:keepLines w:val="0"/>
        <w:spacing w:before="0" w:after="140" w:line="360" w:lineRule="auto"/>
        <w:ind w:firstLine="403"/>
        <w:jc w:val="both"/>
      </w:pPr>
      <w:r>
        <w:rPr>
          <w:rFonts w:ascii="Times New Roman" w:hAnsi="Times New Roman"/>
          <w:color w:val="20242B"/>
          <w:sz w:val="24"/>
        </w:rPr>
        <w:t>CyberLens supports analyst-led assessment and incident documentation. Depending on configuration and provider access, collectors can use DNS and RDAP context, bounded website and TLS observations, existing VirusTotal reports, explicit email-breach lookups, vulnerability information from NVD and OSV, CISA KEV and FIRST EPSS context, and locally matched threat-feed snapshots. Optional community sources have separate consent or permitted-use restrictions. The Integrations view reports source status; a configured API key does not guarantee quota, availability, or a useful result.</w:t>
      </w:r>
    </w:p>
    <w:p>
      <w:pPr>
        <w:keepLines w:val="0"/>
        <w:spacing w:before="0" w:after="140" w:line="360" w:lineRule="auto"/>
        <w:ind w:firstLine="403"/>
        <w:jc w:val="both"/>
      </w:pPr>
      <w:r>
        <w:rPr>
          <w:rFonts w:ascii="Times New Roman" w:hAnsi="Times New Roman"/>
          <w:color w:val="20242B"/>
          <w:sz w:val="24"/>
        </w:rPr>
        <w:t>The system does not exploit vulnerabilities, guess passwords, scan arbitrary network ranges, automatically block traffic, disable accounts, remediate software, or send external incident notifications. Website checks are bounded and require a current authorization record. Live mode is a local single-workspace operation profile, not a public internet production deployment.</w:t>
      </w:r>
    </w:p>
    <w:p>
      <w:pPr>
        <w:pStyle w:val="Heading2"/>
        <w:keepNext/>
      </w:pPr>
      <w:r>
        <w:rPr>
          <w:rFonts w:ascii="Times New Roman" w:hAnsi="Times New Roman"/>
          <w:b/>
          <w:color w:val="20242B"/>
          <w:sz w:val="26"/>
        </w:rPr>
        <w:t>1.5 Project Contributions</w:t>
      </w:r>
    </w:p>
    <w:p>
      <w:pPr>
        <w:keepLines w:val="0"/>
        <w:spacing w:before="0" w:after="140" w:line="360" w:lineRule="auto"/>
        <w:ind w:firstLine="403"/>
        <w:jc w:val="both"/>
      </w:pPr>
      <w:r>
        <w:rPr>
          <w:rFonts w:ascii="Times New Roman" w:hAnsi="Times New Roman"/>
          <w:color w:val="20242B"/>
          <w:sz w:val="24"/>
        </w:rPr>
        <w:t>The project combines provider observations with a durable evidence model and analyst workflow. Its main contribution is the connection between each finding or relationship and the saved evidence that supports it. Collector failure and missing coverage are represented explicitly so the interface can distinguish unknown from no match.</w:t>
      </w:r>
    </w:p>
    <w:p>
      <w:pPr>
        <w:keepLines w:val="0"/>
        <w:spacing w:before="0" w:after="140" w:line="360" w:lineRule="auto"/>
        <w:ind w:firstLine="403"/>
        <w:jc w:val="both"/>
      </w:pPr>
      <w:r>
        <w:rPr>
          <w:rFonts w:ascii="Times New Roman" w:hAnsi="Times New Roman"/>
          <w:color w:val="20242B"/>
          <w:sz w:val="24"/>
        </w:rPr>
        <w:t>A transactional outbox and separate dispatcher reduce the chance that an investigation is saved in PostgreSQL but never delivered to the worker queue. Stable job identifiers make repeated delivery idempotent. The workflow also keeps technical evidence separate from analyst decisions, response tasks, remediation plans, and immutable report snapshots.</w:t>
      </w:r>
    </w:p>
    <w:p>
      <w:pPr>
        <w:pStyle w:val="Heading2"/>
        <w:keepNext/>
      </w:pPr>
      <w:r>
        <w:rPr>
          <w:rFonts w:ascii="Times New Roman" w:hAnsi="Times New Roman"/>
          <w:b/>
          <w:color w:val="20242B"/>
          <w:sz w:val="26"/>
        </w:rPr>
        <w:t>1.6 Organization of the Report</w:t>
      </w:r>
    </w:p>
    <w:p>
      <w:pPr>
        <w:keepLines w:val="0"/>
        <w:spacing w:before="0" w:after="140" w:line="360" w:lineRule="auto"/>
        <w:ind w:firstLine="403"/>
        <w:jc w:val="both"/>
      </w:pPr>
      <w:r>
        <w:rPr>
          <w:rFonts w:ascii="Times New Roman" w:hAnsi="Times New Roman"/>
          <w:color w:val="20242B"/>
          <w:sz w:val="24"/>
        </w:rPr>
        <w:t>Chapter 1 introduces the project and its scope. Chapter 2 describes the technical background and source models. Chapter 3 presents requirements, architecture, data relationships, risk methodology, and security design. Chapter 4 explains the implementation and documented verification evidence. Chapter 5 concludes the report and identifies future work.</w:t>
      </w:r>
    </w:p>
    <w:p>
      <w:r>
        <w:br w:type="page"/>
      </w:r>
    </w:p>
    <w:p>
      <w:pPr>
        <w:keepNext/>
        <w:spacing w:before="0" w:after="60"/>
        <w:jc w:val="center"/>
      </w:pPr>
      <w:r>
        <w:rPr>
          <w:rFonts w:ascii="Times New Roman" w:hAnsi="Times New Roman"/>
          <w:b/>
          <w:color w:val="13284B"/>
          <w:sz w:val="30"/>
        </w:rPr>
        <w:t>CHAPTER 2</w:t>
      </w:r>
    </w:p>
    <w:p>
      <w:pPr>
        <w:keepNext/>
        <w:spacing w:after="440"/>
        <w:jc w:val="center"/>
      </w:pPr>
      <w:r>
        <w:rPr>
          <w:rFonts w:ascii="Times New Roman" w:hAnsi="Times New Roman"/>
          <w:b/>
          <w:color w:val="20242B"/>
          <w:sz w:val="30"/>
        </w:rPr>
        <w:t>TECHNICAL BACKGROUND AND RELATED WORK</w:t>
      </w:r>
    </w:p>
    <w:p>
      <w:pPr>
        <w:pStyle w:val="Heading2"/>
        <w:keepNext/>
      </w:pPr>
      <w:r>
        <w:rPr>
          <w:rFonts w:ascii="Times New Roman" w:hAnsi="Times New Roman"/>
          <w:b/>
          <w:color w:val="20242B"/>
          <w:sz w:val="26"/>
        </w:rPr>
        <w:t>2.1 Cyber Threat Intelligence and Asset Context</w:t>
      </w:r>
    </w:p>
    <w:p>
      <w:pPr>
        <w:keepLines w:val="0"/>
        <w:spacing w:before="0" w:after="140" w:line="360" w:lineRule="auto"/>
        <w:ind w:firstLine="403"/>
        <w:jc w:val="both"/>
      </w:pPr>
      <w:r>
        <w:rPr>
          <w:rFonts w:ascii="Times New Roman" w:hAnsi="Times New Roman"/>
          <w:color w:val="20242B"/>
          <w:sz w:val="24"/>
        </w:rPr>
        <w:t>Cyber threat intelligence (CTI) is useful when an observation can be connected to a specific asset and interpreted with its source, time, and limitations. CyberLens treats provider data as evidence to review, rather than as a command to act. A finding retains its source attribution and observation context. The system’s evidence graph projects stored relationships from PostgreSQL records and links each edge to the evidence snapshot that supports it.</w:t>
      </w:r>
    </w:p>
    <w:p>
      <w:pPr>
        <w:keepLines w:val="0"/>
        <w:spacing w:before="0" w:after="140" w:line="360" w:lineRule="auto"/>
        <w:ind w:firstLine="403"/>
        <w:jc w:val="both"/>
      </w:pPr>
      <w:r>
        <w:rPr>
          <w:rFonts w:ascii="Times New Roman" w:hAnsi="Times New Roman"/>
          <w:color w:val="20242B"/>
          <w:sz w:val="24"/>
        </w:rPr>
        <w:t>Asset context matters because a provider match alone does not determine organizational impact. The same CVE may be irrelevant to an asset that does not run the affected component, while a lower-severity observation may matter for a critical exposed service. CyberLens records inventory attributes and analyst applicability decisions to keep these questions visible.</w:t>
      </w:r>
    </w:p>
    <w:p>
      <w:pPr>
        <w:pStyle w:val="Heading2"/>
        <w:keepNext/>
      </w:pPr>
      <w:r>
        <w:rPr>
          <w:rFonts w:ascii="Times New Roman" w:hAnsi="Times New Roman"/>
          <w:b/>
          <w:color w:val="20242B"/>
          <w:sz w:val="26"/>
        </w:rPr>
        <w:t>2.2 Vulnerability Sources and Prioritization Signals</w:t>
      </w:r>
    </w:p>
    <w:p>
      <w:pPr>
        <w:keepLines w:val="0"/>
        <w:spacing w:before="0" w:after="140" w:line="360" w:lineRule="auto"/>
        <w:ind w:firstLine="403"/>
        <w:jc w:val="both"/>
      </w:pPr>
      <w:r>
        <w:rPr>
          <w:rFonts w:ascii="Times New Roman" w:hAnsi="Times New Roman"/>
          <w:color w:val="20242B"/>
          <w:sz w:val="24"/>
        </w:rPr>
        <w:t>The National Vulnerability Database (NVD) provides machine-readable vulnerability and product data through its API. CyberLens uses CPE and CVE information to surface candidate matches for inventoried software. Product-name and version matching can be ambiguous, so a returned candidate remains in a review state until an analyst decides whether it applies [7].</w:t>
      </w:r>
    </w:p>
    <w:p>
      <w:pPr>
        <w:keepLines w:val="0"/>
        <w:spacing w:before="0" w:after="140" w:line="360" w:lineRule="auto"/>
        <w:ind w:firstLine="403"/>
        <w:jc w:val="both"/>
      </w:pPr>
      <w:r>
        <w:rPr>
          <w:rFonts w:ascii="Times New Roman" w:hAnsi="Times New Roman"/>
          <w:color w:val="20242B"/>
          <w:sz w:val="24"/>
        </w:rPr>
        <w:t>CISA’s Known Exploited Vulnerabilities catalog identifies vulnerabilities that CISA lists as known exploited [8]. FIRST EPSS provides a separate estimate of exploitation probability over the next 30 days [9]. These signals answer different questions: CVSS describes technical severity, KEV indicates catalog membership, and EPSS estimates observed exploitation likelihood at a population level. CyberLens stores and displays these concepts separately; none proves that a specific asset has been compromised.</w:t>
      </w:r>
    </w:p>
    <w:p>
      <w:pPr>
        <w:keepLines w:val="0"/>
        <w:spacing w:before="0" w:after="140" w:line="360" w:lineRule="auto"/>
        <w:ind w:firstLine="403"/>
        <w:jc w:val="both"/>
      </w:pPr>
      <w:r>
        <w:rPr>
          <w:rFonts w:ascii="Times New Roman" w:hAnsi="Times New Roman"/>
          <w:color w:val="20242B"/>
          <w:sz w:val="24"/>
        </w:rPr>
        <w:t>For package-level analysis, CyberLens can query OSV for an explicitly inventoried npm or PyPI package and version. It does not upload a software bill of materials or discover dependencies automatically. A package advisory is a candidate, and aliases are retained for provenance while duplicate scoring against an NVD CVE is avoided.</w:t>
      </w:r>
    </w:p>
    <w:p>
      <w:pPr>
        <w:pStyle w:val="Heading2"/>
        <w:keepNext/>
      </w:pPr>
      <w:r>
        <w:rPr>
          <w:rFonts w:ascii="Times New Roman" w:hAnsi="Times New Roman"/>
          <w:b/>
          <w:color w:val="20242B"/>
          <w:sz w:val="26"/>
        </w:rPr>
        <w:t>2.3 ATT&amp;CK and Structured Threat Knowledge</w:t>
      </w:r>
    </w:p>
    <w:p>
      <w:pPr>
        <w:keepLines w:val="0"/>
        <w:spacing w:before="0" w:after="140" w:line="360" w:lineRule="auto"/>
        <w:ind w:firstLine="403"/>
        <w:jc w:val="both"/>
      </w:pPr>
      <w:r>
        <w:rPr>
          <w:rFonts w:ascii="Times New Roman" w:hAnsi="Times New Roman"/>
          <w:color w:val="20242B"/>
          <w:sz w:val="24"/>
        </w:rPr>
        <w:t>MITRE ATT&amp;CK organizes adversary tactics and techniques based on observed behavior. CyberLens stores a locally versioned Enterprise subset and supports an administrator-queued synchronization of official STIX 2.1 data outside Demo mode [10]. A technique suggestion is contextual and requires analyst review. It does not establish that an attacker used the technique.</w:t>
      </w:r>
    </w:p>
    <w:p>
      <w:pPr>
        <w:keepLines w:val="0"/>
        <w:spacing w:before="0" w:after="140" w:line="360" w:lineRule="auto"/>
        <w:ind w:firstLine="403"/>
        <w:jc w:val="both"/>
      </w:pPr>
      <w:r>
        <w:rPr>
          <w:rFonts w:ascii="Times New Roman" w:hAnsi="Times New Roman"/>
          <w:color w:val="20242B"/>
          <w:sz w:val="24"/>
        </w:rPr>
        <w:t>Versioned catalog snapshots help preserve the meaning of existing mappings when the upstream knowledge base changes. A mapping keeps its catalog version and saved technique text. Existing reports are snapshots and are not silently rewritten when a newer catalog is activated.</w:t>
      </w:r>
    </w:p>
    <w:p>
      <w:pPr>
        <w:pStyle w:val="Heading2"/>
        <w:keepNext/>
      </w:pPr>
      <w:r>
        <w:rPr>
          <w:rFonts w:ascii="Times New Roman" w:hAnsi="Times New Roman"/>
          <w:b/>
          <w:color w:val="20242B"/>
          <w:sz w:val="26"/>
        </w:rPr>
        <w:t>2.4 Background Processing and Evidence</w:t>
      </w:r>
    </w:p>
    <w:p>
      <w:pPr>
        <w:keepLines w:val="0"/>
        <w:spacing w:before="0" w:after="140" w:line="360" w:lineRule="auto"/>
        <w:ind w:firstLine="403"/>
        <w:jc w:val="both"/>
      </w:pPr>
      <w:r>
        <w:rPr>
          <w:rFonts w:ascii="Times New Roman" w:hAnsi="Times New Roman"/>
          <w:color w:val="20242B"/>
          <w:sz w:val="24"/>
        </w:rPr>
        <w:t>Provider requests can be slow, rate-limited, or temporarily unavailable. A background queue separates the user-facing API from the work performed by collectors. RQ represents Python functions as jobs executed by worker processes using Redis [4, 5]. CyberLens adds a PostgreSQL outbox and dispatcher around this queue so the accepted investigation and its delivery event are recorded together.</w:t>
      </w:r>
    </w:p>
    <w:p>
      <w:pPr>
        <w:keepLines w:val="0"/>
        <w:spacing w:before="0" w:after="140" w:line="360" w:lineRule="auto"/>
        <w:ind w:firstLine="403"/>
        <w:jc w:val="both"/>
      </w:pPr>
      <w:r>
        <w:rPr>
          <w:rFonts w:ascii="Times New Roman" w:hAnsi="Times New Roman"/>
          <w:color w:val="20242B"/>
          <w:sz w:val="24"/>
        </w:rPr>
        <w:t>Evidence provenance includes the source, provider or version where available, observation time, freshness, status, schema version, and a checksum. Hashes help detect changes to stored bytes. They do not independently prove collection authenticity or establish forensic chain of custody.</w:t>
      </w:r>
    </w:p>
    <w:p>
      <w:pPr>
        <w:pStyle w:val="Heading2"/>
        <w:keepNext/>
      </w:pPr>
      <w:r>
        <w:rPr>
          <w:rFonts w:ascii="Times New Roman" w:hAnsi="Times New Roman"/>
          <w:b/>
          <w:color w:val="20242B"/>
          <w:sz w:val="26"/>
        </w:rPr>
        <w:t>2.5 Design Opportunity</w:t>
      </w:r>
    </w:p>
    <w:p>
      <w:pPr>
        <w:keepLines w:val="0"/>
        <w:spacing w:before="0" w:after="140" w:line="360" w:lineRule="auto"/>
        <w:ind w:firstLine="403"/>
        <w:jc w:val="both"/>
      </w:pPr>
      <w:r>
        <w:rPr>
          <w:rFonts w:ascii="Times New Roman" w:hAnsi="Times New Roman"/>
          <w:color w:val="20242B"/>
          <w:sz w:val="24"/>
        </w:rPr>
        <w:t>The design opportunity is to make the analyst workflow as important as the external lookup. CyberLens joins source collection to inventory, evidence, applicability review, prioritization, incident management, remediation tracking, and report snapshots. This approach is intended to reduce context switching and preserve uncertainty. It does not replace the source providers, a dedicated vulnerability scanner, a SIEM, or a calibrated enterprise risk model.</w:t>
      </w:r>
    </w:p>
    <w:p>
      <w:r>
        <w:br w:type="page"/>
      </w:r>
    </w:p>
    <w:p>
      <w:pPr>
        <w:keepNext/>
        <w:spacing w:before="0" w:after="60"/>
        <w:jc w:val="center"/>
      </w:pPr>
      <w:r>
        <w:rPr>
          <w:rFonts w:ascii="Times New Roman" w:hAnsi="Times New Roman"/>
          <w:b/>
          <w:color w:val="13284B"/>
          <w:sz w:val="30"/>
        </w:rPr>
        <w:t>CHAPTER 3</w:t>
      </w:r>
    </w:p>
    <w:p>
      <w:pPr>
        <w:keepNext/>
        <w:spacing w:after="440"/>
        <w:jc w:val="center"/>
      </w:pPr>
      <w:r>
        <w:rPr>
          <w:rFonts w:ascii="Times New Roman" w:hAnsi="Times New Roman"/>
          <w:b/>
          <w:color w:val="20242B"/>
          <w:sz w:val="30"/>
        </w:rPr>
        <w:t>REQUIREMENTS AND SYSTEM DESIGN</w:t>
      </w:r>
    </w:p>
    <w:p>
      <w:pPr>
        <w:pStyle w:val="Heading2"/>
        <w:keepNext/>
      </w:pPr>
      <w:r>
        <w:rPr>
          <w:rFonts w:ascii="Times New Roman" w:hAnsi="Times New Roman"/>
          <w:b/>
          <w:color w:val="20242B"/>
          <w:sz w:val="26"/>
        </w:rPr>
        <w:t>3.1 Requirements</w:t>
      </w:r>
    </w:p>
    <w:p>
      <w:pPr>
        <w:keepLines w:val="0"/>
        <w:spacing w:before="0" w:after="140" w:line="360" w:lineRule="auto"/>
        <w:ind w:firstLine="403"/>
        <w:jc w:val="both"/>
      </w:pPr>
      <w:r>
        <w:rPr>
          <w:rFonts w:ascii="Times New Roman" w:hAnsi="Times New Roman"/>
          <w:color w:val="20242B"/>
          <w:sz w:val="24"/>
        </w:rPr>
        <w:t>The system requirements focus on a local, authenticated analyst workspace with durable records and controlled provider interaction. Functional requirements describe what the workspace supports; non-functional requirements describe the reliability, safety, and usability expected from those workflows.</w:t>
      </w:r>
    </w:p>
    <w:p>
      <w:pPr>
        <w:keepNext/>
        <w:spacing w:before="60" w:after="140"/>
        <w:jc w:val="center"/>
      </w:pPr>
      <w:r>
        <w:rPr>
          <w:rFonts w:ascii="Times New Roman" w:hAnsi="Times New Roman"/>
          <w:i/>
          <w:color w:val="596579"/>
          <w:sz w:val="20"/>
        </w:rPr>
        <w:t>Table 3.1. Functional requirements</w:t>
      </w:r>
    </w:p>
    <w:tbl>
      <w:tblPr>
        <w:tblStyle w:val="TableGrid"/>
        <w:tblW w:type="auto" w:w="0"/>
        <w:tblLayout w:type="fixed"/>
        <w:tblLook w:firstColumn="1" w:firstRow="1" w:lastColumn="0" w:lastRow="0" w:noHBand="0" w:noVBand="1" w:val="04A0"/>
      </w:tblPr>
      <w:tblGrid>
        <w:gridCol w:w="2938"/>
        <w:gridCol w:w="2938"/>
        <w:gridCol w:w="2938"/>
      </w:tblGrid>
      <w:tr>
        <w:trPr>
          <w:tblHeader w:val="true"/>
          <w:cantSplit/>
        </w:trPr>
        <w:tc>
          <w:tcPr>
            <w:tcW w:type="dxa" w:w="893"/>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ID</w:t>
            </w:r>
          </w:p>
        </w:tc>
        <w:tc>
          <w:tcPr>
            <w:tcW w:type="dxa" w:w="2189"/>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Requirement</w:t>
            </w:r>
          </w:p>
        </w:tc>
        <w:tc>
          <w:tcPr>
            <w:tcW w:type="dxa" w:w="6739"/>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Expected behavior</w:t>
            </w:r>
          </w:p>
        </w:tc>
      </w:tr>
      <w:tr>
        <w:trPr>
          <w:cantSplit/>
        </w:trPr>
        <w:tc>
          <w:tcPr>
            <w:tcW w:type="dxa" w:w="89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FR-01</w:t>
            </w:r>
          </w:p>
        </w:tc>
        <w:tc>
          <w:tcPr>
            <w:tcW w:type="dxa" w:w="21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Asset inventory</w:t>
            </w:r>
          </w:p>
        </w:tc>
        <w:tc>
          <w:tcPr>
            <w:tcW w:type="dxa" w:w="673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and maintain scoped domain, IP, URL, email, application, and component records.</w:t>
            </w:r>
          </w:p>
        </w:tc>
      </w:tr>
      <w:tr>
        <w:trPr>
          <w:cantSplit/>
        </w:trPr>
        <w:tc>
          <w:tcPr>
            <w:tcW w:type="dxa" w:w="89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FR-02</w:t>
            </w:r>
          </w:p>
        </w:tc>
        <w:tc>
          <w:tcPr>
            <w:tcW w:type="dxa" w:w="21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Investigation</w:t>
            </w:r>
          </w:p>
        </w:tc>
        <w:tc>
          <w:tcPr>
            <w:tcW w:type="dxa" w:w="673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Queue an investigation and show its attempts, collectors, evidence, and findings.</w:t>
            </w:r>
          </w:p>
        </w:tc>
      </w:tr>
      <w:tr>
        <w:trPr>
          <w:cantSplit/>
        </w:trPr>
        <w:tc>
          <w:tcPr>
            <w:tcW w:type="dxa" w:w="89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FR-03</w:t>
            </w:r>
          </w:p>
        </w:tc>
        <w:tc>
          <w:tcPr>
            <w:tcW w:type="dxa" w:w="21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Analyst review</w:t>
            </w:r>
          </w:p>
        </w:tc>
        <w:tc>
          <w:tcPr>
            <w:tcW w:type="dxa" w:w="673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Record applicability decisions with a reason and preserve review history.</w:t>
            </w:r>
          </w:p>
        </w:tc>
      </w:tr>
      <w:tr>
        <w:trPr>
          <w:cantSplit/>
        </w:trPr>
        <w:tc>
          <w:tcPr>
            <w:tcW w:type="dxa" w:w="89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FR-04</w:t>
            </w:r>
          </w:p>
        </w:tc>
        <w:tc>
          <w:tcPr>
            <w:tcW w:type="dxa" w:w="21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Incident response</w:t>
            </w:r>
          </w:p>
        </w:tc>
        <w:tc>
          <w:tcPr>
            <w:tcW w:type="dxa" w:w="673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cases, events, playbook tasks, remediation actions, and control mappings.</w:t>
            </w:r>
          </w:p>
        </w:tc>
      </w:tr>
      <w:tr>
        <w:trPr>
          <w:cantSplit/>
        </w:trPr>
        <w:tc>
          <w:tcPr>
            <w:tcW w:type="dxa" w:w="89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FR-05</w:t>
            </w:r>
          </w:p>
        </w:tc>
        <w:tc>
          <w:tcPr>
            <w:tcW w:type="dxa" w:w="21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Reporting</w:t>
            </w:r>
          </w:p>
        </w:tc>
        <w:tc>
          <w:tcPr>
            <w:tcW w:type="dxa" w:w="673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Save immutable PDF or JSON snapshots from current workspace records.</w:t>
            </w:r>
          </w:p>
        </w:tc>
      </w:tr>
      <w:tr>
        <w:trPr>
          <w:cantSplit/>
        </w:trPr>
        <w:tc>
          <w:tcPr>
            <w:tcW w:type="dxa" w:w="89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FR-06</w:t>
            </w:r>
          </w:p>
        </w:tc>
        <w:tc>
          <w:tcPr>
            <w:tcW w:type="dxa" w:w="21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Monitoring</w:t>
            </w:r>
          </w:p>
        </w:tc>
        <w:tc>
          <w:tcPr>
            <w:tcW w:type="dxa" w:w="673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Schedule authorized website checks and compare saved investigation history.</w:t>
            </w:r>
          </w:p>
        </w:tc>
      </w:tr>
      <w:tr>
        <w:trPr>
          <w:cantSplit/>
        </w:trPr>
        <w:tc>
          <w:tcPr>
            <w:tcW w:type="dxa" w:w="89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FR-07</w:t>
            </w:r>
          </w:p>
        </w:tc>
        <w:tc>
          <w:tcPr>
            <w:tcW w:type="dxa" w:w="21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Administration</w:t>
            </w:r>
          </w:p>
        </w:tc>
        <w:tc>
          <w:tcPr>
            <w:tcW w:type="dxa" w:w="673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Manage roles and inspect audit, integrity, provider, and health status.</w:t>
            </w:r>
          </w:p>
        </w:tc>
      </w:tr>
    </w:tbl>
    <w:p>
      <w:pPr>
        <w:spacing w:after="40"/>
      </w:pPr>
    </w:p>
    <w:p>
      <w:pPr>
        <w:keepNext/>
        <w:spacing w:before="60" w:after="140"/>
        <w:jc w:val="center"/>
      </w:pPr>
      <w:r>
        <w:rPr>
          <w:rFonts w:ascii="Times New Roman" w:hAnsi="Times New Roman"/>
          <w:i/>
          <w:color w:val="596579"/>
          <w:sz w:val="20"/>
        </w:rPr>
        <w:t>Table 3.2. Non-functional requirements</w:t>
      </w:r>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187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Area</w:t>
            </w:r>
          </w:p>
        </w:tc>
        <w:tc>
          <w:tcPr>
            <w:tcW w:type="dxa" w:w="7949"/>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Requirement</w:t>
            </w:r>
          </w:p>
        </w:tc>
      </w:tr>
      <w:tr>
        <w:trPr>
          <w:cantSplit/>
        </w:trPr>
        <w:tc>
          <w:tcPr>
            <w:tcW w:type="dxa" w:w="18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Security</w:t>
            </w:r>
          </w:p>
        </w:tc>
        <w:tc>
          <w:tcPr>
            <w:tcW w:type="dxa" w:w="794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Protect credentials, enforce role checks and CSRF validation, and restrict outbound network requests.</w:t>
            </w:r>
          </w:p>
        </w:tc>
      </w:tr>
      <w:tr>
        <w:trPr>
          <w:cantSplit/>
        </w:trPr>
        <w:tc>
          <w:tcPr>
            <w:tcW w:type="dxa" w:w="18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Reliability</w:t>
            </w:r>
          </w:p>
        </w:tc>
        <w:tc>
          <w:tcPr>
            <w:tcW w:type="dxa" w:w="794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Persist investigation delivery events, use stable job identifiers, and separate attempts from the parent investigation.</w:t>
            </w:r>
          </w:p>
        </w:tc>
      </w:tr>
      <w:tr>
        <w:trPr>
          <w:cantSplit/>
        </w:trPr>
        <w:tc>
          <w:tcPr>
            <w:tcW w:type="dxa" w:w="18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Traceability</w:t>
            </w:r>
          </w:p>
        </w:tc>
        <w:tc>
          <w:tcPr>
            <w:tcW w:type="dxa" w:w="794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Attach evidence, source status, observation time, and immutable report snapshots to analyst decisions.</w:t>
            </w:r>
          </w:p>
        </w:tc>
      </w:tr>
      <w:tr>
        <w:trPr>
          <w:cantSplit/>
        </w:trPr>
        <w:tc>
          <w:tcPr>
            <w:tcW w:type="dxa" w:w="18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Usability</w:t>
            </w:r>
          </w:p>
        </w:tc>
        <w:tc>
          <w:tcPr>
            <w:tcW w:type="dxa" w:w="794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Present unavailable, stale, unassessed, no-match, and synthetic states distinctly.</w:t>
            </w:r>
          </w:p>
        </w:tc>
      </w:tr>
      <w:tr>
        <w:trPr>
          <w:cantSplit/>
        </w:trPr>
        <w:tc>
          <w:tcPr>
            <w:tcW w:type="dxa" w:w="18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Portability</w:t>
            </w:r>
          </w:p>
        </w:tc>
        <w:tc>
          <w:tcPr>
            <w:tcW w:type="dxa" w:w="794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Run the application components together using Docker Compose on a local machine.</w:t>
            </w:r>
          </w:p>
        </w:tc>
      </w:tr>
      <w:tr>
        <w:trPr>
          <w:cantSplit/>
        </w:trPr>
        <w:tc>
          <w:tcPr>
            <w:tcW w:type="dxa" w:w="18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Privacy</w:t>
            </w:r>
          </w:p>
        </w:tc>
        <w:tc>
          <w:tcPr>
            <w:tcW w:type="dxa" w:w="794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Keep provider secrets on the backend and require explicit, scoped authorization for protected lookups.</w:t>
            </w:r>
          </w:p>
        </w:tc>
      </w:tr>
    </w:tbl>
    <w:p>
      <w:pPr>
        <w:spacing w:after="40"/>
      </w:pPr>
    </w:p>
    <w:p>
      <w:pPr>
        <w:pStyle w:val="Heading2"/>
        <w:keepNext/>
      </w:pPr>
      <w:r>
        <w:rPr>
          <w:rFonts w:ascii="Times New Roman" w:hAnsi="Times New Roman"/>
          <w:b/>
          <w:color w:val="20242B"/>
          <w:sz w:val="26"/>
        </w:rPr>
        <w:t>3.2 Architecture</w:t>
      </w:r>
    </w:p>
    <w:p>
      <w:pPr>
        <w:keepLines w:val="0"/>
        <w:spacing w:before="0" w:after="140" w:line="360" w:lineRule="auto"/>
        <w:ind w:firstLine="403"/>
        <w:jc w:val="both"/>
      </w:pPr>
      <w:r>
        <w:rPr>
          <w:rFonts w:ascii="Times New Roman" w:hAnsi="Times New Roman"/>
          <w:color w:val="20242B"/>
          <w:sz w:val="24"/>
        </w:rPr>
        <w:t>The browser serves as the analyst interface. Caddy terminates local HTTPS and routes requests to the static frontend and API. The FastAPI service validates requests and persists operational records to PostgreSQL. When an investigation is accepted, the API also records an outbox event in the same transaction. The dispatcher publishes pending events to RQ in Redis, and a worker executes collectors and persists the results.</w:t>
      </w:r>
    </w:p>
    <w:p>
      <w:pPr>
        <w:keepNext/>
        <w:spacing w:before="80" w:after="40"/>
        <w:jc w:val="center"/>
      </w:pPr>
      <w:r>
        <w:drawing>
          <wp:inline xmlns:a="http://schemas.openxmlformats.org/drawingml/2006/main" xmlns:pic="http://schemas.openxmlformats.org/drawingml/2006/picture">
            <wp:extent cx="5989320" cy="349377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989320" cy="3493770"/>
                    </a:xfrm>
                    <a:prstGeom prst="rect"/>
                  </pic:spPr>
                </pic:pic>
              </a:graphicData>
            </a:graphic>
          </wp:inline>
        </w:drawing>
      </w:r>
    </w:p>
    <w:p>
      <w:pPr>
        <w:keepNext/>
        <w:spacing w:before="60" w:after="140"/>
        <w:jc w:val="center"/>
      </w:pPr>
      <w:r>
        <w:rPr>
          <w:rFonts w:ascii="Times New Roman" w:hAnsi="Times New Roman"/>
          <w:i/>
          <w:color w:val="596579"/>
          <w:sz w:val="20"/>
        </w:rPr>
        <w:t>Fig. 3.1. CyberLens service architecture.</w:t>
      </w:r>
    </w:p>
    <w:p>
      <w:pPr>
        <w:keepLines w:val="0"/>
        <w:spacing w:before="0" w:after="140" w:line="360" w:lineRule="auto"/>
        <w:ind w:firstLine="0"/>
        <w:jc w:val="both"/>
      </w:pPr>
      <w:r>
        <w:rPr>
          <w:rFonts w:ascii="Times New Roman" w:hAnsi="Times New Roman"/>
          <w:color w:val="20242B"/>
          <w:sz w:val="24"/>
        </w:rPr>
        <w:t>PostgreSQL is the durable source of truth for assets, investigations, evidence, findings, risk revisions, incidents, remediation, reports, and audit records. Redis is used for job delivery and shared short-lived state such as throttling and worker heartbeat. The evidence graph is a projection of the stored relational records; the application does not depend on a separate graph database.</w:t>
      </w:r>
    </w:p>
    <w:p>
      <w:pPr>
        <w:pStyle w:val="Heading2"/>
        <w:keepNext/>
      </w:pPr>
      <w:r>
        <w:rPr>
          <w:rFonts w:ascii="Times New Roman" w:hAnsi="Times New Roman"/>
          <w:b/>
          <w:color w:val="20242B"/>
          <w:sz w:val="26"/>
        </w:rPr>
        <w:t>3.3 Investigation Workflow</w:t>
      </w:r>
    </w:p>
    <w:p>
      <w:pPr>
        <w:keepLines w:val="0"/>
        <w:spacing w:before="0" w:after="140" w:line="360" w:lineRule="auto"/>
        <w:ind w:firstLine="403"/>
        <w:jc w:val="both"/>
      </w:pPr>
      <w:r>
        <w:rPr>
          <w:rFonts w:ascii="Times New Roman" w:hAnsi="Times New Roman"/>
          <w:color w:val="20242B"/>
          <w:sz w:val="24"/>
        </w:rPr>
        <w:t>The workflow begins when an authenticated Analyst or Admin submits an investigation for an asset in scope. The API stores the investigation, its first attempt, and a delivery event transactionally. The dispatcher publishes a stable job identifier to the Redis-backed RQ queue. A worker claims the attempt, checks its lease and any required authorization, executes the selected collectors, then saves collector status, evidence snapshots, findings, and risk assessment revisions. The frontend reads the persisted state and updates the investigation view.</w:t>
      </w:r>
    </w:p>
    <w:p>
      <w:pPr>
        <w:keepNext/>
        <w:spacing w:before="80" w:after="40"/>
        <w:jc w:val="center"/>
      </w:pPr>
      <w:r>
        <w:drawing>
          <wp:inline xmlns:a="http://schemas.openxmlformats.org/drawingml/2006/main" xmlns:pic="http://schemas.openxmlformats.org/drawingml/2006/picture">
            <wp:extent cx="5897880" cy="4128516"/>
            <wp:docPr id="3" name="Picture 3"/>
            <wp:cNvGraphicFramePr>
              <a:graphicFrameLocks noChangeAspect="1"/>
            </wp:cNvGraphicFramePr>
            <a:graphic>
              <a:graphicData uri="http://schemas.openxmlformats.org/drawingml/2006/picture">
                <pic:pic>
                  <pic:nvPicPr>
                    <pic:cNvPr id="0" name="fig_workflow.png"/>
                    <pic:cNvPicPr/>
                  </pic:nvPicPr>
                  <pic:blipFill>
                    <a:blip r:embed="rId13"/>
                    <a:stretch>
                      <a:fillRect/>
                    </a:stretch>
                  </pic:blipFill>
                  <pic:spPr>
                    <a:xfrm>
                      <a:off x="0" y="0"/>
                      <a:ext cx="5897880" cy="4128516"/>
                    </a:xfrm>
                    <a:prstGeom prst="rect"/>
                  </pic:spPr>
                </pic:pic>
              </a:graphicData>
            </a:graphic>
          </wp:inline>
        </w:drawing>
      </w:r>
    </w:p>
    <w:p>
      <w:pPr>
        <w:keepNext/>
        <w:spacing w:before="60" w:after="140"/>
        <w:jc w:val="center"/>
      </w:pPr>
      <w:r>
        <w:rPr>
          <w:rFonts w:ascii="Times New Roman" w:hAnsi="Times New Roman"/>
          <w:i/>
          <w:color w:val="596579"/>
          <w:sz w:val="20"/>
        </w:rPr>
        <w:t>Fig. 3.2. Investigation processing and analyst review workflow.</w:t>
      </w:r>
    </w:p>
    <w:p>
      <w:pPr>
        <w:keepLines w:val="0"/>
        <w:spacing w:before="0" w:after="140" w:line="360" w:lineRule="auto"/>
        <w:ind w:firstLine="0"/>
        <w:jc w:val="both"/>
      </w:pPr>
      <w:r>
        <w:rPr>
          <w:rFonts w:ascii="Times New Roman" w:hAnsi="Times New Roman"/>
          <w:color w:val="20242B"/>
          <w:sz w:val="24"/>
        </w:rPr>
        <w:t>A transient provider failure can receive a limited automatic retry. Each retry is a distinct attempt so the record shows what happened on each execution. Stable job identifiers make delivery idempotent; a reconciler can recover old queued or stale work. A failed collector produces unknown coverage rather than evidence that the asset is safe.</w:t>
      </w:r>
    </w:p>
    <w:p>
      <w:pPr>
        <w:pStyle w:val="Heading2"/>
        <w:keepNext/>
      </w:pPr>
      <w:r>
        <w:rPr>
          <w:rFonts w:ascii="Times New Roman" w:hAnsi="Times New Roman"/>
          <w:b/>
          <w:color w:val="20242B"/>
          <w:sz w:val="26"/>
        </w:rPr>
        <w:t>3.4 Data Model</w:t>
      </w:r>
    </w:p>
    <w:p>
      <w:pPr>
        <w:keepLines w:val="0"/>
        <w:spacing w:before="0" w:after="140" w:line="360" w:lineRule="auto"/>
        <w:ind w:firstLine="403"/>
        <w:jc w:val="both"/>
      </w:pPr>
      <w:r>
        <w:rPr>
          <w:rFonts w:ascii="Times New Roman" w:hAnsi="Times New Roman"/>
          <w:color w:val="20242B"/>
          <w:sz w:val="24"/>
        </w:rPr>
        <w:t>The schema uses relational entities with explicit identifiers and foreign keys. Users and sessions represent authenticated access. Assets define the scope of investigations. An investigation has attempts and collector runs; each collector run can create evidence snapshots and findings. Risk assessments preserve a current projection, while risk revision records retain the earlier score explanations. Incidents link findings and response events. Remediation plans, actions, and control mappings track analyst work. Reports store point-in-time content. Audit events record important changes.</w:t>
      </w:r>
    </w:p>
    <w:p>
      <w:pPr>
        <w:keepNext/>
        <w:spacing w:before="60" w:after="140"/>
        <w:jc w:val="center"/>
      </w:pPr>
      <w:r>
        <w:rPr>
          <w:rFonts w:ascii="Times New Roman" w:hAnsi="Times New Roman"/>
          <w:i/>
          <w:color w:val="596579"/>
          <w:sz w:val="20"/>
        </w:rPr>
        <w:t>Table 3.3. Core data entities</w:t>
      </w:r>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3024"/>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Entity group</w:t>
            </w:r>
          </w:p>
        </w:tc>
        <w:tc>
          <w:tcPr>
            <w:tcW w:type="dxa" w:w="6797"/>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Purpose</w:t>
            </w:r>
          </w:p>
        </w:tc>
      </w:tr>
      <w:tr>
        <w:trPr>
          <w:cantSplit/>
        </w:trPr>
        <w:tc>
          <w:tcPr>
            <w:tcW w:type="dxa" w:w="302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Users, sessions, audit</w:t>
            </w:r>
          </w:p>
        </w:tc>
        <w:tc>
          <w:tcPr>
            <w:tcW w:type="dxa" w:w="6797"/>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Identity, roles, session lifecycle, and append-only activity history.</w:t>
            </w:r>
          </w:p>
        </w:tc>
      </w:tr>
      <w:tr>
        <w:trPr>
          <w:cantSplit/>
        </w:trPr>
        <w:tc>
          <w:tcPr>
            <w:tcW w:type="dxa" w:w="3024"/>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Assets and authorizations</w:t>
            </w:r>
          </w:p>
        </w:tc>
        <w:tc>
          <w:tcPr>
            <w:tcW w:type="dxa" w:w="6797"/>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Inventory context and time-limited permission for website or email checks.</w:t>
            </w:r>
          </w:p>
        </w:tc>
      </w:tr>
      <w:tr>
        <w:trPr>
          <w:cantSplit/>
        </w:trPr>
        <w:tc>
          <w:tcPr>
            <w:tcW w:type="dxa" w:w="302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Investigations and attempts</w:t>
            </w:r>
          </w:p>
        </w:tc>
        <w:tc>
          <w:tcPr>
            <w:tcW w:type="dxa" w:w="6797"/>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Parent work item, retries, transactional outbox delivery, and collector execution.</w:t>
            </w:r>
          </w:p>
        </w:tc>
      </w:tr>
      <w:tr>
        <w:trPr>
          <w:cantSplit/>
        </w:trPr>
        <w:tc>
          <w:tcPr>
            <w:tcW w:type="dxa" w:w="3024"/>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Evidence and relationships</w:t>
            </w:r>
          </w:p>
        </w:tc>
        <w:tc>
          <w:tcPr>
            <w:tcW w:type="dxa" w:w="6797"/>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Source-backed snapshots, hashes, typed graph edges, observation time, and coverage.</w:t>
            </w:r>
          </w:p>
        </w:tc>
      </w:tr>
      <w:tr>
        <w:trPr>
          <w:cantSplit/>
        </w:trPr>
        <w:tc>
          <w:tcPr>
            <w:tcW w:type="dxa" w:w="302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Findings and risk revisions</w:t>
            </w:r>
          </w:p>
        </w:tc>
        <w:tc>
          <w:tcPr>
            <w:tcW w:type="dxa" w:w="6797"/>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Reviewable candidates, applicability, score inputs, and historical explanations.</w:t>
            </w:r>
          </w:p>
        </w:tc>
      </w:tr>
      <w:tr>
        <w:trPr>
          <w:cantSplit/>
        </w:trPr>
        <w:tc>
          <w:tcPr>
            <w:tcW w:type="dxa" w:w="3024"/>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Incidents and remediation</w:t>
            </w:r>
          </w:p>
        </w:tc>
        <w:tc>
          <w:tcPr>
            <w:tcW w:type="dxa" w:w="6797"/>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Cases, timeline events, playbook tasks, plans, actions, and control mappings.</w:t>
            </w:r>
          </w:p>
        </w:tc>
      </w:tr>
      <w:tr>
        <w:trPr>
          <w:cantSplit/>
        </w:trPr>
        <w:tc>
          <w:tcPr>
            <w:tcW w:type="dxa" w:w="3024"/>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Reports and catalogs</w:t>
            </w:r>
          </w:p>
        </w:tc>
        <w:tc>
          <w:tcPr>
            <w:tcW w:type="dxa" w:w="6797"/>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Saved report snapshots, versioned ATT&amp;CK data, and feed snapshots.</w:t>
            </w:r>
          </w:p>
        </w:tc>
      </w:tr>
    </w:tbl>
    <w:p>
      <w:pPr>
        <w:spacing w:after="40"/>
      </w:pPr>
    </w:p>
    <w:p>
      <w:pPr>
        <w:keepNext/>
        <w:spacing w:before="80" w:after="40"/>
        <w:jc w:val="center"/>
      </w:pPr>
      <w:r>
        <w:drawing>
          <wp:inline xmlns:a="http://schemas.openxmlformats.org/drawingml/2006/main" xmlns:pic="http://schemas.openxmlformats.org/drawingml/2006/picture">
            <wp:extent cx="5989320" cy="3660140"/>
            <wp:docPr id="4" name="Picture 4"/>
            <wp:cNvGraphicFramePr>
              <a:graphicFrameLocks noChangeAspect="1"/>
            </wp:cNvGraphicFramePr>
            <a:graphic>
              <a:graphicData uri="http://schemas.openxmlformats.org/drawingml/2006/picture">
                <pic:pic>
                  <pic:nvPicPr>
                    <pic:cNvPr id="0" name="fig_data_model.png"/>
                    <pic:cNvPicPr/>
                  </pic:nvPicPr>
                  <pic:blipFill>
                    <a:blip r:embed="rId14"/>
                    <a:stretch>
                      <a:fillRect/>
                    </a:stretch>
                  </pic:blipFill>
                  <pic:spPr>
                    <a:xfrm>
                      <a:off x="0" y="0"/>
                      <a:ext cx="5989320" cy="3660140"/>
                    </a:xfrm>
                    <a:prstGeom prst="rect"/>
                  </pic:spPr>
                </pic:pic>
              </a:graphicData>
            </a:graphic>
          </wp:inline>
        </w:drawing>
      </w:r>
    </w:p>
    <w:p>
      <w:pPr>
        <w:keepNext/>
        <w:spacing w:before="60" w:after="140"/>
        <w:jc w:val="center"/>
      </w:pPr>
      <w:r>
        <w:rPr>
          <w:rFonts w:ascii="Times New Roman" w:hAnsi="Times New Roman"/>
          <w:i/>
          <w:color w:val="596579"/>
          <w:sz w:val="20"/>
        </w:rPr>
        <w:t>Fig. 3.3. Core data relationships.</w:t>
      </w:r>
    </w:p>
    <w:p>
      <w:pPr>
        <w:pStyle w:val="Heading2"/>
        <w:keepNext/>
      </w:pPr>
      <w:r>
        <w:rPr>
          <w:rFonts w:ascii="Times New Roman" w:hAnsi="Times New Roman"/>
          <w:b/>
          <w:color w:val="20242B"/>
          <w:sz w:val="26"/>
        </w:rPr>
        <w:t>3.5 Risk Assessment Method</w:t>
      </w:r>
    </w:p>
    <w:p>
      <w:pPr>
        <w:keepLines w:val="0"/>
        <w:spacing w:before="0" w:after="140" w:line="360" w:lineRule="auto"/>
        <w:ind w:firstLine="403"/>
        <w:jc w:val="both"/>
      </w:pPr>
      <w:r>
        <w:rPr>
          <w:rFonts w:ascii="Times New Roman" w:hAnsi="Times New Roman"/>
          <w:color w:val="20242B"/>
          <w:sz w:val="24"/>
        </w:rPr>
        <w:t>CyberLens uses the documented policy named cyberlens-academic-1.0 to produce a deterministic prioritization score from assessed evidence categories. It records the observations, category coverage, exclusions, applicability decisions, and score revision so an analyst can inspect why a value changed. Unavailable or missing sources reduce coverage and are not silently converted into evidence of safety.</w:t>
      </w:r>
    </w:p>
    <w:p>
      <w:pPr>
        <w:keepLines w:val="0"/>
        <w:spacing w:before="0" w:after="140" w:line="360" w:lineRule="auto"/>
        <w:ind w:firstLine="403"/>
        <w:jc w:val="both"/>
      </w:pPr>
      <w:r>
        <w:rPr>
          <w:rFonts w:ascii="Times New Roman" w:hAnsi="Times New Roman"/>
          <w:color w:val="20242B"/>
          <w:sz w:val="24"/>
        </w:rPr>
        <w:t>A vulnerability candidate begins as needs_review. Only an analyst decision that it applies contributes to vulnerability risk. The project also treats an applicable KEV item with a severity floor when required by the policy. EPSS is stored separately and does not affect this score. The score is an academic prioritization method and has not been calibrated using a labeled set of incident outcomes.</w:t>
      </w:r>
    </w:p>
    <w:p>
      <w:pPr>
        <w:pStyle w:val="Heading2"/>
        <w:keepNext/>
      </w:pPr>
      <w:r>
        <w:rPr>
          <w:rFonts w:ascii="Times New Roman" w:hAnsi="Times New Roman"/>
          <w:b/>
          <w:color w:val="20242B"/>
          <w:sz w:val="26"/>
        </w:rPr>
        <w:t>3.6 Security and Privacy Design</w:t>
      </w:r>
    </w:p>
    <w:p>
      <w:pPr>
        <w:keepLines w:val="0"/>
        <w:spacing w:before="0" w:after="140" w:line="360" w:lineRule="auto"/>
        <w:ind w:firstLine="403"/>
        <w:jc w:val="both"/>
      </w:pPr>
      <w:r>
        <w:rPr>
          <w:rFonts w:ascii="Times New Roman" w:hAnsi="Times New Roman"/>
          <w:color w:val="20242B"/>
          <w:sz w:val="24"/>
        </w:rPr>
        <w:t>The workspace uses role-based authorization for Admin, Analyst, and Viewer roles. Passwords are stored as Argon2 hashes. Session cookies are protected with HTTP-only settings, CSRF tokens are required for state-changing requests, and Redis provides shared login throttling. Administrative password resets revoke the target user’s active sessions and require a password change at next sign-in.</w:t>
      </w:r>
    </w:p>
    <w:p>
      <w:pPr>
        <w:keepLines w:val="0"/>
        <w:spacing w:before="0" w:after="140" w:line="360" w:lineRule="auto"/>
        <w:ind w:firstLine="403"/>
        <w:jc w:val="both"/>
      </w:pPr>
      <w:r>
        <w:rPr>
          <w:rFonts w:ascii="Times New Roman" w:hAnsi="Times New Roman"/>
          <w:color w:val="20242B"/>
          <w:sz w:val="24"/>
        </w:rPr>
        <w:t>Provider keys stay on the backend. Authenticated provider requests are restricted to the provider’s intended origin. Outbound HTTP requests use fixed or validated destinations, public-address checks, DNS pinning, redirect validation, byte limits, and request deadlines to reduce server-side request forgery exposure [12]. Website inspections require active authorization and are bounded observations; they do not exploit or enumerate a target.</w:t>
      </w:r>
    </w:p>
    <w:p>
      <w:pPr>
        <w:keepLines w:val="0"/>
        <w:spacing w:before="0" w:after="140" w:line="360" w:lineRule="auto"/>
        <w:ind w:firstLine="403"/>
        <w:jc w:val="both"/>
      </w:pPr>
      <w:r>
        <w:rPr>
          <w:rFonts w:ascii="Times New Roman" w:hAnsi="Times New Roman"/>
          <w:color w:val="20242B"/>
          <w:sz w:val="24"/>
        </w:rPr>
        <w:t>The application records evidence checksums and an append-only audit hash chain. These controls help detect later changes to stored content. They do not prove who collected evidence or establish a complete forensic chain of custody. New passwords in Live mode are screened using the keyless HIBP Pwned Passwords range protocol; explicit email-breach searches are a separate provider capability and may require an HIBP subscription key [11].</w:t>
      </w:r>
    </w:p>
    <w:p>
      <w:pPr>
        <w:pStyle w:val="Heading2"/>
        <w:keepNext/>
      </w:pPr>
      <w:r>
        <w:rPr>
          <w:rFonts w:ascii="Times New Roman" w:hAnsi="Times New Roman"/>
          <w:b/>
          <w:color w:val="20242B"/>
          <w:sz w:val="26"/>
        </w:rPr>
        <w:t>3.7 Operating Modes</w:t>
      </w:r>
    </w:p>
    <w:p>
      <w:pPr>
        <w:keepLines w:val="0"/>
        <w:spacing w:before="0" w:after="140" w:line="360" w:lineRule="auto"/>
        <w:ind w:firstLine="403"/>
        <w:jc w:val="both"/>
      </w:pPr>
      <w:r>
        <w:rPr>
          <w:rFonts w:ascii="Times New Roman" w:hAnsi="Times New Roman"/>
          <w:color w:val="20242B"/>
          <w:sz w:val="24"/>
        </w:rPr>
        <w:t>The default Docker Compose project uses Live mode. It can make real provider requests when each integration is enabled, credentials and permission are available, and the source is reachable. Results can be partial, stale, unavailable, or quota-limited. The user interface retains these states.</w:t>
      </w:r>
    </w:p>
    <w:p>
      <w:pPr>
        <w:keepLines w:val="0"/>
        <w:spacing w:before="0" w:after="140" w:line="360" w:lineRule="auto"/>
        <w:ind w:firstLine="403"/>
        <w:jc w:val="both"/>
      </w:pPr>
      <w:r>
        <w:rPr>
          <w:rFonts w:ascii="Times New Roman" w:hAnsi="Times New Roman"/>
          <w:color w:val="20242B"/>
          <w:sz w:val="24"/>
        </w:rPr>
        <w:t>The separate Demo Compose project uses synthetic fixtures and makes no provider or website requests. It has separate named PostgreSQL and Redis volumes. Live and Demo both use the local gateway port 8443, so only one gateway should run on that host port at a time. Live mode is a local showcase configuration; it is not a hardened public deployment.</w:t>
      </w:r>
    </w:p>
    <w:p>
      <w:r>
        <w:br w:type="page"/>
      </w:r>
    </w:p>
    <w:p>
      <w:pPr>
        <w:keepNext/>
        <w:spacing w:before="0" w:after="60"/>
        <w:jc w:val="center"/>
      </w:pPr>
      <w:r>
        <w:rPr>
          <w:rFonts w:ascii="Times New Roman" w:hAnsi="Times New Roman"/>
          <w:b/>
          <w:color w:val="13284B"/>
          <w:sz w:val="30"/>
        </w:rPr>
        <w:t>CHAPTER 4</w:t>
      </w:r>
    </w:p>
    <w:p>
      <w:pPr>
        <w:keepNext/>
        <w:spacing w:after="440"/>
        <w:jc w:val="center"/>
      </w:pPr>
      <w:r>
        <w:rPr>
          <w:rFonts w:ascii="Times New Roman" w:hAnsi="Times New Roman"/>
          <w:b/>
          <w:color w:val="20242B"/>
          <w:sz w:val="30"/>
        </w:rPr>
        <w:t>IMPLEMENTATION AND EVALUATION</w:t>
      </w:r>
    </w:p>
    <w:p>
      <w:pPr>
        <w:pStyle w:val="Heading2"/>
        <w:keepNext/>
      </w:pPr>
      <w:r>
        <w:rPr>
          <w:rFonts w:ascii="Times New Roman" w:hAnsi="Times New Roman"/>
          <w:b/>
          <w:color w:val="20242B"/>
          <w:sz w:val="26"/>
        </w:rPr>
        <w:t>4.1 Technology Stack</w:t>
      </w:r>
    </w:p>
    <w:p>
      <w:pPr>
        <w:keepLines w:val="0"/>
        <w:spacing w:before="0" w:after="140" w:line="360" w:lineRule="auto"/>
        <w:ind w:firstLine="403"/>
        <w:jc w:val="both"/>
      </w:pPr>
      <w:r>
        <w:rPr>
          <w:rFonts w:ascii="Times New Roman" w:hAnsi="Times New Roman"/>
          <w:color w:val="20242B"/>
          <w:sz w:val="24"/>
        </w:rPr>
        <w:t>CyberLens separates the browser interface, API, durable storage, queue, dispatcher, and worker into services. The frontend uses React and TypeScript for component-based screens [1]. Vite produces the static build, and Nginx serves it. FastAPI provides typed HTTP endpoints and OpenAPI documentation [2]. SQLAlchemy maps application records to PostgreSQL, Alembic applies schema migrations, and psycopg connects the Python service to PostgreSQL [3]. Redis and RQ support background job execution [4, 5]. Docker Compose defines the local service stack [6].</w:t>
      </w:r>
    </w:p>
    <w:p>
      <w:pPr>
        <w:keepNext/>
        <w:spacing w:before="60" w:after="140"/>
        <w:jc w:val="center"/>
      </w:pPr>
      <w:r>
        <w:rPr>
          <w:rFonts w:ascii="Times New Roman" w:hAnsi="Times New Roman"/>
          <w:i/>
          <w:color w:val="596579"/>
          <w:sz w:val="20"/>
        </w:rPr>
        <w:t>Table 4.1. Technology stack</w:t>
      </w:r>
    </w:p>
    <w:tbl>
      <w:tblPr>
        <w:tblStyle w:val="TableGrid"/>
        <w:tblW w:type="auto" w:w="0"/>
        <w:tblLayout w:type="fixed"/>
        <w:tblLook w:firstColumn="1" w:firstRow="1" w:lastColumn="0" w:lastRow="0" w:noHBand="0" w:noVBand="1" w:val="04A0"/>
      </w:tblPr>
      <w:tblGrid>
        <w:gridCol w:w="2938"/>
        <w:gridCol w:w="2938"/>
        <w:gridCol w:w="2938"/>
      </w:tblGrid>
      <w:tr>
        <w:trPr>
          <w:tblHeader w:val="true"/>
          <w:cantSplit/>
        </w:trPr>
        <w:tc>
          <w:tcPr>
            <w:tcW w:type="dxa" w:w="1613"/>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7"/>
              </w:rPr>
              <w:t>Component</w:t>
            </w:r>
          </w:p>
        </w:tc>
        <w:tc>
          <w:tcPr>
            <w:tcW w:type="dxa" w:w="3168"/>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7"/>
              </w:rPr>
              <w:t>Technology</w:t>
            </w:r>
          </w:p>
        </w:tc>
        <w:tc>
          <w:tcPr>
            <w:tcW w:type="dxa" w:w="5040"/>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7"/>
              </w:rPr>
              <w:t>Role in CyberLens</w:t>
            </w:r>
          </w:p>
        </w:tc>
      </w:tr>
      <w:tr>
        <w:trPr>
          <w:cantSplit/>
        </w:trPr>
        <w:tc>
          <w:tcPr>
            <w:tcW w:type="dxa" w:w="161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Frontend</w:t>
            </w:r>
          </w:p>
        </w:tc>
        <w:tc>
          <w:tcPr>
            <w:tcW w:type="dxa" w:w="316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React 18, TypeScript, Vite, Recharts</w:t>
            </w:r>
          </w:p>
        </w:tc>
        <w:tc>
          <w:tcPr>
            <w:tcW w:type="dxa" w:w="504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Analyst workspace, status views, graphs, and charts.</w:t>
            </w:r>
          </w:p>
        </w:tc>
      </w:tr>
      <w:tr>
        <w:trPr>
          <w:cantSplit/>
        </w:trPr>
        <w:tc>
          <w:tcPr>
            <w:tcW w:type="dxa" w:w="161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Static web server</w:t>
            </w:r>
          </w:p>
        </w:tc>
        <w:tc>
          <w:tcPr>
            <w:tcW w:type="dxa" w:w="316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Nginx</w:t>
            </w:r>
          </w:p>
        </w:tc>
        <w:tc>
          <w:tcPr>
            <w:tcW w:type="dxa" w:w="504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Serves the compiled frontend inside its container.</w:t>
            </w:r>
          </w:p>
        </w:tc>
      </w:tr>
      <w:tr>
        <w:trPr>
          <w:cantSplit/>
        </w:trPr>
        <w:tc>
          <w:tcPr>
            <w:tcW w:type="dxa" w:w="161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Gateway</w:t>
            </w:r>
          </w:p>
        </w:tc>
        <w:tc>
          <w:tcPr>
            <w:tcW w:type="dxa" w:w="316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Caddy</w:t>
            </w:r>
          </w:p>
        </w:tc>
        <w:tc>
          <w:tcPr>
            <w:tcW w:type="dxa" w:w="504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Local HTTPS, frontend routing, and API reverse proxy.</w:t>
            </w:r>
          </w:p>
        </w:tc>
      </w:tr>
      <w:tr>
        <w:trPr>
          <w:cantSplit/>
        </w:trPr>
        <w:tc>
          <w:tcPr>
            <w:tcW w:type="dxa" w:w="161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API</w:t>
            </w:r>
          </w:p>
        </w:tc>
        <w:tc>
          <w:tcPr>
            <w:tcW w:type="dxa" w:w="316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Python 3.12, FastAPI, Uvicorn</w:t>
            </w:r>
          </w:p>
        </w:tc>
        <w:tc>
          <w:tcPr>
            <w:tcW w:type="dxa" w:w="504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Authentication, validation, APIs, health checks, and reports.</w:t>
            </w:r>
          </w:p>
        </w:tc>
      </w:tr>
      <w:tr>
        <w:trPr>
          <w:cantSplit/>
        </w:trPr>
        <w:tc>
          <w:tcPr>
            <w:tcW w:type="dxa" w:w="161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Persistence</w:t>
            </w:r>
          </w:p>
        </w:tc>
        <w:tc>
          <w:tcPr>
            <w:tcW w:type="dxa" w:w="316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PostgreSQL 16, SQLAlchemy, Alembic</w:t>
            </w:r>
          </w:p>
        </w:tc>
        <w:tc>
          <w:tcPr>
            <w:tcW w:type="dxa" w:w="504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Durable relational data and versioned schema changes.</w:t>
            </w:r>
          </w:p>
        </w:tc>
      </w:tr>
      <w:tr>
        <w:trPr>
          <w:cantSplit/>
        </w:trPr>
        <w:tc>
          <w:tcPr>
            <w:tcW w:type="dxa" w:w="161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Queue and worker</w:t>
            </w:r>
          </w:p>
        </w:tc>
        <w:tc>
          <w:tcPr>
            <w:tcW w:type="dxa" w:w="3168"/>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Redis 7, RQ, Python worker</w:t>
            </w:r>
          </w:p>
        </w:tc>
        <w:tc>
          <w:tcPr>
            <w:tcW w:type="dxa" w:w="504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Background jobs, delivery state, and collector execution.</w:t>
            </w:r>
          </w:p>
        </w:tc>
      </w:tr>
      <w:tr>
        <w:trPr>
          <w:cantSplit/>
        </w:trPr>
        <w:tc>
          <w:tcPr>
            <w:tcW w:type="dxa" w:w="161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Local orchestration</w:t>
            </w:r>
          </w:p>
        </w:tc>
        <w:tc>
          <w:tcPr>
            <w:tcW w:type="dxa" w:w="3168"/>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Docker Compose</w:t>
            </w:r>
          </w:p>
        </w:tc>
        <w:tc>
          <w:tcPr>
            <w:tcW w:type="dxa" w:w="504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Builds and starts the application services and named volumes.</w:t>
            </w:r>
          </w:p>
        </w:tc>
      </w:tr>
    </w:tbl>
    <w:p>
      <w:pPr>
        <w:spacing w:after="40"/>
      </w:pPr>
    </w:p>
    <w:p>
      <w:pPr>
        <w:pStyle w:val="Heading2"/>
        <w:keepNext/>
      </w:pPr>
      <w:r>
        <w:rPr>
          <w:rFonts w:ascii="Times New Roman" w:hAnsi="Times New Roman"/>
          <w:b/>
          <w:color w:val="20242B"/>
          <w:sz w:val="26"/>
        </w:rPr>
        <w:t>4.2 Core Modules</w:t>
      </w:r>
    </w:p>
    <w:p>
      <w:pPr>
        <w:keepLines w:val="0"/>
        <w:spacing w:before="0" w:after="140" w:line="360" w:lineRule="auto"/>
        <w:ind w:firstLine="403"/>
        <w:jc w:val="both"/>
      </w:pPr>
      <w:r>
        <w:rPr>
          <w:rFonts w:ascii="Times New Roman" w:hAnsi="Times New Roman"/>
          <w:color w:val="20242B"/>
          <w:sz w:val="24"/>
        </w:rPr>
        <w:t>The asset module stores domains, IP addresses, URLs, email addresses, applications, and software components. Authorization records control website inspections and selected email-provider requests. The investigation module coordinates collectors and exposes status and history. The findings module stores provider-backed candidates and analyst applicability decisions. The risk view shows the score, contributors, assessed categories, excluded coverage, sensitivity, and historical revisions.</w:t>
      </w:r>
    </w:p>
    <w:p>
      <w:pPr>
        <w:keepLines w:val="0"/>
        <w:spacing w:before="0" w:after="140" w:line="360" w:lineRule="auto"/>
        <w:ind w:firstLine="403"/>
        <w:jc w:val="both"/>
      </w:pPr>
      <w:r>
        <w:rPr>
          <w:rFonts w:ascii="Times New Roman" w:hAnsi="Times New Roman"/>
          <w:color w:val="20242B"/>
          <w:sz w:val="24"/>
        </w:rPr>
        <w:t>Incident management links cases to findings and investigations. A case contains status history, timeline events, and playbook tasks. Remediation plans and actions track proposed work and verification instructions. Control mappings retain a rationale and confidence. Reports capture PDF or JSON snapshots, while the integrity view checks evidence checksums and the audit chain.</w:t>
      </w:r>
    </w:p>
    <w:p>
      <w:pPr>
        <w:keepLines w:val="0"/>
        <w:spacing w:before="0" w:after="140" w:line="360" w:lineRule="auto"/>
        <w:ind w:firstLine="403"/>
        <w:jc w:val="both"/>
      </w:pPr>
      <w:r>
        <w:rPr>
          <w:rFonts w:ascii="Times New Roman" w:hAnsi="Times New Roman"/>
          <w:color w:val="20242B"/>
          <w:sz w:val="24"/>
        </w:rPr>
        <w:t>Other modules include threat modeling, the evidence graph, Change Radar, continuous monitoring, provider status, posture scorecards, MITRE ATT&amp;CK mappings, and shared threat-feed snapshots. These modules reuse the same authenticated API, persisted records, and audit model.</w:t>
      </w:r>
    </w:p>
    <w:p>
      <w:pPr>
        <w:pStyle w:val="Heading2"/>
        <w:keepNext/>
      </w:pPr>
      <w:r>
        <w:rPr>
          <w:rFonts w:ascii="Times New Roman" w:hAnsi="Times New Roman"/>
          <w:b/>
          <w:color w:val="20242B"/>
          <w:sz w:val="26"/>
        </w:rPr>
        <w:t>4.3 Durable Investigation Orchestration</w:t>
      </w:r>
    </w:p>
    <w:p>
      <w:pPr>
        <w:keepLines w:val="0"/>
        <w:spacing w:before="0" w:after="140" w:line="360" w:lineRule="auto"/>
        <w:ind w:firstLine="403"/>
        <w:jc w:val="both"/>
      </w:pPr>
      <w:r>
        <w:rPr>
          <w:rFonts w:ascii="Times New Roman" w:hAnsi="Times New Roman"/>
          <w:color w:val="20242B"/>
          <w:sz w:val="24"/>
        </w:rPr>
        <w:t>The API does not perform all provider calls synchronously inside the user request. It commits the investigation, initial attempt, and outbox delivery event together. The separate dispatcher claims pending events and enqueues RQ jobs using stable identifiers. If delivery is repeated, the stable job ID prevents duplicate execution. The worker claims the attempt, refreshes its heartbeat, runs the selected collectors, and saves each collector run and evidence snapshot.</w:t>
      </w:r>
    </w:p>
    <w:p>
      <w:pPr>
        <w:keepLines w:val="0"/>
        <w:spacing w:before="0" w:after="140" w:line="360" w:lineRule="auto"/>
        <w:ind w:firstLine="403"/>
        <w:jc w:val="both"/>
      </w:pPr>
      <w:r>
        <w:rPr>
          <w:rFonts w:ascii="Times New Roman" w:hAnsi="Times New Roman"/>
          <w:color w:val="20242B"/>
          <w:sz w:val="24"/>
        </w:rPr>
        <w:t>The design separates the authoritative business record from the transient queue. PostgreSQL retains the investigation and delivery intent; Redis carries the job to a worker. A reconciler recovers old queued deliveries, handles stale running attempts, and materializes due monitoring runs. Limited exponential backoff is used for transient provider or network failures. Permanent configuration or authorization failures do not become unbounded retries.</w:t>
      </w:r>
    </w:p>
    <w:p>
      <w:pPr>
        <w:pStyle w:val="Heading2"/>
        <w:keepNext/>
      </w:pPr>
      <w:r>
        <w:rPr>
          <w:rFonts w:ascii="Times New Roman" w:hAnsi="Times New Roman"/>
          <w:b/>
          <w:color w:val="20242B"/>
          <w:sz w:val="26"/>
        </w:rPr>
        <w:t>4.4 Evidence Sources and Interpretation</w:t>
      </w:r>
    </w:p>
    <w:p>
      <w:pPr>
        <w:keepLines w:val="0"/>
        <w:spacing w:before="0" w:after="140" w:line="360" w:lineRule="auto"/>
        <w:ind w:firstLine="403"/>
        <w:jc w:val="both"/>
      </w:pPr>
      <w:r>
        <w:rPr>
          <w:rFonts w:ascii="Times New Roman" w:hAnsi="Times New Roman"/>
          <w:color w:val="20242B"/>
          <w:sz w:val="24"/>
        </w:rPr>
        <w:t>The collectors combine externally sourced observations with local matching against stored snapshots. A source result carries a status and provenance so the analyst can distinguish match, no match, partial coverage, stale data, provider outage, and not-applicable conditions.</w:t>
      </w:r>
    </w:p>
    <w:p>
      <w:pPr>
        <w:keepNext/>
        <w:spacing w:before="60" w:after="140"/>
        <w:jc w:val="center"/>
      </w:pPr>
      <w:r>
        <w:rPr>
          <w:rFonts w:ascii="Times New Roman" w:hAnsi="Times New Roman"/>
          <w:i/>
          <w:color w:val="596579"/>
          <w:sz w:val="20"/>
        </w:rPr>
        <w:t>Table 4.2. Selected evidence sources and interpretation</w:t>
      </w:r>
    </w:p>
    <w:tbl>
      <w:tblPr>
        <w:tblStyle w:val="TableGrid"/>
        <w:tblW w:type="auto" w:w="0"/>
        <w:tblLayout w:type="fixed"/>
        <w:tblLook w:firstColumn="1" w:firstRow="1" w:lastColumn="0" w:lastRow="0" w:noHBand="0" w:noVBand="1" w:val="04A0"/>
      </w:tblPr>
      <w:tblGrid>
        <w:gridCol w:w="2938"/>
        <w:gridCol w:w="2938"/>
        <w:gridCol w:w="2938"/>
      </w:tblGrid>
      <w:tr>
        <w:trPr>
          <w:tblHeader w:val="true"/>
          <w:cantSplit/>
        </w:trPr>
        <w:tc>
          <w:tcPr>
            <w:tcW w:type="dxa" w:w="223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7"/>
              </w:rPr>
              <w:t>Source or collector</w:t>
            </w:r>
          </w:p>
        </w:tc>
        <w:tc>
          <w:tcPr>
            <w:tcW w:type="dxa" w:w="3960"/>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7"/>
              </w:rPr>
              <w:t>CyberLens use</w:t>
            </w:r>
          </w:p>
        </w:tc>
        <w:tc>
          <w:tcPr>
            <w:tcW w:type="dxa" w:w="3629"/>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7"/>
              </w:rPr>
              <w:t>Interpretation limit</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DNS and RDAP</w:t>
            </w:r>
          </w:p>
        </w:tc>
        <w:tc>
          <w:tcPr>
            <w:tcW w:type="dxa" w:w="396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Collects domain and registration context.</w:t>
            </w:r>
          </w:p>
        </w:tc>
        <w:tc>
          <w:tcPr>
            <w:tcW w:type="dxa" w:w="362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Public registration and DNS data may be incomplete or privacy-protected.</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Website and TLS</w:t>
            </w:r>
          </w:p>
        </w:tc>
        <w:tc>
          <w:tcPr>
            <w:tcW w:type="dxa" w:w="396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Observes a bounded HTTP response, selected headers, redirects, and certificate details.</w:t>
            </w:r>
          </w:p>
        </w:tc>
        <w:tc>
          <w:tcPr>
            <w:tcW w:type="dxa" w:w="362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One observation is not a complete web or TLS audit.</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VirusTotal</w:t>
            </w:r>
          </w:p>
        </w:tc>
        <w:tc>
          <w:tcPr>
            <w:tcW w:type="dxa" w:w="396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Reads a provider report for an explicitly submitted asset when configured.</w:t>
            </w:r>
          </w:p>
        </w:tc>
        <w:tc>
          <w:tcPr>
            <w:tcW w:type="dxa" w:w="362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Provider quota and verdicts do not prove compromise.</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NVD and CPE</w:t>
            </w:r>
          </w:p>
        </w:tc>
        <w:tc>
          <w:tcPr>
            <w:tcW w:type="dxa" w:w="396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Returns vulnerability candidates based on inventoried product/version context.</w:t>
            </w:r>
          </w:p>
        </w:tc>
        <w:tc>
          <w:tcPr>
            <w:tcW w:type="dxa" w:w="362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A candidate requires analyst confirmation of applicability.</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CISA KEV and FIRST EPSS</w:t>
            </w:r>
          </w:p>
        </w:tc>
        <w:tc>
          <w:tcPr>
            <w:tcW w:type="dxa" w:w="396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Adds catalog membership and a separate population-level exploitation estimate.</w:t>
            </w:r>
          </w:p>
        </w:tc>
        <w:tc>
          <w:tcPr>
            <w:tcW w:type="dxa" w:w="362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Neither signal proves exploitation of the specific asset.</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OSV</w:t>
            </w:r>
          </w:p>
        </w:tc>
        <w:tc>
          <w:tcPr>
            <w:tcW w:type="dxa" w:w="396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Checks an explicit npm or PyPI package and version.</w:t>
            </w:r>
          </w:p>
        </w:tc>
        <w:tc>
          <w:tcPr>
            <w:tcW w:type="dxa" w:w="362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No automatic dependency discovery or SBOM upload occurs.</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Threat-feed snapshots</w:t>
            </w:r>
          </w:p>
        </w:tc>
        <w:tc>
          <w:tcPr>
            <w:tcW w:type="dxa" w:w="396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Matches an explicitly submitted public IP or URL against a validated local snapshot.</w:t>
            </w:r>
          </w:p>
        </w:tc>
        <w:tc>
          <w:tcPr>
            <w:tcW w:type="dxa" w:w="362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A no-match means only absence from that snapshot.</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HIBP or XposedOrNot</w:t>
            </w:r>
          </w:p>
        </w:tc>
        <w:tc>
          <w:tcPr>
            <w:tcW w:type="dxa" w:w="396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Performs explicitly selected email-breach lookups under provider-specific access and consent.</w:t>
            </w:r>
          </w:p>
        </w:tc>
        <w:tc>
          <w:tcPr>
            <w:tcW w:type="dxa" w:w="362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7"/>
              </w:rPr>
              <w:t>Historical exposure does not mean the account is currently compromised.</w:t>
            </w:r>
          </w:p>
        </w:tc>
      </w:tr>
    </w:tbl>
    <w:p>
      <w:pPr>
        <w:spacing w:after="40"/>
      </w:pPr>
    </w:p>
    <w:p>
      <w:pPr>
        <w:keepLines w:val="0"/>
        <w:spacing w:before="0" w:after="140" w:line="360" w:lineRule="auto"/>
        <w:ind w:firstLine="0"/>
        <w:jc w:val="both"/>
      </w:pPr>
      <w:r>
        <w:rPr>
          <w:rFonts w:ascii="Times New Roman" w:hAnsi="Times New Roman"/>
          <w:color w:val="20242B"/>
          <w:sz w:val="24"/>
        </w:rPr>
        <w:t>NVD, CISA KEV, FIRST EPSS, and MITRE ATT&amp;CK provide distinct data models and should not be merged into a single unqualified verdict [7-10]. The application presents provenance and limitations alongside observations. A source outage leaves prior evidence unknown unless a later successful collection can support a meaningful comparison.</w:t>
      </w:r>
    </w:p>
    <w:p>
      <w:pPr>
        <w:pStyle w:val="Heading2"/>
        <w:keepNext/>
      </w:pPr>
      <w:r>
        <w:rPr>
          <w:rFonts w:ascii="Times New Roman" w:hAnsi="Times New Roman"/>
          <w:b/>
          <w:color w:val="20242B"/>
          <w:sz w:val="26"/>
        </w:rPr>
        <w:t>4.5 Evidence Graph, Change Radar, and Reports</w:t>
      </w:r>
    </w:p>
    <w:p>
      <w:pPr>
        <w:keepLines w:val="0"/>
        <w:spacing w:before="0" w:after="140" w:line="360" w:lineRule="auto"/>
        <w:ind w:firstLine="403"/>
        <w:jc w:val="both"/>
      </w:pPr>
      <w:r>
        <w:rPr>
          <w:rFonts w:ascii="Times New Roman" w:hAnsi="Times New Roman"/>
          <w:color w:val="20242B"/>
          <w:sz w:val="24"/>
        </w:rPr>
        <w:t>The evidence graph is built from stored assets, domains, IP addresses, certificates, software, CVEs, findings, investigations, incidents, and tasks. Each relationship stores a foreign key to supporting evidence, its source and collector, observation time, and whether it is direct evidence or contextual linkage. The graph is a projection from PostgreSQL data and is not a separate source of truth.</w:t>
      </w:r>
    </w:p>
    <w:p>
      <w:pPr>
        <w:keepLines w:val="0"/>
        <w:spacing w:before="0" w:after="140" w:line="360" w:lineRule="auto"/>
        <w:ind w:firstLine="403"/>
        <w:jc w:val="both"/>
      </w:pPr>
      <w:r>
        <w:rPr>
          <w:rFonts w:ascii="Times New Roman" w:hAnsi="Times New Roman"/>
          <w:color w:val="20242B"/>
          <w:sz w:val="24"/>
        </w:rPr>
        <w:t>Change Radar compares an investigation with a prior saved run and classifies relationships as new, changed, no longer observed, or unknown. A failed, partial, unavailable, not-applicable, or unrun collector cannot justify a removal classification. Reports store a point-in-time snapshot so later changes to a case or remediation plan do not silently rewrite an earlier report.</w:t>
      </w:r>
    </w:p>
    <w:p>
      <w:pPr>
        <w:pStyle w:val="Heading2"/>
        <w:keepNext/>
      </w:pPr>
      <w:r>
        <w:rPr>
          <w:rFonts w:ascii="Times New Roman" w:hAnsi="Times New Roman"/>
          <w:b/>
          <w:color w:val="20242B"/>
          <w:sz w:val="26"/>
        </w:rPr>
        <w:t>4.6 Verification and Observed Results</w:t>
      </w:r>
    </w:p>
    <w:p>
      <w:pPr>
        <w:keepLines w:val="0"/>
        <w:spacing w:before="0" w:after="140" w:line="360" w:lineRule="auto"/>
        <w:ind w:firstLine="403"/>
        <w:jc w:val="both"/>
      </w:pPr>
      <w:r>
        <w:rPr>
          <w:rFonts w:ascii="Times New Roman" w:hAnsi="Times New Roman"/>
          <w:color w:val="20242B"/>
          <w:sz w:val="24"/>
        </w:rPr>
        <w:t>The repository’s engineering record dated 26 October 2026 documents frontend TypeScript checks and a production build, a combined workflow and presentation suite with 78 passing tests in an isolated offline backend plus mocked-provider setup, and a separate real-backend smoke test with one passing test. The same record states that no live-provider test was run. These checks support the reported local workflow and interface behavior; they do not establish current external provider availability or public-production readiness.</w:t>
      </w:r>
    </w:p>
    <w:p>
      <w:pPr>
        <w:keepLines w:val="0"/>
        <w:spacing w:before="0" w:after="140" w:line="360" w:lineRule="auto"/>
        <w:ind w:firstLine="403"/>
        <w:jc w:val="both"/>
      </w:pPr>
      <w:r>
        <w:rPr>
          <w:rFonts w:ascii="Times New Roman" w:hAnsi="Times New Roman"/>
          <w:color w:val="20242B"/>
          <w:sz w:val="24"/>
        </w:rPr>
        <w:t>The verification record also documents role and workflow coverage, responsive views, keyboard/accessibility checks, reports, monitoring, integrity, integrations, and persistence across a full-service restart in earlier isolated runs. The report does not claim these historical checks were rerun during report creation. A reviewer can reproduce the application workflow locally with the project Compose instructions and inspect the health endpoints.</w:t>
      </w:r>
    </w:p>
    <w:p>
      <w:pPr>
        <w:keepNext/>
        <w:spacing w:before="60" w:after="140"/>
        <w:jc w:val="center"/>
      </w:pPr>
      <w:r>
        <w:rPr>
          <w:rFonts w:ascii="Times New Roman" w:hAnsi="Times New Roman"/>
          <w:i/>
          <w:color w:val="596579"/>
          <w:sz w:val="20"/>
        </w:rPr>
        <w:t>Table 4.3. Documented verification evidence</w:t>
      </w:r>
    </w:p>
    <w:tbl>
      <w:tblPr>
        <w:tblStyle w:val="TableGrid"/>
        <w:tblW w:type="auto" w:w="0"/>
        <w:tblLayout w:type="fixed"/>
        <w:tblLook w:firstColumn="1" w:firstRow="1" w:lastColumn="0" w:lastRow="0" w:noHBand="0" w:noVBand="1" w:val="04A0"/>
      </w:tblPr>
      <w:tblGrid>
        <w:gridCol w:w="2938"/>
        <w:gridCol w:w="2938"/>
        <w:gridCol w:w="2938"/>
      </w:tblGrid>
      <w:tr>
        <w:trPr>
          <w:tblHeader w:val="true"/>
          <w:cantSplit/>
        </w:trPr>
        <w:tc>
          <w:tcPr>
            <w:tcW w:type="dxa" w:w="295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Verification item</w:t>
            </w:r>
          </w:p>
        </w:tc>
        <w:tc>
          <w:tcPr>
            <w:tcW w:type="dxa" w:w="2376"/>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Recorded result</w:t>
            </w:r>
          </w:p>
        </w:tc>
        <w:tc>
          <w:tcPr>
            <w:tcW w:type="dxa" w:w="4493"/>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Scope</w:t>
            </w:r>
          </w:p>
        </w:tc>
      </w:tr>
      <w:tr>
        <w:trPr>
          <w:cantSplit/>
        </w:trPr>
        <w:tc>
          <w:tcPr>
            <w:tcW w:type="dxa" w:w="295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Frontend TypeScript and production build</w:t>
            </w:r>
          </w:p>
        </w:tc>
        <w:tc>
          <w:tcPr>
            <w:tcW w:type="dxa" w:w="2376"/>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Passed in the 26 Oct 2026 UI review.</w:t>
            </w:r>
          </w:p>
        </w:tc>
        <w:tc>
          <w:tcPr>
            <w:tcW w:type="dxa" w:w="449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Application and Playwright TypeScript; frontend bundle.</w:t>
            </w:r>
          </w:p>
        </w:tc>
      </w:tr>
      <w:tr>
        <w:trPr>
          <w:cantSplit/>
        </w:trPr>
        <w:tc>
          <w:tcPr>
            <w:tcW w:type="dxa" w:w="295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Offline workflow and mocked presentation suite</w:t>
            </w:r>
          </w:p>
        </w:tc>
        <w:tc>
          <w:tcPr>
            <w:tcW w:type="dxa" w:w="2376"/>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78 passed in 5.2 minutes.</w:t>
            </w:r>
          </w:p>
        </w:tc>
        <w:tc>
          <w:tcPr>
            <w:tcW w:type="dxa" w:w="449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Isolated offline backend workflows and mocked UI/provider cases.</w:t>
            </w:r>
          </w:p>
        </w:tc>
      </w:tr>
      <w:tr>
        <w:trPr>
          <w:cantSplit/>
        </w:trPr>
        <w:tc>
          <w:tcPr>
            <w:tcW w:type="dxa" w:w="295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Real-backend smoke test</w:t>
            </w:r>
          </w:p>
        </w:tc>
        <w:tc>
          <w:tcPr>
            <w:tcW w:type="dxa" w:w="2376"/>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1 passed in 7.6 seconds.</w:t>
            </w:r>
          </w:p>
        </w:tc>
        <w:tc>
          <w:tcPr>
            <w:tcW w:type="dxa" w:w="4493"/>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Isolated local backend login and dashboard; not a live provider check.</w:t>
            </w:r>
          </w:p>
        </w:tc>
      </w:tr>
      <w:tr>
        <w:trPr>
          <w:cantSplit/>
        </w:trPr>
        <w:tc>
          <w:tcPr>
            <w:tcW w:type="dxa" w:w="295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Live provider validation</w:t>
            </w:r>
          </w:p>
        </w:tc>
        <w:tc>
          <w:tcPr>
            <w:tcW w:type="dxa" w:w="2376"/>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Not run in the cited review.</w:t>
            </w:r>
          </w:p>
        </w:tc>
        <w:tc>
          <w:tcPr>
            <w:tcW w:type="dxa" w:w="4493"/>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External provider behavior remains environment-dependent.</w:t>
            </w:r>
          </w:p>
        </w:tc>
      </w:tr>
    </w:tbl>
    <w:p>
      <w:pPr>
        <w:spacing w:after="40"/>
      </w:pPr>
    </w:p>
    <w:p>
      <w:pPr>
        <w:pStyle w:val="Heading2"/>
        <w:keepNext/>
      </w:pPr>
      <w:r>
        <w:rPr>
          <w:rFonts w:ascii="Times New Roman" w:hAnsi="Times New Roman"/>
          <w:b/>
          <w:color w:val="20242B"/>
          <w:sz w:val="26"/>
        </w:rPr>
        <w:t>4.7 Limitations</w:t>
      </w:r>
    </w:p>
    <w:p>
      <w:pPr>
        <w:keepLines w:val="0"/>
        <w:spacing w:before="0" w:after="140" w:line="360" w:lineRule="auto"/>
        <w:ind w:firstLine="403"/>
        <w:jc w:val="both"/>
      </w:pPr>
      <w:r>
        <w:rPr>
          <w:rFonts w:ascii="Times New Roman" w:hAnsi="Times New Roman"/>
          <w:color w:val="20242B"/>
          <w:sz w:val="24"/>
        </w:rPr>
        <w:t>Live results depend on network access, provider terms, account tier, API quota, freshness, and source quality. Some integrations are optional or disabled by default. A provider response is an observation from that provider and not a complete security assessment.</w:t>
      </w:r>
    </w:p>
    <w:p>
      <w:pPr>
        <w:keepLines w:val="0"/>
        <w:spacing w:before="0" w:after="140" w:line="360" w:lineRule="auto"/>
        <w:ind w:firstLine="403"/>
        <w:jc w:val="both"/>
      </w:pPr>
      <w:r>
        <w:rPr>
          <w:rFonts w:ascii="Times New Roman" w:hAnsi="Times New Roman"/>
          <w:color w:val="20242B"/>
          <w:sz w:val="24"/>
        </w:rPr>
        <w:t>The risk method is deterministic and explainable but is not calibrated against a labeled dataset of real incidents. The evidence checksum detects later byte changes but is not proof of forensic authenticity. The website collector performs a bounded observation rather than a comprehensive scan. OSV checks only explicitly inventoried package names and versions. Live and Demo each use a local single-workspace profile, and the current Compose deployment is not intended to be exposed publicly.</w:t>
      </w:r>
    </w:p>
    <w:p>
      <w:pPr>
        <w:keepLines w:val="0"/>
        <w:spacing w:before="0" w:after="140" w:line="360" w:lineRule="auto"/>
        <w:ind w:firstLine="403"/>
        <w:jc w:val="both"/>
      </w:pPr>
      <w:r>
        <w:rPr>
          <w:rFonts w:ascii="Times New Roman" w:hAnsi="Times New Roman"/>
          <w:color w:val="20242B"/>
          <w:sz w:val="24"/>
        </w:rPr>
        <w:t>The optional evidence-grounded AI briefing is disabled in the current project configuration. CyberLens does not send evidence or analyst notes to an external AI service. Automatic remediation, containment, and external notifications are outside the project scope.</w:t>
      </w:r>
    </w:p>
    <w:p>
      <w:r>
        <w:br w:type="page"/>
      </w:r>
    </w:p>
    <w:p>
      <w:pPr>
        <w:keepNext/>
        <w:spacing w:before="0" w:after="60"/>
        <w:jc w:val="center"/>
      </w:pPr>
      <w:r>
        <w:rPr>
          <w:rFonts w:ascii="Times New Roman" w:hAnsi="Times New Roman"/>
          <w:b/>
          <w:color w:val="13284B"/>
          <w:sz w:val="30"/>
        </w:rPr>
        <w:t>CHAPTER 5</w:t>
      </w:r>
    </w:p>
    <w:p>
      <w:pPr>
        <w:keepNext/>
        <w:spacing w:after="440"/>
        <w:jc w:val="center"/>
      </w:pPr>
      <w:r>
        <w:rPr>
          <w:rFonts w:ascii="Times New Roman" w:hAnsi="Times New Roman"/>
          <w:b/>
          <w:color w:val="20242B"/>
          <w:sz w:val="30"/>
        </w:rPr>
        <w:t>CONCLUSION AND FUTURE WORK</w:t>
      </w:r>
    </w:p>
    <w:p>
      <w:pPr>
        <w:pStyle w:val="Heading2"/>
        <w:keepNext/>
      </w:pPr>
      <w:r>
        <w:rPr>
          <w:rFonts w:ascii="Times New Roman" w:hAnsi="Times New Roman"/>
          <w:b/>
          <w:color w:val="20242B"/>
          <w:sz w:val="26"/>
        </w:rPr>
        <w:t>5.1 Conclusion</w:t>
      </w:r>
    </w:p>
    <w:p>
      <w:pPr>
        <w:keepLines w:val="0"/>
        <w:spacing w:before="0" w:after="140" w:line="360" w:lineRule="auto"/>
        <w:ind w:firstLine="403"/>
        <w:jc w:val="both"/>
      </w:pPr>
      <w:r>
        <w:rPr>
          <w:rFonts w:ascii="Times New Roman" w:hAnsi="Times New Roman"/>
          <w:color w:val="20242B"/>
          <w:sz w:val="24"/>
        </w:rPr>
        <w:t>CyberLens implements a local analyst workspace that connects asset inventory, background investigations, provider observations, evidence snapshots, findings, risk revisions, incident records, remediation tracking, and saved reports. Its architecture separates the browser interface from the API and long-running collection work. PostgreSQL preserves durable records, while the transactional outbox, dispatcher, Redis/RQ queue, and worker support reliable asynchronous processing.</w:t>
      </w:r>
    </w:p>
    <w:p>
      <w:pPr>
        <w:keepLines w:val="0"/>
        <w:spacing w:before="0" w:after="140" w:line="360" w:lineRule="auto"/>
        <w:ind w:firstLine="403"/>
        <w:jc w:val="both"/>
      </w:pPr>
      <w:r>
        <w:rPr>
          <w:rFonts w:ascii="Times New Roman" w:hAnsi="Times New Roman"/>
          <w:color w:val="20242B"/>
          <w:sz w:val="24"/>
        </w:rPr>
        <w:t>The project emphasizes traceability and careful interpretation. Each finding can be reviewed against its evidence. Vulnerability applicability remains an analyst decision. Provider gaps are visible as unknown or partial coverage. Reports preserve the state captured when they were generated. These design choices help reduce overstatement and make the analyst’s reasoning easier to inspect.</w:t>
      </w:r>
    </w:p>
    <w:p>
      <w:pPr>
        <w:keepLines w:val="0"/>
        <w:spacing w:before="0" w:after="140" w:line="360" w:lineRule="auto"/>
        <w:ind w:firstLine="403"/>
        <w:jc w:val="both"/>
      </w:pPr>
      <w:r>
        <w:rPr>
          <w:rFonts w:ascii="Times New Roman" w:hAnsi="Times New Roman"/>
          <w:color w:val="20242B"/>
          <w:sz w:val="24"/>
        </w:rPr>
        <w:t>The project provides a Live mode that can use real sources when configured, and a separate offline Demo mode for repeatable synthetic workflows. The implementation is suitable for local demonstration and academic evaluation. Further operational hardening and live-provider testing would be required before any internet-facing deployment.</w:t>
      </w:r>
    </w:p>
    <w:p>
      <w:pPr>
        <w:pStyle w:val="Heading2"/>
        <w:keepNext/>
      </w:pPr>
      <w:r>
        <w:rPr>
          <w:rFonts w:ascii="Times New Roman" w:hAnsi="Times New Roman"/>
          <w:b/>
          <w:color w:val="20242B"/>
          <w:sz w:val="26"/>
        </w:rPr>
        <w:t>5.2 Future Work</w:t>
      </w:r>
    </w:p>
    <w:p>
      <w:pPr>
        <w:keepLines w:val="0"/>
        <w:spacing w:before="0" w:after="140" w:line="360" w:lineRule="auto"/>
        <w:ind w:firstLine="403"/>
        <w:jc w:val="both"/>
      </w:pPr>
      <w:r>
        <w:rPr>
          <w:rFonts w:ascii="Times New Roman" w:hAnsi="Times New Roman"/>
          <w:color w:val="20242B"/>
          <w:sz w:val="24"/>
        </w:rPr>
        <w:t>Future work can improve both evaluation and deployment. The prioritization method could be calibrated and validated against a clearly defined incident or vulnerability outcome dataset. Additional integration tests could exercise external providers in a controlled account, with explicit quotas and reproducible fixtures.</w:t>
      </w:r>
    </w:p>
    <w:p>
      <w:pPr>
        <w:keepLines w:val="0"/>
        <w:spacing w:before="0" w:after="140" w:line="360" w:lineRule="auto"/>
        <w:ind w:firstLine="403"/>
        <w:jc w:val="both"/>
      </w:pPr>
      <w:r>
        <w:rPr>
          <w:rFonts w:ascii="Times New Roman" w:hAnsi="Times New Roman"/>
          <w:color w:val="20242B"/>
          <w:sz w:val="24"/>
        </w:rPr>
        <w:t>A hardened deployment profile could add managed secrets, TLS certificate lifecycle, network segmentation, centralized backups, monitoring, disaster recovery, and multi-workspace isolation. The current application is a single-workspace local service, so tenant boundaries and operational controls would need careful design before shared deployment.</w:t>
      </w:r>
    </w:p>
    <w:p>
      <w:pPr>
        <w:keepLines w:val="0"/>
        <w:spacing w:before="0" w:after="140" w:line="360" w:lineRule="auto"/>
        <w:ind w:firstLine="403"/>
        <w:jc w:val="both"/>
      </w:pPr>
      <w:r>
        <w:rPr>
          <w:rFonts w:ascii="Times New Roman" w:hAnsi="Times New Roman"/>
          <w:color w:val="20242B"/>
          <w:sz w:val="24"/>
        </w:rPr>
        <w:t>Other extensions include broader package ecosystem coverage, standardized import and export formats, richer evidence retention controls, additional role workflows, and improved source freshness diagnostics. Any automated response capability should require explicit policy, authorization, auditability, and human approval rather than being inferred from a finding.</w:t>
      </w:r>
    </w:p>
    <w:p>
      <w:pPr>
        <w:keepNext/>
        <w:spacing w:before="60" w:after="140"/>
        <w:jc w:val="center"/>
      </w:pPr>
      <w:r>
        <w:rPr>
          <w:rFonts w:ascii="Times New Roman" w:hAnsi="Times New Roman"/>
          <w:i/>
          <w:color w:val="596579"/>
          <w:sz w:val="20"/>
        </w:rPr>
        <w:t>Table 4.4. Limitations and proposed extensions</w:t>
      </w:r>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4320"/>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Current limitation</w:t>
            </w:r>
          </w:p>
        </w:tc>
        <w:tc>
          <w:tcPr>
            <w:tcW w:type="dxa" w:w="5501"/>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Possible future work</w:t>
            </w:r>
          </w:p>
        </w:tc>
      </w:tr>
      <w:tr>
        <w:trPr>
          <w:cantSplit/>
        </w:trPr>
        <w:tc>
          <w:tcPr>
            <w:tcW w:type="dxa" w:w="432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Academic score is not calibrated to outcomes.</w:t>
            </w:r>
          </w:p>
        </w:tc>
        <w:tc>
          <w:tcPr>
            <w:tcW w:type="dxa" w:w="5501"/>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Develop a documented validation dataset and evaluate calibration and usefulness.</w:t>
            </w:r>
          </w:p>
        </w:tc>
      </w:tr>
      <w:tr>
        <w:trPr>
          <w:cantSplit/>
        </w:trPr>
        <w:tc>
          <w:tcPr>
            <w:tcW w:type="dxa" w:w="432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Live providers were not exercised in the cited UI verification.</w:t>
            </w:r>
          </w:p>
        </w:tc>
        <w:tc>
          <w:tcPr>
            <w:tcW w:type="dxa" w:w="5501"/>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Add controlled provider integration checks with quotas and consent.</w:t>
            </w:r>
          </w:p>
        </w:tc>
      </w:tr>
      <w:tr>
        <w:trPr>
          <w:cantSplit/>
        </w:trPr>
        <w:tc>
          <w:tcPr>
            <w:tcW w:type="dxa" w:w="432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Local single-workspace deployment.</w:t>
            </w:r>
          </w:p>
        </w:tc>
        <w:tc>
          <w:tcPr>
            <w:tcW w:type="dxa" w:w="5501"/>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Design and review tenant isolation, managed secrets, backups, and monitoring.</w:t>
            </w:r>
          </w:p>
        </w:tc>
      </w:tr>
      <w:tr>
        <w:trPr>
          <w:cantSplit/>
        </w:trPr>
        <w:tc>
          <w:tcPr>
            <w:tcW w:type="dxa" w:w="4320"/>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Package checks require explicit inventory.</w:t>
            </w:r>
          </w:p>
        </w:tc>
        <w:tc>
          <w:tcPr>
            <w:tcW w:type="dxa" w:w="5501"/>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Add authorized inventory import and additional package ecosystems.</w:t>
            </w:r>
          </w:p>
        </w:tc>
      </w:tr>
      <w:tr>
        <w:trPr>
          <w:cantSplit/>
        </w:trPr>
        <w:tc>
          <w:tcPr>
            <w:tcW w:type="dxa" w:w="4320"/>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No automated containment or remediation.</w:t>
            </w:r>
          </w:p>
        </w:tc>
        <w:tc>
          <w:tcPr>
            <w:tcW w:type="dxa" w:w="5501"/>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If added, require bounded policies, approval, audit, and rollback.</w:t>
            </w:r>
          </w:p>
        </w:tc>
      </w:tr>
    </w:tbl>
    <w:p>
      <w:pPr>
        <w:spacing w:after="40"/>
      </w:pPr>
    </w:p>
    <w:p>
      <w:r>
        <w:br w:type="page"/>
      </w:r>
    </w:p>
    <w:p>
      <w:pPr>
        <w:keepNext/>
        <w:spacing w:after="400"/>
        <w:jc w:val="center"/>
      </w:pPr>
      <w:r>
        <w:rPr>
          <w:rFonts w:ascii="Times New Roman" w:hAnsi="Times New Roman"/>
          <w:b/>
          <w:color w:val="13284B"/>
          <w:sz w:val="30"/>
        </w:rPr>
        <w:t>REFERENCES</w:t>
      </w:r>
    </w:p>
    <w:p>
      <w:pPr>
        <w:spacing w:after="140" w:line="276" w:lineRule="auto"/>
        <w:ind w:left="432" w:hanging="432"/>
        <w:jc w:val="left"/>
      </w:pPr>
      <w:r>
        <w:rPr>
          <w:rFonts w:ascii="Times New Roman" w:hAnsi="Times New Roman"/>
          <w:color w:val="20242B"/>
          <w:sz w:val="20"/>
        </w:rPr>
        <w:t>[1] React Team, “Quick Start,” React Documentation. Available: https://react.dev/learn. Accessed 29 Oct. 2026.</w:t>
      </w:r>
    </w:p>
    <w:p>
      <w:pPr>
        <w:spacing w:after="140" w:line="276" w:lineRule="auto"/>
        <w:ind w:left="432" w:hanging="432"/>
        <w:jc w:val="left"/>
      </w:pPr>
      <w:r>
        <w:rPr>
          <w:rFonts w:ascii="Times New Roman" w:hAnsi="Times New Roman"/>
          <w:color w:val="20242B"/>
          <w:sz w:val="20"/>
        </w:rPr>
        <w:t>[2] FastAPI, “FastAPI Documentation.” Available: https://fastapi.tiangolo.com/. Accessed 29 Oct. 2026.</w:t>
      </w:r>
    </w:p>
    <w:p>
      <w:pPr>
        <w:spacing w:after="140" w:line="276" w:lineRule="auto"/>
        <w:ind w:left="432" w:hanging="432"/>
        <w:jc w:val="left"/>
      </w:pPr>
      <w:r>
        <w:rPr>
          <w:rFonts w:ascii="Times New Roman" w:hAnsi="Times New Roman"/>
          <w:color w:val="20242B"/>
          <w:sz w:val="20"/>
        </w:rPr>
        <w:t>[3] PostgreSQL Global Development Group, “PostgreSQL 16 Documentation.” Available: https://www.postgresql.org/docs/16/. Accessed 29 Oct. 2026.</w:t>
      </w:r>
    </w:p>
    <w:p>
      <w:pPr>
        <w:spacing w:after="140" w:line="276" w:lineRule="auto"/>
        <w:ind w:left="432" w:hanging="432"/>
        <w:jc w:val="left"/>
      </w:pPr>
      <w:r>
        <w:rPr>
          <w:rFonts w:ascii="Times New Roman" w:hAnsi="Times New Roman"/>
          <w:color w:val="20242B"/>
          <w:sz w:val="20"/>
        </w:rPr>
        <w:t>[4] Redis, “Redis Job Queue,” Redis Documentation. Available: https://redis.io/docs/latest/develop/use-cases/job-queue/. Accessed 29 Oct. 2026.</w:t>
      </w:r>
    </w:p>
    <w:p>
      <w:pPr>
        <w:spacing w:after="140" w:line="276" w:lineRule="auto"/>
        <w:ind w:left="432" w:hanging="432"/>
        <w:jc w:val="left"/>
      </w:pPr>
      <w:r>
        <w:rPr>
          <w:rFonts w:ascii="Times New Roman" w:hAnsi="Times New Roman"/>
          <w:color w:val="20242B"/>
          <w:sz w:val="20"/>
        </w:rPr>
        <w:t>[5] Python RQ, “Documentation Overview.” Available: https://python-rq.org/docs/. Accessed 29 Oct. 2026.</w:t>
      </w:r>
    </w:p>
    <w:p>
      <w:pPr>
        <w:spacing w:after="140" w:line="276" w:lineRule="auto"/>
        <w:ind w:left="432" w:hanging="432"/>
        <w:jc w:val="left"/>
      </w:pPr>
      <w:r>
        <w:rPr>
          <w:rFonts w:ascii="Times New Roman" w:hAnsi="Times New Roman"/>
          <w:color w:val="20242B"/>
          <w:sz w:val="20"/>
        </w:rPr>
        <w:t>[6] Docker, “Docker Compose.” Available: https://docs.docker.com/compose/. Accessed 29 Oct. 2026.</w:t>
      </w:r>
    </w:p>
    <w:p>
      <w:pPr>
        <w:spacing w:after="140" w:line="276" w:lineRule="auto"/>
        <w:ind w:left="432" w:hanging="432"/>
        <w:jc w:val="left"/>
      </w:pPr>
      <w:r>
        <w:rPr>
          <w:rFonts w:ascii="Times New Roman" w:hAnsi="Times New Roman"/>
          <w:color w:val="20242B"/>
          <w:sz w:val="20"/>
        </w:rPr>
        <w:t>[7] National Institute of Standards and Technology, “NVD API: Vulnerabilities.” Available: https://nvd.nist.gov/developers/vulnerabilities. Accessed 29 Oct. 2026.</w:t>
      </w:r>
    </w:p>
    <w:p>
      <w:pPr>
        <w:spacing w:after="140" w:line="276" w:lineRule="auto"/>
        <w:ind w:left="432" w:hanging="432"/>
        <w:jc w:val="left"/>
      </w:pPr>
      <w:r>
        <w:rPr>
          <w:rFonts w:ascii="Times New Roman" w:hAnsi="Times New Roman"/>
          <w:color w:val="20242B"/>
          <w:sz w:val="20"/>
        </w:rPr>
        <w:t>[8] Cybersecurity and Infrastructure Security Agency, “Known Exploited Vulnerabilities Catalog.” Available: https://www.cisa.gov/known-exploited-vulnerabilities-catalog. Accessed 29 Oct. 2026.</w:t>
      </w:r>
    </w:p>
    <w:p>
      <w:pPr>
        <w:spacing w:after="140" w:line="276" w:lineRule="auto"/>
        <w:ind w:left="432" w:hanging="432"/>
        <w:jc w:val="left"/>
      </w:pPr>
      <w:r>
        <w:rPr>
          <w:rFonts w:ascii="Times New Roman" w:hAnsi="Times New Roman"/>
          <w:color w:val="20242B"/>
          <w:sz w:val="20"/>
        </w:rPr>
        <w:t>[9] FIRST, “Exploit Prediction Scoring System (EPSS).” Available: https://www.first.org/epss/. Accessed 29 Oct. 2026.</w:t>
      </w:r>
    </w:p>
    <w:p>
      <w:pPr>
        <w:spacing w:after="140" w:line="276" w:lineRule="auto"/>
        <w:ind w:left="432" w:hanging="432"/>
        <w:jc w:val="left"/>
      </w:pPr>
      <w:r>
        <w:rPr>
          <w:rFonts w:ascii="Times New Roman" w:hAnsi="Times New Roman"/>
          <w:color w:val="20242B"/>
          <w:sz w:val="20"/>
        </w:rPr>
        <w:t>[10] MITRE, “ATT&amp;CK STIX Data.” Available: https://github.com/mitre-attack/attack-stix-data. Accessed 29 Oct. 2026.</w:t>
      </w:r>
    </w:p>
    <w:p>
      <w:pPr>
        <w:spacing w:after="140" w:line="276" w:lineRule="auto"/>
        <w:ind w:left="432" w:hanging="432"/>
        <w:jc w:val="left"/>
      </w:pPr>
      <w:r>
        <w:rPr>
          <w:rFonts w:ascii="Times New Roman" w:hAnsi="Times New Roman"/>
          <w:color w:val="20242B"/>
          <w:sz w:val="20"/>
        </w:rPr>
        <w:t>[11] Have I Been Pwned, “API Documentation: Pwned Passwords and Breach Search.” Available: https://haveibeenpwned.com/API/v3. Accessed 29 Oct. 2026.</w:t>
      </w:r>
    </w:p>
    <w:p>
      <w:pPr>
        <w:spacing w:after="140" w:line="276" w:lineRule="auto"/>
        <w:ind w:left="432" w:hanging="432"/>
        <w:jc w:val="left"/>
      </w:pPr>
      <w:r>
        <w:rPr>
          <w:rFonts w:ascii="Times New Roman" w:hAnsi="Times New Roman"/>
          <w:color w:val="20242B"/>
          <w:sz w:val="20"/>
        </w:rPr>
        <w:t>[12] OWASP Foundation, “Server Side Request Forgery Prevention Cheat Sheet.” Available: https://cheatsheetseries.owasp.org/cheatsheets/Server_Side_Request_Forgery_Prevention_Cheat_Sheet.html. Accessed 29 Oct. 2026.</w:t>
      </w:r>
    </w:p>
    <w:p>
      <w:r>
        <w:br w:type="page"/>
      </w:r>
    </w:p>
    <w:p>
      <w:pPr>
        <w:keepNext/>
        <w:spacing w:after="400"/>
        <w:jc w:val="center"/>
      </w:pPr>
      <w:r>
        <w:rPr>
          <w:rFonts w:ascii="Times New Roman" w:hAnsi="Times New Roman"/>
          <w:b/>
          <w:color w:val="13284B"/>
          <w:sz w:val="30"/>
        </w:rPr>
        <w:t>APPENDIX A  API RESOURCE SUMMARY</w:t>
      </w:r>
    </w:p>
    <w:p>
      <w:pPr>
        <w:keepLines w:val="0"/>
        <w:spacing w:before="0" w:after="140" w:line="360" w:lineRule="auto"/>
        <w:ind w:firstLine="0"/>
        <w:jc w:val="both"/>
      </w:pPr>
      <w:r>
        <w:rPr>
          <w:rFonts w:ascii="Times New Roman" w:hAnsi="Times New Roman"/>
          <w:color w:val="20242B"/>
          <w:sz w:val="24"/>
        </w:rPr>
        <w:t>The HTTP API is organized under /api/v1. The following resource groups summarize the workspace interface. The interactive OpenAPI reference is served at /docs when the local application is running.</w:t>
      </w:r>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223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Resource group</w:t>
            </w:r>
          </w:p>
        </w:tc>
        <w:tc>
          <w:tcPr>
            <w:tcW w:type="dxa" w:w="7589"/>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8"/>
              </w:rPr>
              <w:t>Representative operations</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Authentication</w:t>
            </w:r>
          </w:p>
        </w:tc>
        <w:tc>
          <w:tcPr>
            <w:tcW w:type="dxa" w:w="75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CSRF token, sign in, current user, sign out, password change.</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Assets</w:t>
            </w:r>
          </w:p>
        </w:tc>
        <w:tc>
          <w:tcPr>
            <w:tcW w:type="dxa" w:w="75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read, update, authorize, and manage components for inventoried assets.</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Investigations</w:t>
            </w:r>
          </w:p>
        </w:tc>
        <w:tc>
          <w:tcPr>
            <w:tcW w:type="dxa" w:w="75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list, inspect, retry, compare, inspect evidence graph and changes.</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Findings</w:t>
            </w:r>
          </w:p>
        </w:tc>
        <w:tc>
          <w:tcPr>
            <w:tcW w:type="dxa" w:w="75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Inspect candidate findings and record applicability decisions.</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Incidents</w:t>
            </w:r>
          </w:p>
        </w:tc>
        <w:tc>
          <w:tcPr>
            <w:tcW w:type="dxa" w:w="75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and update cases, add timeline events, complete playbook tasks.</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Reports</w:t>
            </w:r>
          </w:p>
        </w:tc>
        <w:tc>
          <w:tcPr>
            <w:tcW w:type="dxa" w:w="75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retrieve, and download PDF or JSON snapshots.</w:t>
            </w:r>
          </w:p>
        </w:tc>
      </w:tr>
      <w:tr>
        <w:trPr>
          <w:cantSplit/>
        </w:trPr>
        <w:tc>
          <w:tcPr>
            <w:tcW w:type="dxa" w:w="223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Remediation</w:t>
            </w:r>
          </w:p>
        </w:tc>
        <w:tc>
          <w:tcPr>
            <w:tcW w:type="dxa" w:w="758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Create plans and actions; map findings to controls with rationale.</w:t>
            </w:r>
          </w:p>
        </w:tc>
      </w:tr>
      <w:tr>
        <w:trPr>
          <w:cantSplit/>
        </w:trPr>
        <w:tc>
          <w:tcPr>
            <w:tcW w:type="dxa" w:w="223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Integrity and operations</w:t>
            </w:r>
          </w:p>
        </w:tc>
        <w:tc>
          <w:tcPr>
            <w:tcW w:type="dxa" w:w="758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8"/>
              </w:rPr>
              <w:t>Check audit/evidence integrity, liveness, readiness, and metrics.</w:t>
            </w:r>
          </w:p>
        </w:tc>
      </w:tr>
    </w:tbl>
    <w:p>
      <w:pPr>
        <w:spacing w:after="40"/>
      </w:pPr>
    </w:p>
    <w:p>
      <w:pPr>
        <w:keepLines w:val="0"/>
        <w:spacing w:before="0" w:after="140" w:line="360" w:lineRule="auto"/>
        <w:ind w:firstLine="0"/>
        <w:jc w:val="both"/>
      </w:pPr>
      <w:r>
        <w:rPr>
          <w:rFonts w:ascii="Times New Roman" w:hAnsi="Times New Roman"/>
          <w:color w:val="20242B"/>
          <w:sz w:val="24"/>
        </w:rPr>
        <w:t>Mutating requests require the normal authenticated session and CSRF protection. Admin-only actions include user administration, catalog synchronization, and selected provider-feed refreshes. The API enforces roles on the server; hiding a control in the interface is not treated as an authorization boundary.</w:t>
      </w:r>
    </w:p>
    <w:p>
      <w:r>
        <w:br w:type="page"/>
      </w:r>
    </w:p>
    <w:p>
      <w:pPr>
        <w:keepNext/>
        <w:spacing w:after="400"/>
        <w:jc w:val="center"/>
      </w:pPr>
      <w:r>
        <w:rPr>
          <w:rFonts w:ascii="Times New Roman" w:hAnsi="Times New Roman"/>
          <w:b/>
          <w:color w:val="13284B"/>
          <w:sz w:val="30"/>
        </w:rPr>
        <w:t>APPENDIX B  LOCAL RUN AND SHOWCASE NOTES</w:t>
      </w:r>
    </w:p>
    <w:p>
      <w:pPr>
        <w:keepLines w:val="0"/>
        <w:spacing w:before="0" w:after="140" w:line="360" w:lineRule="auto"/>
        <w:ind w:firstLine="0"/>
        <w:jc w:val="both"/>
      </w:pPr>
      <w:r>
        <w:rPr>
          <w:rFonts w:ascii="Times New Roman" w:hAnsi="Times New Roman"/>
          <w:color w:val="20242B"/>
          <w:sz w:val="24"/>
        </w:rPr>
        <w:t>The default local Compose project runs Live mode. Docker Desktop must be running before starting the stack. The gateway is bound to loopback on port 8443; the API, worker, dispatcher, PostgreSQL, and Redis are not published directly to the host.</w:t>
      </w:r>
    </w:p>
    <w:p>
      <w:pPr>
        <w:keepNext/>
        <w:spacing w:before="60" w:after="140"/>
        <w:jc w:val="center"/>
      </w:pPr>
      <w:r>
        <w:rPr>
          <w:rFonts w:ascii="Times New Roman" w:hAnsi="Times New Roman"/>
          <w:i/>
          <w:color w:val="596579"/>
          <w:sz w:val="20"/>
        </w:rPr>
        <w:t>Table B.1. Local service startup</w:t>
      </w:r>
    </w:p>
    <w:tbl>
      <w:tblPr>
        <w:tblStyle w:val="TableGrid"/>
        <w:tblW w:type="auto" w:w="0"/>
        <w:tblLayout w:type="fixed"/>
        <w:tblLook w:firstColumn="1" w:firstRow="1" w:lastColumn="0" w:lastRow="0" w:noHBand="0" w:noVBand="1" w:val="04A0"/>
      </w:tblPr>
      <w:tblGrid>
        <w:gridCol w:w="4406"/>
        <w:gridCol w:w="4406"/>
      </w:tblGrid>
      <w:tr>
        <w:trPr>
          <w:tblHeader w:val="true"/>
          <w:cantSplit/>
        </w:trPr>
        <w:tc>
          <w:tcPr>
            <w:tcW w:type="dxa" w:w="3672"/>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9"/>
              </w:rPr>
              <w:t>Task</w:t>
            </w:r>
          </w:p>
        </w:tc>
        <w:tc>
          <w:tcPr>
            <w:tcW w:type="dxa" w:w="6149"/>
            <w:vAlign w:val="center"/>
            <w:shd w:fill="13284B"/>
            <w:tcBorders>
              <w:top w:val="single" w:sz="6" w:color="13284B"/>
              <w:left w:val="single" w:sz="6" w:color="13284B"/>
              <w:bottom w:val="single" w:sz="6" w:color="13284B"/>
              <w:right w:val="single" w:sz="6" w:color="13284B"/>
              <w:insideH w:val="single" w:sz="6" w:color="13284B"/>
              <w:insideV w:val="single" w:sz="6" w:color="13284B"/>
            </w:tcBorders>
          </w:tcPr>
          <w:p>
            <w:pPr>
              <w:spacing w:after="40" w:before="40" w:line="240" w:lineRule="auto"/>
              <w:jc w:val="left"/>
            </w:pPr>
            <w:r>
              <w:rPr>
                <w:rFonts w:ascii="Times New Roman" w:hAnsi="Times New Roman"/>
                <w:b/>
                <w:color w:val="FFFFFF"/>
                <w:sz w:val="19"/>
              </w:rPr>
              <w:t>PowerShell command</w:t>
            </w:r>
          </w:p>
        </w:tc>
      </w:tr>
      <w:tr>
        <w:trPr>
          <w:cantSplit/>
        </w:trPr>
        <w:tc>
          <w:tcPr>
            <w:tcW w:type="dxa" w:w="36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Start the existing Live stack</w:t>
            </w:r>
          </w:p>
        </w:tc>
        <w:tc>
          <w:tcPr>
            <w:tcW w:type="dxa" w:w="614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docker compose up -d</w:t>
            </w:r>
          </w:p>
        </w:tc>
      </w:tr>
      <w:tr>
        <w:trPr>
          <w:cantSplit/>
        </w:trPr>
        <w:tc>
          <w:tcPr>
            <w:tcW w:type="dxa" w:w="36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Rebuild and start after source changes</w:t>
            </w:r>
          </w:p>
        </w:tc>
        <w:tc>
          <w:tcPr>
            <w:tcW w:type="dxa" w:w="614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docker compose up --build -d</w:t>
            </w:r>
          </w:p>
        </w:tc>
      </w:tr>
      <w:tr>
        <w:trPr>
          <w:cantSplit/>
        </w:trPr>
        <w:tc>
          <w:tcPr>
            <w:tcW w:type="dxa" w:w="36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Check service status</w:t>
            </w:r>
          </w:p>
        </w:tc>
        <w:tc>
          <w:tcPr>
            <w:tcW w:type="dxa" w:w="614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docker compose ps</w:t>
            </w:r>
          </w:p>
        </w:tc>
      </w:tr>
      <w:tr>
        <w:trPr>
          <w:cantSplit/>
        </w:trPr>
        <w:tc>
          <w:tcPr>
            <w:tcW w:type="dxa" w:w="3672"/>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Follow API logs</w:t>
            </w:r>
          </w:p>
        </w:tc>
        <w:tc>
          <w:tcPr>
            <w:tcW w:type="dxa" w:w="6149"/>
            <w:vAlign w:val="center"/>
            <w:shd w:fill="F6F8FC"/>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docker compose logs -f api</w:t>
            </w:r>
          </w:p>
        </w:tc>
      </w:tr>
      <w:tr>
        <w:trPr>
          <w:cantSplit/>
        </w:trPr>
        <w:tc>
          <w:tcPr>
            <w:tcW w:type="dxa" w:w="3672"/>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Open the workspace</w:t>
            </w:r>
          </w:p>
        </w:tc>
        <w:tc>
          <w:tcPr>
            <w:tcW w:type="dxa" w:w="6149"/>
            <w:vAlign w:val="center"/>
            <w:tcBorders>
              <w:top w:val="single" w:sz="6" w:color="C9D2E3"/>
              <w:left w:val="single" w:sz="6" w:color="C9D2E3"/>
              <w:bottom w:val="single" w:sz="6" w:color="C9D2E3"/>
              <w:right w:val="single" w:sz="6" w:color="C9D2E3"/>
              <w:insideH w:val="single" w:sz="6" w:color="C9D2E3"/>
              <w:insideV w:val="single" w:sz="6" w:color="C9D2E3"/>
            </w:tcBorders>
          </w:tcPr>
          <w:p>
            <w:pPr>
              <w:spacing w:after="60" w:before="60" w:line="252" w:lineRule="auto"/>
              <w:ind w:firstLine="0"/>
              <w:jc w:val="left"/>
            </w:pPr>
            <w:r>
              <w:rPr>
                <w:rFonts w:ascii="Times New Roman" w:hAnsi="Times New Roman"/>
                <w:color w:val="20242B"/>
                <w:sz w:val="19"/>
              </w:rPr>
              <w:t>https://localhost:8443</w:t>
            </w:r>
          </w:p>
        </w:tc>
      </w:tr>
    </w:tbl>
    <w:p>
      <w:pPr>
        <w:spacing w:after="40"/>
      </w:pPr>
    </w:p>
    <w:p>
      <w:pPr>
        <w:keepLines w:val="0"/>
        <w:spacing w:before="0" w:after="140" w:line="360" w:lineRule="auto"/>
        <w:ind w:firstLine="0"/>
        <w:jc w:val="both"/>
      </w:pPr>
      <w:r>
        <w:rPr>
          <w:rFonts w:ascii="Times New Roman" w:hAnsi="Times New Roman"/>
          <w:color w:val="20242B"/>
          <w:sz w:val="24"/>
        </w:rPr>
        <w:t>For an academic showcase, demonstrate an asset that is owned by the project team or explicitly authorized, then show the investigation status, source provenance, evidence, analyst applicability decision, score explanation, case or remediation record, and report snapshot. Provider status and quota should be checked before the presentation. Synthetic Demo results must be identified as synthetic.</w:t>
      </w:r>
    </w:p>
    <w:p>
      <w:pPr>
        <w:keepLines w:val="0"/>
        <w:spacing w:before="0" w:after="140" w:line="360" w:lineRule="auto"/>
        <w:ind w:firstLine="0"/>
        <w:jc w:val="both"/>
      </w:pPr>
      <w:r>
        <w:rPr>
          <w:rFonts w:ascii="Times New Roman" w:hAnsi="Times New Roman"/>
          <w:color w:val="20242B"/>
          <w:sz w:val="24"/>
        </w:rPr>
        <w:t>Keep credentials and API keys in the local environment configuration. Do not include them in this report, screenshots, source control, or presentation slides. The report contains editable fields for student, supervisor, department, institute, degree program, and date; replace them with accurate institutional details before submission.</w:t>
      </w:r>
    </w:p>
    <w:sectPr w:rsidR="00FC693F" w:rsidRPr="0006063C" w:rsidSect="00034616">
      <w:footerReference w:type="default" r:id="rId11"/>
      <w:pgSz w:w="11909" w:h="16834"/>
      <w:pgMar w:top="1296" w:right="1440" w:bottom="1224" w:left="1656" w:header="720" w:footer="576"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6579"/>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6579"/>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403"/>
      <w:jc w:val="both"/>
    </w:pPr>
    <w:rPr>
      <w:rFonts w:ascii="Times New Roman" w:hAnsi="Times New Roman"/>
      <w:color w:val="2024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outlineLvl w:val="0"/>
    </w:pPr>
    <w:rPr>
      <w:rFonts w:asciiTheme="majorHAnsi" w:eastAsiaTheme="majorEastAsia" w:hAnsiTheme="majorHAnsi" w:cstheme="majorBidi" w:ascii="Times New Roman" w:hAnsi="Times New Roman"/>
      <w:b/>
      <w:bCs/>
      <w:color w:val="13284B"/>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b/>
      <w:bCs/>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b/>
      <w:bCs/>
      <w:color w:val="5965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b/>
      <w:color w:val="1328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CyberLens Minor Project Report</dc:title>
  <dc:subject>Cyber threat intelligence and incident response workspace</dc:subject>
  <dc:creator>[Student Name]</dc:creator>
  <cp:keywords>CyberLens, cyber threat intelligence, incident response, FastAPI, React</cp:keywords>
  <dc:description>generated by python-docx</dc:description>
  <cp:lastModifiedBy/>
  <cp:revision>1</cp:revision>
  <dcterms:created xsi:type="dcterms:W3CDTF">2013-12-23T23:15:00Z</dcterms:created>
  <dcterms:modified xsi:type="dcterms:W3CDTF">2013-12-23T23:15:00Z</dcterms:modified>
  <cp:category/>
</cp:coreProperties>
</file>