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F46E5"/>
          <w:sz w:val="18"/>
        </w:rPr>
        <w:t>PRODUCT REQUIREMENTS DOCUMENT</w:t>
      </w:r>
    </w:p>
    <w:p>
      <w:pPr>
        <w:spacing w:after="240"/>
      </w:pPr>
      <w:r>
        <w:rPr>
          <w:b/>
          <w:color w:val="1E293B"/>
          <w:sz w:val="48"/>
        </w:rPr>
        <w:t>SME Insurance</w:t>
      </w:r>
    </w:p>
    <w:tbl>
      <w:tblPr>
        <w:tblStyle w:val="TableGrid"/>
        <w:tblW w:type="auto" w:w="0"/>
        <w:tblLook w:firstColumn="1" w:firstRow="1" w:lastColumn="0" w:lastRow="0" w:noHBand="0" w:noVBand="1" w:val="04A0"/>
      </w:tblPr>
      <w:tblGrid>
        <w:gridCol w:w="2379"/>
        <w:gridCol w:w="2379"/>
        <w:gridCol w:w="2379"/>
        <w:gridCol w:w="2379"/>
      </w:tblGrid>
      <w:tr>
        <w:tc>
          <w:tcPr>
            <w:tcW w:type="dxa" w:w="2379"/>
            <w:shd w:val="clear" w:fill="EEF2FF"/>
          </w:tcPr>
          <w:p>
            <w:r>
              <w:rPr>
                <w:b/>
                <w:color w:val="64748B"/>
                <w:sz w:val="16"/>
              </w:rPr>
              <w:t>OWNER</w:t>
            </w:r>
          </w:p>
        </w:tc>
        <w:tc>
          <w:tcPr>
            <w:tcW w:type="dxa" w:w="2379"/>
            <w:shd w:val="clear" w:fill="EEF2FF"/>
          </w:tcPr>
          <w:p>
            <w:r>
              <w:rPr>
                <w:b/>
                <w:color w:val="64748B"/>
                <w:sz w:val="16"/>
              </w:rPr>
              <w:t>STAGE</w:t>
            </w:r>
          </w:p>
        </w:tc>
        <w:tc>
          <w:tcPr>
            <w:tcW w:type="dxa" w:w="2379"/>
            <w:shd w:val="clear" w:fill="EEF2FF"/>
          </w:tcPr>
          <w:p>
            <w:r>
              <w:rPr>
                <w:b/>
                <w:color w:val="64748B"/>
                <w:sz w:val="16"/>
              </w:rPr>
              <w:t>SCORE</w:t>
            </w:r>
          </w:p>
        </w:tc>
        <w:tc>
          <w:tcPr>
            <w:tcW w:type="dxa" w:w="2379"/>
            <w:shd w:val="clear" w:fill="EEF2FF"/>
          </w:tcPr>
          <w:p>
            <w:r>
              <w:rPr>
                <w:b/>
                <w:color w:val="64748B"/>
                <w:sz w:val="16"/>
              </w:rPr>
              <w:t>DATE</w:t>
            </w:r>
          </w:p>
        </w:tc>
      </w:tr>
      <w:tr>
        <w:tc>
          <w:tcPr>
            <w:tcW w:type="dxa" w:w="2379"/>
          </w:tcPr>
          <w:p>
            <w:r>
              <w:rPr>
                <w:color w:val="1E293B"/>
                <w:sz w:val="18"/>
              </w:rPr>
              <w:t>Astra Tech · Strategy</w:t>
            </w:r>
          </w:p>
        </w:tc>
        <w:tc>
          <w:tcPr>
            <w:tcW w:type="dxa" w:w="2379"/>
          </w:tcPr>
          <w:p>
            <w:r>
              <w:rPr>
                <w:color w:val="1E293B"/>
                <w:sz w:val="18"/>
              </w:rPr>
              <w:t>Evaluation · Proceed</w:t>
            </w:r>
          </w:p>
        </w:tc>
        <w:tc>
          <w:tcPr>
            <w:tcW w:type="dxa" w:w="2379"/>
          </w:tcPr>
          <w:p>
            <w:r>
              <w:rPr>
                <w:color w:val="1E293B"/>
                <w:sz w:val="18"/>
              </w:rPr>
              <w:t>65 / 100</w:t>
            </w:r>
          </w:p>
        </w:tc>
        <w:tc>
          <w:tcPr>
            <w:tcW w:type="dxa" w:w="2379"/>
          </w:tcPr>
          <w:p>
            <w:r>
              <w:rPr>
                <w:color w:val="1E293B"/>
                <w:sz w:val="18"/>
              </w:rPr>
              <w:t>11 Jun 2026</w:t>
            </w:r>
          </w:p>
        </w:tc>
      </w:tr>
    </w:tbl>
    <w:p/>
    <w:p>
      <w:pPr>
        <w:spacing w:before="280" w:after="120"/>
      </w:pPr>
      <w:r>
        <w:rPr>
          <w:b/>
          <w:color w:val="4F46E5"/>
          <w:sz w:val="28"/>
        </w:rPr>
        <w:t>In one line</w:t>
      </w:r>
    </w:p>
    <w:p>
      <w:r>
        <w:t>Astra Tech enables SME owners to access and purchase business insurance directly at the point of banking or lending transactions within the Astra app.</w:t>
      </w:r>
    </w:p>
    <w:p>
      <w:pPr>
        <w:spacing w:before="280" w:after="120"/>
      </w:pPr>
      <w:r>
        <w:rPr>
          <w:b/>
          <w:color w:val="4F46E5"/>
          <w:sz w:val="28"/>
        </w:rPr>
        <w:t>What we're trying to achieve</w:t>
      </w:r>
    </w:p>
    <w:p>
      <w:r>
        <w:t>SME owners on the Astra app will seamlessly access tailored business insurance products during their existing banking or lending workflows. The initial flow will be at point of sale (POS) for lending or account opening, prompting an offer for relevant insurance based on the transaction type. This immediate contextuality ensures the insurance is relevant to the SME's current business needs.</w:t>
      </w:r>
    </w:p>
    <w:p>
      <w:r>
        <w:t>Upon accepting the offer, the user is guided through a streamlined, mobile-first application process, pre-filled with available data from their Astra profile to minimize data entry. The core mechanic is leveraging the trusted relationship and existing data within Astra to make purchasing essential business insurance as frictionless as completing a core financial transaction.</w:t>
      </w:r>
    </w:p>
    <w:p>
      <w:pPr>
        <w:spacing w:before="280" w:after="120"/>
      </w:pPr>
      <w:r>
        <w:rPr>
          <w:b/>
          <w:color w:val="4F46E5"/>
          <w:sz w:val="28"/>
        </w:rPr>
        <w:t>Why we think this works</w:t>
      </w:r>
    </w:p>
    <w:p>
      <w:r>
        <w:t>The product capitalizes on the behavioural economics of 'present bias' and 'friction reduction'. By offering insurance exactly when an SME owner is engaged with their business finances (a high-intent moment), and removing the typical search and comparison burden, we make the decision to insure significantly easier. This embedded approach directly counters the passive nature of traditional insurance discovery.</w:t>
      </w:r>
    </w:p>
    <w:p>
      <w:r>
        <w:t>Economically, this model functions on a commission-based partnership with insurers. The value proposition for the SME is immediate protection relevant to their business activity, while for Astra, it's an incremental revenue stream and enhanced customer LTV. The 5x LTV/CAC ratio highlights the efficiency of this embedded distribution channel compared to standalone insurtech platforms.</w:t>
      </w:r>
    </w:p>
    <w:p>
      <w:pPr>
        <w:spacing w:before="280" w:after="120"/>
      </w:pPr>
      <w:r>
        <w:rPr>
          <w:b/>
          <w:color w:val="4F46E5"/>
          <w:sz w:val="28"/>
        </w:rPr>
        <w:t>Who it's for</w:t>
      </w:r>
    </w:p>
    <w:p>
      <w:pPr>
        <w:spacing w:before="160" w:after="60"/>
      </w:pPr>
      <w:r>
        <w:rPr>
          <w:b/>
          <w:color w:val="1E293B"/>
          <w:sz w:val="22"/>
        </w:rPr>
        <w:t>Primary</w:t>
      </w:r>
    </w:p>
    <w:p>
      <w:r>
        <w:t>UAE-based SME owners (1-50 employees) who actively use the Astra app for banking or lending services, particularly those in the trading and services sectors.</w:t>
      </w:r>
    </w:p>
    <w:p>
      <w:pPr>
        <w:spacing w:before="160" w:after="60"/>
      </w:pPr>
      <w:r>
        <w:rPr>
          <w:b/>
          <w:color w:val="1E293B"/>
          <w:sz w:val="22"/>
        </w:rPr>
        <w:t>Secondary</w:t>
      </w:r>
    </w:p>
    <w:p>
      <w:r>
        <w:t>New SME customers signing up for Astra's banking or lending products who may not have considered business insurance but are receptive to contextual offers.</w:t>
      </w:r>
    </w:p>
    <w:p>
      <w:pPr>
        <w:spacing w:before="160" w:after="60"/>
      </w:pPr>
      <w:r>
        <w:rPr>
          <w:b/>
          <w:color w:val="1E293B"/>
          <w:sz w:val="22"/>
        </w:rPr>
        <w:t>Not the target</w:t>
      </w:r>
    </w:p>
    <w:p>
      <w:r>
        <w:t>SMEs who are not existing Astra customers, those seeking highly specialized or complex insurance products beyond general business liability/property, or those who prefer a fully independent broker relationship and actively seek out insurance independently.</w:t>
      </w:r>
    </w:p>
    <w:p>
      <w:pPr>
        <w:spacing w:before="280" w:after="120"/>
      </w:pPr>
      <w:r>
        <w:rPr>
          <w:b/>
          <w:color w:val="4F46E5"/>
          <w:sz w:val="28"/>
        </w:rPr>
        <w:t>Principles to protect</w:t>
      </w:r>
    </w:p>
    <w:p>
      <w:pPr>
        <w:pStyle w:val="ListBullet"/>
        <w:spacing w:after="60"/>
      </w:pPr>
      <w:r>
        <w:t>Insurance is a tool to enable business, not a barrier; present it seamlessly within financial workflows.</w:t>
      </w:r>
    </w:p>
    <w:p>
      <w:pPr>
        <w:pStyle w:val="ListBullet"/>
        <w:spacing w:after="60"/>
      </w:pPr>
      <w:r>
        <w:t>Context is king; offer insurance only when and where it's most relevant to the SME's current business activity.</w:t>
      </w:r>
    </w:p>
    <w:p>
      <w:pPr>
        <w:pStyle w:val="ListBullet"/>
        <w:spacing w:after="60"/>
      </w:pPr>
      <w:r>
        <w:t>Trust is paramount; leverage Astra's established relationship to build confidence in insurance recommendations.</w:t>
      </w:r>
    </w:p>
    <w:p>
      <w:pPr>
        <w:spacing w:before="280" w:after="120"/>
      </w:pPr>
      <w:r>
        <w:rPr>
          <w:b/>
          <w:color w:val="4F46E5"/>
          <w:sz w:val="28"/>
        </w:rPr>
        <w:t>Requirements</w:t>
      </w:r>
    </w:p>
    <w:p>
      <w:pPr>
        <w:spacing w:before="160" w:after="60"/>
      </w:pPr>
      <w:r>
        <w:rPr>
          <w:b/>
          <w:color w:val="1E293B"/>
          <w:sz w:val="22"/>
        </w:rPr>
        <w:t>Embedded Insurance Offer Flow (POS)</w:t>
      </w:r>
    </w:p>
    <w:p>
      <w:pPr>
        <w:pStyle w:val="ListBullet"/>
        <w:spacing w:after="60"/>
      </w:pPr>
      <w:r>
        <w:t>Trigger insurance offer post-successful completion of primary banking/lending transaction (e.g., loan disbursement, account opening).</w:t>
      </w:r>
    </w:p>
    <w:p>
      <w:pPr>
        <w:pStyle w:val="ListBullet"/>
        <w:spacing w:after="60"/>
      </w:pPr>
      <w:r>
        <w:t>Present a concise insurance value proposition tailored to the transaction context (e.g., 'Protect your new business loan with property insurance').</w:t>
      </w:r>
    </w:p>
    <w:p>
      <w:pPr>
        <w:pStyle w:val="ListBullet"/>
        <w:spacing w:after="60"/>
      </w:pPr>
      <w:r>
        <w:t>Allow user to accept, decline, or defer the insurance offer.</w:t>
      </w:r>
    </w:p>
    <w:p>
      <w:pPr>
        <w:pStyle w:val="ListBullet"/>
        <w:spacing w:after="60"/>
      </w:pPr>
      <w:r>
        <w:t>Pre-populate user details from Astra profile.</w:t>
      </w:r>
    </w:p>
    <w:p>
      <w:pPr>
        <w:pStyle w:val="ListBullet"/>
        <w:spacing w:after="60"/>
      </w:pPr>
      <w:r>
        <w:t>Display key insurance policy features and coverage limits clearly.</w:t>
      </w:r>
    </w:p>
    <w:p>
      <w:pPr>
        <w:pStyle w:val="ListBullet"/>
        <w:spacing w:after="60"/>
      </w:pPr>
      <w:r>
        <w:t>Handle declined or deferred offers gracefully, without impacting the primary transaction.</w:t>
      </w:r>
    </w:p>
    <w:p>
      <w:pPr>
        <w:spacing w:before="160" w:after="60"/>
      </w:pPr>
      <w:r>
        <w:rPr>
          <w:b/>
          <w:color w:val="1E293B"/>
          <w:sz w:val="22"/>
        </w:rPr>
        <w:t>Insurance Application &amp; Purchase</w:t>
      </w:r>
    </w:p>
    <w:p>
      <w:pPr>
        <w:pStyle w:val="ListBullet"/>
        <w:spacing w:after="60"/>
      </w:pPr>
      <w:r>
        <w:t>Mobile-first, multi-step application form optimized for speed.</w:t>
      </w:r>
    </w:p>
    <w:p>
      <w:pPr>
        <w:pStyle w:val="ListBullet"/>
        <w:spacing w:after="60"/>
      </w:pPr>
      <w:r>
        <w:t>Clear indication of mandatory vs. optional fields.</w:t>
      </w:r>
    </w:p>
    <w:p>
      <w:pPr>
        <w:pStyle w:val="ListBullet"/>
        <w:spacing w:after="60"/>
      </w:pPr>
      <w:r>
        <w:t>Real-time validation of input data.</w:t>
      </w:r>
    </w:p>
    <w:p>
      <w:pPr>
        <w:pStyle w:val="ListBullet"/>
        <w:spacing w:after="60"/>
      </w:pPr>
      <w:r>
        <w:t>Secure payment gateway integration for policy premium.</w:t>
      </w:r>
    </w:p>
    <w:p>
      <w:pPr>
        <w:pStyle w:val="ListBullet"/>
        <w:spacing w:after="60"/>
      </w:pPr>
      <w:r>
        <w:t>Confirmation screen summarizing policy details and payment.</w:t>
      </w:r>
    </w:p>
    <w:p>
      <w:pPr>
        <w:pStyle w:val="ListBullet"/>
        <w:spacing w:after="60"/>
      </w:pPr>
      <w:r>
        <w:t>Email confirmation with policy documents sent to registered email.</w:t>
      </w:r>
    </w:p>
    <w:p>
      <w:pPr>
        <w:spacing w:before="160" w:after="60"/>
      </w:pPr>
      <w:r>
        <w:rPr>
          <w:b/>
          <w:color w:val="1E293B"/>
          <w:sz w:val="22"/>
        </w:rPr>
        <w:t>Policy Management &amp; Support</w:t>
      </w:r>
    </w:p>
    <w:p>
      <w:pPr>
        <w:pStyle w:val="ListBullet"/>
        <w:spacing w:after="60"/>
      </w:pPr>
      <w:r>
        <w:t>Dedicated section within the Astra app to view active policies.</w:t>
      </w:r>
    </w:p>
    <w:p>
      <w:pPr>
        <w:pStyle w:val="ListBullet"/>
        <w:spacing w:after="60"/>
      </w:pPr>
      <w:r>
        <w:t>Access to policy documents and key contact information.</w:t>
      </w:r>
    </w:p>
    <w:p>
      <w:pPr>
        <w:pStyle w:val="ListBullet"/>
        <w:spacing w:after="60"/>
      </w:pPr>
      <w:r>
        <w:t>Simple claims initiation flow (TBD: online form, phone number, or referral to insurer).</w:t>
      </w:r>
    </w:p>
    <w:p>
      <w:pPr>
        <w:pStyle w:val="ListBullet"/>
        <w:spacing w:after="60"/>
      </w:pPr>
      <w:r>
        <w:t>In-app notifications for renewal reminders (TBD: timing).</w:t>
      </w:r>
    </w:p>
    <w:p>
      <w:pPr>
        <w:pStyle w:val="ListBullet"/>
        <w:spacing w:after="60"/>
      </w:pPr>
      <w:r>
        <w:t>Customer support channel for insurance-related queries (TBD: integrated chat, dedicated email/phone).</w:t>
      </w:r>
    </w:p>
    <w:p>
      <w:pPr>
        <w:spacing w:before="160" w:after="60"/>
      </w:pPr>
      <w:r>
        <w:rPr>
          <w:b/>
          <w:color w:val="1E293B"/>
          <w:sz w:val="22"/>
        </w:rPr>
        <w:t>Partnership &amp; Compliance</w:t>
      </w:r>
    </w:p>
    <w:p>
      <w:pPr>
        <w:pStyle w:val="ListBullet"/>
        <w:spacing w:after="60"/>
      </w:pPr>
      <w:r>
        <w:t>Integration with licensed insurance partner's underwriting and policy administration systems.</w:t>
      </w:r>
    </w:p>
    <w:p>
      <w:pPr>
        <w:pStyle w:val="ListBullet"/>
        <w:spacing w:after="60"/>
      </w:pPr>
      <w:r>
        <w:t>Adherence to UAE regulatory requirements for insurance distribution.</w:t>
      </w:r>
    </w:p>
    <w:p>
      <w:pPr>
        <w:pStyle w:val="ListBullet"/>
        <w:spacing w:after="60"/>
      </w:pPr>
      <w:r>
        <w:t>Clear display of Astra's role as a broker/distributor and the insurer's identity.</w:t>
      </w:r>
    </w:p>
    <w:p>
      <w:pPr>
        <w:pStyle w:val="ListBullet"/>
        <w:spacing w:after="60"/>
      </w:pPr>
      <w:r>
        <w:t>Data sharing agreements with insurer partner for necessary underwriting and claims processing.</w:t>
      </w:r>
    </w:p>
    <w:p>
      <w:pPr>
        <w:spacing w:before="280" w:after="120"/>
      </w:pPr>
      <w:r>
        <w:rPr>
          <w:b/>
          <w:color w:val="4F46E5"/>
          <w:sz w:val="28"/>
        </w:rPr>
        <w:t>Explicitly out of scope for V1</w:t>
      </w:r>
    </w:p>
    <w:p>
      <w:pPr>
        <w:pStyle w:val="ListBullet"/>
        <w:spacing w:after="60"/>
      </w:pPr>
      <w:r>
        <w:t>Direct underwriting of insurance products by Astra.</w:t>
      </w:r>
    </w:p>
    <w:p>
      <w:pPr>
        <w:pStyle w:val="ListBullet"/>
        <w:spacing w:after="60"/>
      </w:pPr>
      <w:r>
        <w:t>Offering insurance products outside of the embedded POS flow in V1.</w:t>
      </w:r>
    </w:p>
    <w:p>
      <w:pPr>
        <w:pStyle w:val="ListBullet"/>
        <w:spacing w:after="60"/>
      </w:pPr>
      <w:r>
        <w:t>Complex, bespoke insurance policies requiring extensive consultation.</w:t>
      </w:r>
    </w:p>
    <w:p>
      <w:pPr>
        <w:pStyle w:val="ListBullet"/>
        <w:spacing w:after="60"/>
      </w:pPr>
      <w:r>
        <w:t>Integration with third-party accounting software for policy management.</w:t>
      </w:r>
    </w:p>
    <w:p>
      <w:pPr>
        <w:pStyle w:val="ListBullet"/>
        <w:spacing w:after="60"/>
      </w:pPr>
      <w:r>
        <w:t>Management of group employee benefits insurance.</w:t>
      </w:r>
    </w:p>
    <w:p>
      <w:pPr>
        <w:spacing w:before="280" w:after="120"/>
      </w:pPr>
      <w:r>
        <w:rPr>
          <w:b/>
          <w:color w:val="4F46E5"/>
          <w:sz w:val="28"/>
        </w:rPr>
        <w:t>Success metrics</w:t>
      </w:r>
    </w:p>
    <w:tbl>
      <w:tblPr>
        <w:tblStyle w:val="TableGrid"/>
        <w:tblW w:type="auto" w:w="0"/>
        <w:jc w:val="left"/>
        <w:tblLook w:firstColumn="1" w:firstRow="1" w:lastColumn="0" w:lastRow="0" w:noHBand="0" w:noVBand="1" w:val="04A0"/>
      </w:tblPr>
      <w:tblGrid>
        <w:gridCol w:w="3173"/>
        <w:gridCol w:w="3173"/>
        <w:gridCol w:w="3173"/>
      </w:tblGrid>
      <w:tr>
        <w:tc>
          <w:tcPr>
            <w:tcW w:type="dxa" w:w="3173"/>
            <w:shd w:val="clear" w:fill="EEF2FF"/>
          </w:tcPr>
          <w:p>
            <w:r>
              <w:rPr>
                <w:b/>
                <w:color w:val="4F46E5"/>
                <w:sz w:val="18"/>
              </w:rPr>
              <w:t>Metric</w:t>
            </w:r>
          </w:p>
        </w:tc>
        <w:tc>
          <w:tcPr>
            <w:tcW w:type="dxa" w:w="3173"/>
            <w:shd w:val="clear" w:fill="EEF2FF"/>
          </w:tcPr>
          <w:p>
            <w:r>
              <w:rPr>
                <w:b/>
                <w:color w:val="4F46E5"/>
                <w:sz w:val="18"/>
              </w:rPr>
              <w:t>Definition</w:t>
            </w:r>
          </w:p>
        </w:tc>
        <w:tc>
          <w:tcPr>
            <w:tcW w:type="dxa" w:w="3173"/>
            <w:shd w:val="clear" w:fill="EEF2FF"/>
          </w:tcPr>
          <w:p>
            <w:r>
              <w:rPr>
                <w:b/>
                <w:color w:val="4F46E5"/>
                <w:sz w:val="18"/>
              </w:rPr>
              <w:t>Target</w:t>
            </w:r>
          </w:p>
        </w:tc>
      </w:tr>
      <w:tr>
        <w:tc>
          <w:tcPr>
            <w:tcW w:type="dxa" w:w="3173"/>
          </w:tcPr>
          <w:p>
            <w:r>
              <w:rPr>
                <w:color w:val="1E293B"/>
                <w:sz w:val="18"/>
              </w:rPr>
              <w:t>Activation Rate</w:t>
            </w:r>
          </w:p>
        </w:tc>
        <w:tc>
          <w:tcPr>
            <w:tcW w:type="dxa" w:w="3173"/>
          </w:tcPr>
          <w:p>
            <w:r>
              <w:rPr>
                <w:color w:val="1E293B"/>
                <w:sz w:val="18"/>
              </w:rPr>
              <w:t>Percentage of eligible users who interact with the insurance offer (e.g., click 'Learn More' or 'Get Quote').</w:t>
            </w:r>
          </w:p>
        </w:tc>
        <w:tc>
          <w:tcPr>
            <w:tcW w:type="dxa" w:w="3173"/>
          </w:tcPr>
          <w:p>
            <w:r>
              <w:rPr>
                <w:color w:val="1E293B"/>
                <w:sz w:val="18"/>
              </w:rPr>
              <w:t>&gt;38%</w:t>
            </w:r>
          </w:p>
        </w:tc>
      </w:tr>
      <w:tr>
        <w:tc>
          <w:tcPr>
            <w:tcW w:type="dxa" w:w="3173"/>
          </w:tcPr>
          <w:p>
            <w:r>
              <w:rPr>
                <w:color w:val="1E293B"/>
                <w:sz w:val="18"/>
              </w:rPr>
              <w:t>Conversion Rate</w:t>
            </w:r>
          </w:p>
        </w:tc>
        <w:tc>
          <w:tcPr>
            <w:tcW w:type="dxa" w:w="3173"/>
          </w:tcPr>
          <w:p>
            <w:r>
              <w:rPr>
                <w:color w:val="1E293B"/>
                <w:sz w:val="18"/>
              </w:rPr>
              <w:t>Percentage of activated users who successfully purchase an insurance policy.</w:t>
            </w:r>
          </w:p>
        </w:tc>
        <w:tc>
          <w:tcPr>
            <w:tcW w:type="dxa" w:w="3173"/>
          </w:tcPr>
          <w:p>
            <w:r>
              <w:rPr>
                <w:color w:val="1E293B"/>
                <w:sz w:val="18"/>
              </w:rPr>
              <w:t>&gt;12%</w:t>
            </w:r>
          </w:p>
        </w:tc>
      </w:tr>
      <w:tr>
        <w:tc>
          <w:tcPr>
            <w:tcW w:type="dxa" w:w="3173"/>
          </w:tcPr>
          <w:p>
            <w:r>
              <w:rPr>
                <w:color w:val="1E293B"/>
                <w:sz w:val="18"/>
              </w:rPr>
              <w:t>Retention D30</w:t>
            </w:r>
          </w:p>
        </w:tc>
        <w:tc>
          <w:tcPr>
            <w:tcW w:type="dxa" w:w="3173"/>
          </w:tcPr>
          <w:p>
            <w:r>
              <w:rPr>
                <w:color w:val="1E293B"/>
                <w:sz w:val="18"/>
              </w:rPr>
              <w:t>Percentage of customers who maintain their policy 30 days after purchase.</w:t>
            </w:r>
          </w:p>
        </w:tc>
        <w:tc>
          <w:tcPr>
            <w:tcW w:type="dxa" w:w="3173"/>
          </w:tcPr>
          <w:p>
            <w:r>
              <w:rPr>
                <w:color w:val="1E293B"/>
                <w:sz w:val="18"/>
              </w:rPr>
              <w:t>&gt;35%</w:t>
            </w:r>
          </w:p>
        </w:tc>
      </w:tr>
      <w:tr>
        <w:tc>
          <w:tcPr>
            <w:tcW w:type="dxa" w:w="3173"/>
          </w:tcPr>
          <w:p>
            <w:r>
              <w:rPr>
                <w:color w:val="1E293B"/>
                <w:sz w:val="18"/>
              </w:rPr>
              <w:t>LTV / CAC</w:t>
            </w:r>
          </w:p>
        </w:tc>
        <w:tc>
          <w:tcPr>
            <w:tcW w:type="dxa" w:w="3173"/>
          </w:tcPr>
          <w:p>
            <w:r>
              <w:rPr>
                <w:color w:val="1E293B"/>
                <w:sz w:val="18"/>
              </w:rPr>
              <w:t>Ratio of Customer Lifetime Value to Customer Acquisition Cost for insurance products.</w:t>
            </w:r>
          </w:p>
        </w:tc>
        <w:tc>
          <w:tcPr>
            <w:tcW w:type="dxa" w:w="3173"/>
          </w:tcPr>
          <w:p>
            <w:r>
              <w:rPr>
                <w:color w:val="1E293B"/>
                <w:sz w:val="18"/>
              </w:rPr>
              <w:t>&gt;5x</w:t>
            </w:r>
          </w:p>
        </w:tc>
      </w:tr>
    </w:tbl>
    <w:p/>
    <w:p>
      <w:r>
        <w:rPr>
          <w:b/>
          <w:color w:val="4F46E5"/>
          <w:sz w:val="20"/>
        </w:rPr>
        <w:t>Decision gate: Proceed to Pilot if the LTV/CAC ratio is confirmed to be &gt;1x, with clear pathways for achieving the &gt;5x target.</w:t>
      </w:r>
    </w:p>
    <w:p>
      <w:pPr>
        <w:spacing w:before="360"/>
        <w:jc w:val="center"/>
      </w:pPr>
      <w:r>
        <w:rPr>
          <w:color w:val="64748B"/>
          <w:sz w:val="16"/>
        </w:rPr>
        <w:t>Generated by Alchemy · New Horizons portfolio · 11 Jun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Helvetica" w:hAnsi="Helvetica"/>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