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F46E5"/>
          <w:sz w:val="18"/>
        </w:rPr>
        <w:t>PRODUCT REQUIREMENTS DOCUMENT</w:t>
      </w:r>
    </w:p>
    <w:p>
      <w:pPr>
        <w:spacing w:after="240"/>
      </w:pPr>
      <w:r>
        <w:rPr>
          <w:b/>
          <w:color w:val="1E293B"/>
          <w:sz w:val="48"/>
        </w:rPr>
        <w:t>Wealth Management for Expats</w:t>
      </w:r>
    </w:p>
    <w:tbl>
      <w:tblPr>
        <w:tblStyle w:val="TableGrid"/>
        <w:tblW w:type="auto" w:w="0"/>
        <w:tblLook w:firstColumn="1" w:firstRow="1" w:lastColumn="0" w:lastRow="0" w:noHBand="0" w:noVBand="1" w:val="04A0"/>
      </w:tblPr>
      <w:tblGrid>
        <w:gridCol w:w="2379"/>
        <w:gridCol w:w="2379"/>
        <w:gridCol w:w="2379"/>
        <w:gridCol w:w="2379"/>
      </w:tblGrid>
      <w:tr>
        <w:tc>
          <w:tcPr>
            <w:tcW w:type="dxa" w:w="2379"/>
            <w:shd w:val="clear" w:fill="EEF2FF"/>
          </w:tcPr>
          <w:p>
            <w:r>
              <w:rPr>
                <w:b/>
                <w:color w:val="64748B"/>
                <w:sz w:val="16"/>
              </w:rPr>
              <w:t>OWNER</w:t>
            </w:r>
          </w:p>
        </w:tc>
        <w:tc>
          <w:tcPr>
            <w:tcW w:type="dxa" w:w="2379"/>
            <w:shd w:val="clear" w:fill="EEF2FF"/>
          </w:tcPr>
          <w:p>
            <w:r>
              <w:rPr>
                <w:b/>
                <w:color w:val="64748B"/>
                <w:sz w:val="16"/>
              </w:rPr>
              <w:t>STAGE</w:t>
            </w:r>
          </w:p>
        </w:tc>
        <w:tc>
          <w:tcPr>
            <w:tcW w:type="dxa" w:w="2379"/>
            <w:shd w:val="clear" w:fill="EEF2FF"/>
          </w:tcPr>
          <w:p>
            <w:r>
              <w:rPr>
                <w:b/>
                <w:color w:val="64748B"/>
                <w:sz w:val="16"/>
              </w:rPr>
              <w:t>SCORE</w:t>
            </w:r>
          </w:p>
        </w:tc>
        <w:tc>
          <w:tcPr>
            <w:tcW w:type="dxa" w:w="2379"/>
            <w:shd w:val="clear" w:fill="EEF2FF"/>
          </w:tcPr>
          <w:p>
            <w:r>
              <w:rPr>
                <w:b/>
                <w:color w:val="64748B"/>
                <w:sz w:val="16"/>
              </w:rPr>
              <w:t>DATE</w:t>
            </w:r>
          </w:p>
        </w:tc>
      </w:tr>
      <w:tr>
        <w:tc>
          <w:tcPr>
            <w:tcW w:type="dxa" w:w="2379"/>
          </w:tcPr>
          <w:p>
            <w:r>
              <w:rPr>
                <w:color w:val="1E293B"/>
                <w:sz w:val="18"/>
              </w:rPr>
              <w:t>Astra Tech · Strategy</w:t>
            </w:r>
          </w:p>
        </w:tc>
        <w:tc>
          <w:tcPr>
            <w:tcW w:type="dxa" w:w="2379"/>
          </w:tcPr>
          <w:p>
            <w:r>
              <w:rPr>
                <w:color w:val="1E293B"/>
                <w:sz w:val="18"/>
              </w:rPr>
              <w:t>Evaluation · Prioritise</w:t>
            </w:r>
          </w:p>
        </w:tc>
        <w:tc>
          <w:tcPr>
            <w:tcW w:type="dxa" w:w="2379"/>
          </w:tcPr>
          <w:p>
            <w:r>
              <w:rPr>
                <w:color w:val="1E293B"/>
                <w:sz w:val="18"/>
              </w:rPr>
              <w:t>78 / 100</w:t>
            </w:r>
          </w:p>
        </w:tc>
        <w:tc>
          <w:tcPr>
            <w:tcW w:type="dxa" w:w="2379"/>
          </w:tcPr>
          <w:p>
            <w:r>
              <w:rPr>
                <w:color w:val="1E293B"/>
                <w:sz w:val="18"/>
              </w:rPr>
              <w:t>11 Jun 2026</w:t>
            </w:r>
          </w:p>
        </w:tc>
      </w:tr>
    </w:tbl>
    <w:p/>
    <w:p>
      <w:pPr>
        <w:spacing w:before="280" w:after="120"/>
      </w:pPr>
      <w:r>
        <w:rPr>
          <w:b/>
          <w:color w:val="4F46E5"/>
          <w:sz w:val="28"/>
        </w:rPr>
        <w:t>In one line</w:t>
      </w:r>
    </w:p>
    <w:p>
      <w:r>
        <w:t>Astra Tech will offer low-minimum diversified investment portfolios, including global ETFs and Shariah-compliant options, with integrated auto-invest and remittance-linked goal planning directly within the Astra app.</w:t>
      </w:r>
    </w:p>
    <w:p>
      <w:pPr>
        <w:spacing w:before="280" w:after="120"/>
      </w:pPr>
      <w:r>
        <w:rPr>
          <w:b/>
          <w:color w:val="4F46E5"/>
          <w:sz w:val="28"/>
        </w:rPr>
        <w:t>What we're trying to achieve</w:t>
      </w:r>
    </w:p>
    <w:p>
      <w:r>
        <w:t>The primary objective is to empower salaried expats in the UAE to seamlessly invest their idle cash, enabling long-term wealth accumulation and goal achievement. Users will initiate their investment journey by completing a streamlined digital onboarding, directly integrating their existing Astra profile and linking their salary account or preferred remittance method. This process minimizes friction, moving users from interest to active investing within minutes.</w:t>
      </w:r>
    </w:p>
    <w:p>
      <w:r>
        <w:t>The core user experience will revolve around personalized goal planning and automated investment contributions. Users define specific financial goals (e.g., retirement, property, education) and select from a curated set of diversified portfolios tailored to their risk profile and ethical preferences, including Shariah-compliant options. The system then calculates a recommended contribution plan to achieve these goals.</w:t>
      </w:r>
    </w:p>
    <w:p>
      <w:r>
        <w:t>The unique selling proposition is the frictionless integration of investment contributions into daily financial routines. Users will enable auto-investments directly from their salary, or opt to allocate a percentage of each outgoing remittance to their chosen portfolio. This automation removes the psychological barrier of manual transfers, ensuring consistent progress towards financial goals with minimal effort.</w:t>
      </w:r>
    </w:p>
    <w:p>
      <w:pPr>
        <w:spacing w:before="280" w:after="120"/>
      </w:pPr>
      <w:r>
        <w:rPr>
          <w:b/>
          <w:color w:val="4F46E5"/>
          <w:sz w:val="28"/>
        </w:rPr>
        <w:t>Why we think this works</w:t>
      </w:r>
    </w:p>
    <w:p>
      <w:r>
        <w:t>This product works by addressing a critical unmet need for convenient, accessible, and diversified wealth management among UAE expats. Incumbent private banks typically require high minimum balances (AED 200,000+), while standalone robo-advisors struggle with costly customer acquisition and lack of ingrained financial touchpoints. Astra Tech's leverage of its existing super-app distribution and deep integration with salary and remittance flows provides a powerful competitive advantage.</w:t>
      </w:r>
    </w:p>
    <w:p>
      <w:r>
        <w:t>Behaviorally, the product capitalizes on the power of automation and inertia. By enabling auto-invest from salary and linking contributions to remittance transactions, we transform investing from a sporadic, effortful task into a passive, habitual one. This mechanism helps expats overcome procrastination and consistent savings challenges, especially those holding significant idle cash in non-interest-bearing accounts.</w:t>
      </w:r>
    </w:p>
    <w:p>
      <w:r>
        <w:t>The secondary engagement effect is a significant increase in Astra app's share of wallet and user lifetime value. By becoming the primary platform for both daily financial transactions and long-term wealth building, Astra Tech strengthens its position as the indispensable financial hub for expats. The provision of Shariah-compliant options further broadens appeal and market penetration within the diverse expat community.</w:t>
      </w:r>
    </w:p>
    <w:p>
      <w:pPr>
        <w:spacing w:before="280" w:after="120"/>
      </w:pPr>
      <w:r>
        <w:rPr>
          <w:b/>
          <w:color w:val="4F46E5"/>
          <w:sz w:val="28"/>
        </w:rPr>
        <w:t>Who it's for</w:t>
      </w:r>
    </w:p>
    <w:p>
      <w:pPr>
        <w:spacing w:before="160" w:after="60"/>
      </w:pPr>
      <w:r>
        <w:rPr>
          <w:b/>
          <w:color w:val="1E293B"/>
          <w:sz w:val="22"/>
        </w:rPr>
        <w:t>Primary</w:t>
      </w:r>
    </w:p>
    <w:p>
      <w:r>
        <w:t>Our primary target is salaried expats in the UAE, aged 25-45, earning between AED 8,000-35,000 per month. This segment regularly remits funds and typically holds 2-6 months of their salary in low-yield or non-interest-bearing accounts. They are digitally native, value convenience, and seek accessible, low-minimum solutions to grow their wealth but are underserved by traditional financial institutions.</w:t>
      </w:r>
    </w:p>
    <w:p>
      <w:pPr>
        <w:spacing w:before="160" w:after="60"/>
      </w:pPr>
      <w:r>
        <w:rPr>
          <w:b/>
          <w:color w:val="1E293B"/>
          <w:sz w:val="22"/>
        </w:rPr>
        <w:t>Secondary</w:t>
      </w:r>
    </w:p>
    <w:p>
      <w:r>
        <w:t>A secondary target includes newly arrived expats establishing their financial footing in the UAE, who seek to implement prudent savings and investment habits from the outset of their residency. Additionally, expats outside the specified salary band who prioritize passive, goal-based investing over active trading and value Shariah-compliant options (assumption).</w:t>
      </w:r>
    </w:p>
    <w:p>
      <w:pPr>
        <w:spacing w:before="160" w:after="60"/>
      </w:pPr>
      <w:r>
        <w:rPr>
          <w:b/>
          <w:color w:val="1E293B"/>
          <w:sz w:val="22"/>
        </w:rPr>
        <w:t>Not the target</w:t>
      </w:r>
    </w:p>
    <w:p>
      <w:r>
        <w:t>We are explicitly not building for customers whose primary motivation is active trading, speculative gains, or day trading. Our platform is designed for long-term, goal-based wealth accumulation and passive investing. We are also not targeting ultra-high-net-worth individuals managing investment balances above AED 500,000 (assumption) who typically require personalized advisory services and complex financial instruments from private banks.</w:t>
      </w:r>
    </w:p>
    <w:p>
      <w:pPr>
        <w:spacing w:before="280" w:after="120"/>
      </w:pPr>
      <w:r>
        <w:rPr>
          <w:b/>
          <w:color w:val="4F46E5"/>
          <w:sz w:val="28"/>
        </w:rPr>
        <w:t>Principles to protect</w:t>
      </w:r>
    </w:p>
    <w:p>
      <w:pPr>
        <w:pStyle w:val="ListBullet"/>
        <w:spacing w:after="60"/>
      </w:pPr>
      <w:r>
        <w:t>Investing is effortless and automatic: The platform integrates wealth building into existing financial habits, requiring minimal manual intervention.</w:t>
      </w:r>
    </w:p>
    <w:p>
      <w:pPr>
        <w:pStyle w:val="ListBullet"/>
        <w:spacing w:after="60"/>
      </w:pPr>
      <w:r>
        <w:t>Wealth growth is transparent and secure: Users must consistently perceive their investments as clearly managed, protected, and easily understandable.</w:t>
      </w:r>
    </w:p>
    <w:p>
      <w:pPr>
        <w:pStyle w:val="ListBullet"/>
        <w:spacing w:after="60"/>
      </w:pPr>
      <w:r>
        <w:t>Financial goals are achievable through simple steps: The product provides clear pathways and actionable insights that make long-term financial aspirations feel tangible and within reach.</w:t>
      </w:r>
    </w:p>
    <w:p>
      <w:pPr>
        <w:spacing w:before="280" w:after="120"/>
      </w:pPr>
      <w:r>
        <w:rPr>
          <w:b/>
          <w:color w:val="4F46E5"/>
          <w:sz w:val="28"/>
        </w:rPr>
        <w:t>Requirements</w:t>
      </w:r>
    </w:p>
    <w:p>
      <w:pPr>
        <w:spacing w:before="160" w:after="60"/>
      </w:pPr>
      <w:r>
        <w:rPr>
          <w:b/>
          <w:color w:val="1E293B"/>
          <w:sz w:val="22"/>
        </w:rPr>
        <w:t>Onboarding and Account Setup</w:t>
      </w:r>
    </w:p>
    <w:p>
      <w:pPr>
        <w:pStyle w:val="ListBullet"/>
        <w:spacing w:after="60"/>
      </w:pPr>
      <w:r>
        <w:t>Users must complete a digital KYC process, leveraging existing Astra profile data to minimize input fields. Failed KYC must provide clear reasons and next steps.</w:t>
      </w:r>
    </w:p>
    <w:p>
      <w:pPr>
        <w:pStyle w:val="ListBullet"/>
        <w:spacing w:after="60"/>
      </w:pPr>
      <w:r>
        <w:t>A streamlined risk assessment questionnaire with 5-7 questions will determine the user's risk profile, recommending a suitable portfolio. Users must acknowledge risk before proceeding.</w:t>
      </w:r>
    </w:p>
    <w:p>
      <w:pPr>
        <w:pStyle w:val="ListBullet"/>
        <w:spacing w:after="60"/>
      </w:pPr>
      <w:r>
        <w:t>The minimum initial deposit for account activation must be AED 100.</w:t>
      </w:r>
    </w:p>
    <w:p>
      <w:pPr>
        <w:pStyle w:val="ListBullet"/>
        <w:spacing w:after="60"/>
      </w:pPr>
      <w:r>
        <w:t>An explicit disclosure of the partner brokerage's licensing details and regulatory oversight (SCA) must be displayed prominently during signup and account confirmation.</w:t>
      </w:r>
    </w:p>
    <w:p>
      <w:pPr>
        <w:spacing w:before="160" w:after="60"/>
      </w:pPr>
      <w:r>
        <w:rPr>
          <w:b/>
          <w:color w:val="1E293B"/>
          <w:sz w:val="22"/>
        </w:rPr>
        <w:t>Portfolio Management and Performance</w:t>
      </w:r>
    </w:p>
    <w:p>
      <w:pPr>
        <w:pStyle w:val="ListBullet"/>
        <w:spacing w:after="60"/>
      </w:pPr>
      <w:r>
        <w:t>The platform will offer a selection of 3-5 diversified investment portfolios, including at least one Shariah-compliant option, clearly labeled and explained.</w:t>
      </w:r>
    </w:p>
    <w:p>
      <w:pPr>
        <w:pStyle w:val="ListBullet"/>
        <w:spacing w:after="60"/>
      </w:pPr>
      <w:r>
        <w:t>Users must be able to view their portfolio's performance, displaying both absolute gains/losses and percentage changes, updated daily (TBD specific refresh rate/delay).</w:t>
      </w:r>
    </w:p>
    <w:p>
      <w:pPr>
        <w:pStyle w:val="ListBullet"/>
        <w:spacing w:after="60"/>
      </w:pPr>
      <w:r>
        <w:t>The portfolio dashboard will show total AUM, contributions, and net returns over selected periods (e.g., 1-month, 3-month, YTD, all-time).</w:t>
      </w:r>
    </w:p>
    <w:p>
      <w:pPr>
        <w:spacing w:before="160" w:after="60"/>
      </w:pPr>
      <w:r>
        <w:rPr>
          <w:b/>
          <w:color w:val="1E293B"/>
          <w:sz w:val="22"/>
        </w:rPr>
        <w:t>Automated Funding and Remittance Integration</w:t>
      </w:r>
    </w:p>
    <w:p>
      <w:pPr>
        <w:pStyle w:val="ListBullet"/>
        <w:spacing w:after="60"/>
      </w:pPr>
      <w:r>
        <w:t>Users can set up monthly auto-investments as a fixed amount (minimum AED 50) or a percentage of their salary, linked to their specified payday. Failed salary deductions must trigger an in-app notification and retry option.</w:t>
      </w:r>
    </w:p>
    <w:p>
      <w:pPr>
        <w:pStyle w:val="ListBullet"/>
        <w:spacing w:after="60"/>
      </w:pPr>
      <w:r>
        <w:t>On the remittance confirmation screen, users will be prompted with an option to allocate 5-20% of their outgoing remittance to their investment goal, capped at one prompt per week.</w:t>
      </w:r>
    </w:p>
    <w:p>
      <w:pPr>
        <w:pStyle w:val="ListBullet"/>
        <w:spacing w:after="60"/>
      </w:pPr>
      <w:r>
        <w:t>A one-off top-up feature must be available, allowing users to add funds instantly via linked bank accounts or payment methods, with a minimum top-up of AED 50.</w:t>
      </w:r>
    </w:p>
    <w:p>
      <w:pPr>
        <w:pStyle w:val="ListBullet"/>
        <w:spacing w:after="60"/>
      </w:pPr>
      <w:r>
        <w:t>Users must have the ability to pause or cancel auto-investments with immediate effect, prior to the next scheduled transaction.</w:t>
      </w:r>
    </w:p>
    <w:p>
      <w:pPr>
        <w:spacing w:before="160" w:after="60"/>
      </w:pPr>
      <w:r>
        <w:rPr>
          <w:b/>
          <w:color w:val="1E293B"/>
          <w:sz w:val="22"/>
        </w:rPr>
        <w:t>Goal Planning and Tracking</w:t>
      </w:r>
    </w:p>
    <w:p>
      <w:pPr>
        <w:pStyle w:val="ListBullet"/>
        <w:spacing w:after="60"/>
      </w:pPr>
      <w:r>
        <w:t>Users can define multiple financial goals (e.g., 'Retirement', 'Child's Education', 'Home Down Payment') by specifying a target amount and desired timeframe.</w:t>
      </w:r>
    </w:p>
    <w:p>
      <w:pPr>
        <w:pStyle w:val="ListBullet"/>
        <w:spacing w:after="60"/>
      </w:pPr>
      <w:r>
        <w:t>The system will provide real-time projections of goal achievement based on current contributions, chosen portfolio, and historical average returns, dynamically adjusting with user input.</w:t>
      </w:r>
    </w:p>
    <w:p>
      <w:pPr>
        <w:pStyle w:val="ListBullet"/>
        <w:spacing w:after="60"/>
      </w:pPr>
      <w:r>
        <w:t>Progress towards each goal will be visualized on a dedicated screen, showing current value against target, and highlighting any shortfalls or accelerated progress.</w:t>
      </w:r>
    </w:p>
    <w:p>
      <w:pPr>
        <w:spacing w:before="160" w:after="60"/>
      </w:pPr>
      <w:r>
        <w:rPr>
          <w:b/>
          <w:color w:val="1E293B"/>
          <w:sz w:val="22"/>
        </w:rPr>
        <w:t>Trust and Security Mechanisms</w:t>
      </w:r>
    </w:p>
    <w:p>
      <w:pPr>
        <w:pStyle w:val="ListBullet"/>
        <w:spacing w:after="60"/>
      </w:pPr>
      <w:r>
        <w:t>Prominent display of the licensed brokerage partner's name and its regulatory status (SCA license number) on all investment-related screens.</w:t>
      </w:r>
    </w:p>
    <w:p>
      <w:pPr>
        <w:pStyle w:val="ListBullet"/>
        <w:spacing w:after="60"/>
      </w:pPr>
      <w:r>
        <w:t>Clear, concise in-app messaging explaining asset segregation and naming the custodian to reinforce security and trust for balances above AED 5,000.</w:t>
      </w:r>
    </w:p>
    <w:p>
      <w:pPr>
        <w:pStyle w:val="ListBullet"/>
        <w:spacing w:after="60"/>
      </w:pPr>
      <w:r>
        <w:t>Offer a 'Capital-Guaranteed Entry Product' option, such as a money market fund, as a default or recommended initial investment for users with low-risk appetite (assumption) to build confidence.</w:t>
      </w:r>
    </w:p>
    <w:p>
      <w:pPr>
        <w:pStyle w:val="ListBullet"/>
        <w:spacing w:after="60"/>
      </w:pPr>
      <w:r>
        <w:t>Implement two-factor authentication for all investment-related transactions (e.g., withdrawals, changes to auto-invest settings).</w:t>
      </w:r>
    </w:p>
    <w:p>
      <w:pPr>
        <w:spacing w:before="160" w:after="60"/>
      </w:pPr>
      <w:r>
        <w:rPr>
          <w:b/>
          <w:color w:val="1E293B"/>
          <w:sz w:val="22"/>
        </w:rPr>
        <w:t>Partner Brokerage Integration</w:t>
      </w:r>
    </w:p>
    <w:p>
      <w:pPr>
        <w:pStyle w:val="ListBullet"/>
        <w:spacing w:after="60"/>
      </w:pPr>
      <w:r>
        <w:t>Implement API integrations for seamless user onboarding, account opening, funding, portfolio allocation, trade execution, and withdrawal requests with the B2B2C brokerage partner.</w:t>
      </w:r>
    </w:p>
    <w:p>
      <w:pPr>
        <w:pStyle w:val="ListBullet"/>
        <w:spacing w:after="60"/>
      </w:pPr>
      <w:r>
        <w:t>Define and monitor SLAs for trade execution (e.g., T+2 settlement for ETF purchases) and withdrawal processing (e.g., funds reaching user bank within 3-5 business days).</w:t>
      </w:r>
    </w:p>
    <w:p>
      <w:pPr>
        <w:pStyle w:val="ListBullet"/>
        <w:spacing w:after="60"/>
      </w:pPr>
      <w:r>
        <w:t>Establish robust error handling and reconciliation processes for failed transactions, ensuring immediate user notification and clear resolution pathways.</w:t>
      </w:r>
    </w:p>
    <w:p>
      <w:pPr>
        <w:spacing w:before="280" w:after="120"/>
      </w:pPr>
      <w:r>
        <w:rPr>
          <w:b/>
          <w:color w:val="4F46E5"/>
          <w:sz w:val="28"/>
        </w:rPr>
        <w:t>Explicitly out of scope for V1</w:t>
      </w:r>
    </w:p>
    <w:p>
      <w:pPr>
        <w:pStyle w:val="ListBullet"/>
        <w:spacing w:after="60"/>
      </w:pPr>
      <w:r>
        <w:t>Active trading features, including individual stock trading, margin accounts, options, or futures trading.</w:t>
      </w:r>
    </w:p>
    <w:p>
      <w:pPr>
        <w:pStyle w:val="ListBullet"/>
        <w:spacing w:after="60"/>
      </w:pPr>
      <w:r>
        <w:t>Personalized financial advisory services, tax optimization advice, or complex estate planning.</w:t>
      </w:r>
    </w:p>
    <w:p>
      <w:pPr>
        <w:pStyle w:val="ListBullet"/>
        <w:spacing w:after="60"/>
      </w:pPr>
      <w:r>
        <w:t>Integration with other non-Astra financial accounts for consolidated views or transfers.</w:t>
      </w:r>
    </w:p>
    <w:p>
      <w:pPr>
        <w:pStyle w:val="ListBullet"/>
        <w:spacing w:after="60"/>
      </w:pPr>
      <w:r>
        <w:t>Proprietary investment products; initial offering is limited to globally diversified ETFs and Shariah-compliant funds via the partner brokerage.</w:t>
      </w:r>
    </w:p>
    <w:p>
      <w:pPr>
        <w:pStyle w:val="ListBullet"/>
        <w:spacing w:after="60"/>
      </w:pPr>
      <w:r>
        <w:t>Direct SCA licensing for Astra Tech as an investment firm; V1 will operate under a partner's license.</w:t>
      </w:r>
    </w:p>
    <w:p>
      <w:pPr>
        <w:spacing w:before="280" w:after="120"/>
      </w:pPr>
      <w:r>
        <w:rPr>
          <w:b/>
          <w:color w:val="4F46E5"/>
          <w:sz w:val="28"/>
        </w:rPr>
        <w:t>Success metrics</w:t>
      </w:r>
    </w:p>
    <w:tbl>
      <w:tblPr>
        <w:tblStyle w:val="TableGrid"/>
        <w:tblW w:type="auto" w:w="0"/>
        <w:jc w:val="left"/>
        <w:tblLook w:firstColumn="1" w:firstRow="1" w:lastColumn="0" w:lastRow="0" w:noHBand="0" w:noVBand="1" w:val="04A0"/>
      </w:tblPr>
      <w:tblGrid>
        <w:gridCol w:w="3173"/>
        <w:gridCol w:w="3173"/>
        <w:gridCol w:w="3173"/>
      </w:tblGrid>
      <w:tr>
        <w:tc>
          <w:tcPr>
            <w:tcW w:type="dxa" w:w="3173"/>
            <w:shd w:val="clear" w:fill="EEF2FF"/>
          </w:tcPr>
          <w:p>
            <w:r>
              <w:rPr>
                <w:b/>
                <w:color w:val="4F46E5"/>
                <w:sz w:val="18"/>
              </w:rPr>
              <w:t>Metric</w:t>
            </w:r>
          </w:p>
        </w:tc>
        <w:tc>
          <w:tcPr>
            <w:tcW w:type="dxa" w:w="3173"/>
            <w:shd w:val="clear" w:fill="EEF2FF"/>
          </w:tcPr>
          <w:p>
            <w:r>
              <w:rPr>
                <w:b/>
                <w:color w:val="4F46E5"/>
                <w:sz w:val="18"/>
              </w:rPr>
              <w:t>Definition</w:t>
            </w:r>
          </w:p>
        </w:tc>
        <w:tc>
          <w:tcPr>
            <w:tcW w:type="dxa" w:w="3173"/>
            <w:shd w:val="clear" w:fill="EEF2FF"/>
          </w:tcPr>
          <w:p>
            <w:r>
              <w:rPr>
                <w:b/>
                <w:color w:val="4F46E5"/>
                <w:sz w:val="18"/>
              </w:rPr>
              <w:t>Target</w:t>
            </w:r>
          </w:p>
        </w:tc>
      </w:tr>
      <w:tr>
        <w:tc>
          <w:tcPr>
            <w:tcW w:type="dxa" w:w="3173"/>
          </w:tcPr>
          <w:p>
            <w:r>
              <w:rPr>
                <w:color w:val="1E293B"/>
                <w:sz w:val="18"/>
              </w:rPr>
              <w:t>Demand Signal</w:t>
            </w:r>
          </w:p>
        </w:tc>
        <w:tc>
          <w:tcPr>
            <w:tcW w:type="dxa" w:w="3173"/>
          </w:tcPr>
          <w:p>
            <w:r>
              <w:rPr>
                <w:color w:val="1E293B"/>
                <w:sz w:val="18"/>
              </w:rPr>
              <w:t>Percentage of in-app users who expressed interest in investment products (e.g., waitlist sign-up) during the evaluation phase.</w:t>
            </w:r>
          </w:p>
        </w:tc>
        <w:tc>
          <w:tcPr>
            <w:tcW w:type="dxa" w:w="3173"/>
          </w:tcPr>
          <w:p>
            <w:r>
              <w:rPr>
                <w:color w:val="1E293B"/>
                <w:sz w:val="18"/>
              </w:rPr>
              <w:t>&gt;15%</w:t>
            </w:r>
          </w:p>
        </w:tc>
      </w:tr>
      <w:tr>
        <w:tc>
          <w:tcPr>
            <w:tcW w:type="dxa" w:w="3173"/>
          </w:tcPr>
          <w:p>
            <w:r>
              <w:rPr>
                <w:color w:val="1E293B"/>
                <w:sz w:val="18"/>
              </w:rPr>
              <w:t>Problem Severity</w:t>
            </w:r>
          </w:p>
        </w:tc>
        <w:tc>
          <w:tcPr>
            <w:tcW w:type="dxa" w:w="3173"/>
          </w:tcPr>
          <w:p>
            <w:r>
              <w:rPr>
                <w:color w:val="1E293B"/>
                <w:sz w:val="18"/>
              </w:rPr>
              <w:t>The assessed impact and prevalence of expats holding idle cash and lacking accessible investment options.</w:t>
            </w:r>
          </w:p>
        </w:tc>
        <w:tc>
          <w:tcPr>
            <w:tcW w:type="dxa" w:w="3173"/>
          </w:tcPr>
          <w:p>
            <w:r>
              <w:rPr>
                <w:color w:val="1E293B"/>
                <w:sz w:val="18"/>
              </w:rPr>
              <w:t>High</w:t>
            </w:r>
          </w:p>
        </w:tc>
      </w:tr>
      <w:tr>
        <w:tc>
          <w:tcPr>
            <w:tcW w:type="dxa" w:w="3173"/>
          </w:tcPr>
          <w:p>
            <w:r>
              <w:rPr>
                <w:color w:val="1E293B"/>
                <w:sz w:val="18"/>
              </w:rPr>
              <w:t>Market Clarity</w:t>
            </w:r>
          </w:p>
        </w:tc>
        <w:tc>
          <w:tcPr>
            <w:tcW w:type="dxa" w:w="3173"/>
          </w:tcPr>
          <w:p>
            <w:r>
              <w:rPr>
                <w:color w:val="1E293B"/>
                <w:sz w:val="18"/>
              </w:rPr>
              <w:t>The extent to which the target customer segment (salaried expats 25-45) and their financial needs are understood.</w:t>
            </w:r>
          </w:p>
        </w:tc>
        <w:tc>
          <w:tcPr>
            <w:tcW w:type="dxa" w:w="3173"/>
          </w:tcPr>
          <w:p>
            <w:r>
              <w:rPr>
                <w:color w:val="1E293B"/>
                <w:sz w:val="18"/>
              </w:rPr>
              <w:t>Well-defined</w:t>
            </w:r>
          </w:p>
        </w:tc>
      </w:tr>
      <w:tr>
        <w:tc>
          <w:tcPr>
            <w:tcW w:type="dxa" w:w="3173"/>
          </w:tcPr>
          <w:p>
            <w:r>
              <w:rPr>
                <w:color w:val="1E293B"/>
                <w:sz w:val="18"/>
              </w:rPr>
              <w:t>Speed to MVP</w:t>
            </w:r>
          </w:p>
        </w:tc>
        <w:tc>
          <w:tcPr>
            <w:tcW w:type="dxa" w:w="3173"/>
          </w:tcPr>
          <w:p>
            <w:r>
              <w:rPr>
                <w:color w:val="1E293B"/>
                <w:sz w:val="18"/>
              </w:rPr>
              <w:t>Time from project approval to the first live product release (pilot phase).</w:t>
            </w:r>
          </w:p>
        </w:tc>
        <w:tc>
          <w:tcPr>
            <w:tcW w:type="dxa" w:w="3173"/>
          </w:tcPr>
          <w:p>
            <w:r>
              <w:rPr>
                <w:color w:val="1E293B"/>
                <w:sz w:val="18"/>
              </w:rPr>
              <w:t>6-26 weeks</w:t>
            </w:r>
          </w:p>
        </w:tc>
      </w:tr>
      <w:tr>
        <w:tc>
          <w:tcPr>
            <w:tcW w:type="dxa" w:w="3173"/>
          </w:tcPr>
          <w:p>
            <w:r>
              <w:rPr>
                <w:color w:val="1E293B"/>
                <w:sz w:val="18"/>
              </w:rPr>
              <w:t>Pilot Activation Rate</w:t>
            </w:r>
          </w:p>
        </w:tc>
        <w:tc>
          <w:tcPr>
            <w:tcW w:type="dxa" w:w="3173"/>
          </w:tcPr>
          <w:p>
            <w:r>
              <w:rPr>
                <w:color w:val="1E293B"/>
                <w:sz w:val="18"/>
              </w:rPr>
              <w:t>Percentage of pilot users who complete onboarding, make an initial deposit of at least AED 100, and successfully invest in a portfolio.</w:t>
            </w:r>
          </w:p>
        </w:tc>
        <w:tc>
          <w:tcPr>
            <w:tcW w:type="dxa" w:w="3173"/>
          </w:tcPr>
          <w:p>
            <w:r>
              <w:rPr>
                <w:color w:val="1E293B"/>
                <w:sz w:val="18"/>
              </w:rPr>
              <w:t>&gt;40%</w:t>
            </w:r>
          </w:p>
        </w:tc>
      </w:tr>
      <w:tr>
        <w:tc>
          <w:tcPr>
            <w:tcW w:type="dxa" w:w="3173"/>
          </w:tcPr>
          <w:p>
            <w:r>
              <w:rPr>
                <w:color w:val="1E293B"/>
                <w:sz w:val="18"/>
              </w:rPr>
              <w:t>Pilot Average AUM per User</w:t>
            </w:r>
          </w:p>
        </w:tc>
        <w:tc>
          <w:tcPr>
            <w:tcW w:type="dxa" w:w="3173"/>
          </w:tcPr>
          <w:p>
            <w:r>
              <w:rPr>
                <w:color w:val="1E293B"/>
                <w:sz w:val="18"/>
              </w:rPr>
              <w:t>The average investment balance held by active users in the pilot after 3 months from their first investment.</w:t>
            </w:r>
          </w:p>
        </w:tc>
        <w:tc>
          <w:tcPr>
            <w:tcW w:type="dxa" w:w="3173"/>
          </w:tcPr>
          <w:p>
            <w:r>
              <w:rPr>
                <w:color w:val="1E293B"/>
                <w:sz w:val="18"/>
              </w:rPr>
              <w:t>&gt;AED 5,000</w:t>
            </w:r>
          </w:p>
        </w:tc>
      </w:tr>
      <w:tr>
        <w:tc>
          <w:tcPr>
            <w:tcW w:type="dxa" w:w="3173"/>
          </w:tcPr>
          <w:p>
            <w:r>
              <w:rPr>
                <w:color w:val="1E293B"/>
                <w:sz w:val="18"/>
              </w:rPr>
              <w:t>Pilot Total AUM</w:t>
            </w:r>
          </w:p>
        </w:tc>
        <w:tc>
          <w:tcPr>
            <w:tcW w:type="dxa" w:w="3173"/>
          </w:tcPr>
          <w:p>
            <w:r>
              <w:rPr>
                <w:color w:val="1E293B"/>
                <w:sz w:val="18"/>
              </w:rPr>
              <w:t>Total Assets Under Management accumulated from all pilot users within the first 3 months of the pilot launch.</w:t>
            </w:r>
          </w:p>
        </w:tc>
        <w:tc>
          <w:tcPr>
            <w:tcW w:type="dxa" w:w="3173"/>
          </w:tcPr>
          <w:p>
            <w:r>
              <w:rPr>
                <w:color w:val="1E293B"/>
                <w:sz w:val="18"/>
              </w:rPr>
              <w:t>AED 5 million</w:t>
            </w:r>
          </w:p>
        </w:tc>
      </w:tr>
    </w:tbl>
    <w:p/>
    <w:p>
      <w:r>
        <w:rPr>
          <w:b/>
          <w:color w:val="4F46E5"/>
          <w:sz w:val="20"/>
        </w:rPr>
        <w:t>Decision gate: The product will proceed to Scale if the Pilot Average AUM per User exceeds AED 5,000 and the Pilot Activation Rate is greater than 40%.</w:t>
      </w:r>
    </w:p>
    <w:p>
      <w:pPr>
        <w:spacing w:before="360"/>
        <w:jc w:val="center"/>
      </w:pPr>
      <w:r>
        <w:rPr>
          <w:color w:val="64748B"/>
          <w:sz w:val="16"/>
        </w:rPr>
        <w:t>Generated by Alchemy · New Horizons portfolio · 11 Jun 2026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Helvetica" w:hAnsi="Helvetica"/>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