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51" w:line="259" w:lineRule="auto"/>
        <w:ind w:left="2" w:right="131" w:hanging="542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color w:val="c70f2d"/>
          <w:sz w:val="42"/>
          <w:szCs w:val="42"/>
        </w:rPr>
        <w:drawing>
          <wp:inline distB="114300" distT="114300" distL="114300" distR="114300">
            <wp:extent cx="1113593" cy="1062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593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c70f2d"/>
          <w:sz w:val="42"/>
          <w:szCs w:val="42"/>
          <w:rtl w:val="0"/>
        </w:rPr>
        <w:t xml:space="preserve">DEPARTMENT OF APEX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259" w:lineRule="auto"/>
        <w:ind w:left="2" w:firstLine="0"/>
        <w:jc w:val="center"/>
        <w:rPr>
          <w:rFonts w:ascii="Times New Roman" w:cs="Times New Roman" w:eastAsia="Times New Roman" w:hAnsi="Times New Roman"/>
          <w:b w:val="1"/>
          <w:bCs w:val="1"/>
          <w:sz w:val="35"/>
          <w:szCs w:val="3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u w:val="single"/>
          <w:rtl w:val="0"/>
        </w:rPr>
        <w:t xml:space="preserve">PROJECTPROPOSAL</w:t>
      </w:r>
    </w:p>
    <w:p w:rsidR="00000000" w:rsidDel="00000000" w:rsidP="00000000" w:rsidRDefault="00000000" w:rsidRPr="00000000" w14:paraId="00000003">
      <w:pPr>
        <w:spacing w:line="259" w:lineRule="auto"/>
        <w:ind w:left="-3" w:firstLine="257"/>
        <w:rPr>
          <w:rFonts w:ascii="Times New Roman" w:cs="Times New Roman" w:eastAsia="Times New Roman" w:hAnsi="Times New Roman"/>
          <w:b w:val="1"/>
          <w:bCs w:val="1"/>
          <w:color w:val="1f4e7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-3" w:firstLine="2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7"/>
          <w:szCs w:val="27"/>
          <w:rtl w:val="0"/>
        </w:rPr>
        <w:t xml:space="preserve">STUDENTS DETAILS</w:t>
      </w:r>
      <w:r w:rsidDel="00000000" w:rsidR="00000000" w:rsidRPr="00000000">
        <w:rPr>
          <w:rtl w:val="0"/>
        </w:rPr>
      </w:r>
    </w:p>
    <w:tbl>
      <w:tblPr>
        <w:tblStyle w:val="Table1"/>
        <w:tblW w:w="9822.0" w:type="dxa"/>
        <w:jc w:val="center"/>
        <w:tblLayout w:type="fixed"/>
        <w:tblLook w:val="0400"/>
      </w:tblPr>
      <w:tblGrid>
        <w:gridCol w:w="4155"/>
        <w:gridCol w:w="3396"/>
        <w:gridCol w:w="2271"/>
        <w:tblGridChange w:id="0">
          <w:tblGrid>
            <w:gridCol w:w="4155"/>
            <w:gridCol w:w="3396"/>
            <w:gridCol w:w="2271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</w:tcPr>
          <w:p w:rsidR="00000000" w:rsidDel="00000000" w:rsidP="00000000" w:rsidRDefault="00000000" w:rsidRPr="00000000" w14:paraId="00000005">
            <w:pPr>
              <w:spacing w:line="259" w:lineRule="auto"/>
              <w:ind w:left="15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</w:tcPr>
          <w:p w:rsidR="00000000" w:rsidDel="00000000" w:rsidP="00000000" w:rsidRDefault="00000000" w:rsidRPr="00000000" w14:paraId="00000006">
            <w:pPr>
              <w:spacing w:line="259" w:lineRule="auto"/>
              <w:ind w:left="16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</w:tcPr>
          <w:p w:rsidR="00000000" w:rsidDel="00000000" w:rsidP="00000000" w:rsidRDefault="00000000" w:rsidRPr="00000000" w14:paraId="00000007">
            <w:pPr>
              <w:spacing w:line="259" w:lineRule="auto"/>
              <w:ind w:left="163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Aryan Dhasmana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259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23BCB10081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Aryan 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259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Vishal Gupta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259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23BCB10080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259" w:lineRule="auto"/>
              <w:ind w:left="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Vishal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259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Simranjit Kaur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0F">
            <w:pPr>
              <w:spacing w:line="259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23BCB10084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259" w:lineRule="auto"/>
              <w:ind w:left="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Simranjit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Nikhil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2">
            <w:pPr>
              <w:spacing w:line="259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23BCB10033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3">
            <w:pPr>
              <w:spacing w:line="259" w:lineRule="auto"/>
              <w:ind w:left="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Nikhil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259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Isha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259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23BCB10053</w:t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259" w:lineRule="auto"/>
              <w:ind w:left="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Isha</w:t>
            </w:r>
          </w:p>
        </w:tc>
      </w:tr>
    </w:tbl>
    <w:p w:rsidR="00000000" w:rsidDel="00000000" w:rsidP="00000000" w:rsidRDefault="00000000" w:rsidRPr="00000000" w14:paraId="00000017">
      <w:pPr>
        <w:spacing w:after="83" w:line="24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3" w:line="249" w:lineRule="auto"/>
        <w:ind w:left="267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30" w:before="0" w:line="259" w:lineRule="auto"/>
        <w:ind w:left="-5" w:firstLine="0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1. Project Title: -</w:t>
      </w:r>
    </w:p>
    <w:p w:rsidR="00000000" w:rsidDel="00000000" w:rsidP="00000000" w:rsidRDefault="00000000" w:rsidRPr="00000000" w14:paraId="0000001A">
      <w:pPr>
        <w:spacing w:after="83" w:line="249" w:lineRule="auto"/>
        <w:ind w:left="257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ML-Optimized Vehicle Routing for Urban Delivery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3" w:line="249" w:lineRule="auto"/>
        <w:ind w:left="267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2" w:before="0" w:line="259" w:lineRule="auto"/>
        <w:ind w:left="-5" w:firstLine="0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2. Objectives:-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machine learning–enhanced stochastic VRP framework for urban delivery networks.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expected routing cost under uncertainty using predictive modeling.</w:t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 ML-optimized solutions against OR-Tools and heuristic baselines.</w:t>
        <w:br w:type="textWrapping"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scalability for instances ranging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 to 5000 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statistically grounded performance evaluation using Monte Carlo simulation (single global seed = 42).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machine learning–enhanced stochastic VRP framework for urban delivery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2" w:before="0" w:line="259" w:lineRule="auto"/>
        <w:ind w:left="-5" w:firstLine="0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3. Project Scope:-</w:t>
      </w:r>
    </w:p>
    <w:p w:rsidR="00000000" w:rsidDel="00000000" w:rsidP="00000000" w:rsidRDefault="00000000" w:rsidRPr="00000000" w14:paraId="00000024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research focuses on optimizing stochastic vehicle routing for urban delivery services over a real-world road network modeled after Chandigarh. The study leverages the ChandiSVRPBench framework to generate structured SVRP instances and evaluate solver performance under uncertainty.</w:t>
      </w:r>
    </w:p>
    <w:p w:rsidR="00000000" w:rsidDel="00000000" w:rsidP="00000000" w:rsidRDefault="00000000" w:rsidRPr="00000000" w14:paraId="00000025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problem formulation considers: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Capacitated Vehicle Routing Problem (CVRP)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demands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service times at customer locations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Stochastic travel-time variability</w:t>
        <w:br w:type="textWrapping"/>
      </w:r>
    </w:p>
    <w:p w:rsidR="00000000" w:rsidDel="00000000" w:rsidP="00000000" w:rsidRDefault="00000000" w:rsidRPr="00000000" w14:paraId="0000002A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Instances range from 50 to 5000 customers, enabling both medium-scale and large-scale benchmarking.</w:t>
      </w:r>
    </w:p>
    <w:p w:rsidR="00000000" w:rsidDel="00000000" w:rsidP="00000000" w:rsidRDefault="00000000" w:rsidRPr="00000000" w14:paraId="0000002B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Uncertainty is modeled through: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Lognormal multiplicative travel-time delays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Probabilistic accident delays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Distance-dependent stochastic scaling</w:t>
        <w:br w:type="textWrapping"/>
      </w:r>
    </w:p>
    <w:p w:rsidR="00000000" w:rsidDel="00000000" w:rsidP="00000000" w:rsidRDefault="00000000" w:rsidRPr="00000000" w14:paraId="0000002F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research does not include: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Time-of-day modeling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 peak-hour congestion modeling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Learning-augmented heuristics (no adaptive destroy-repair learning)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Multi-seed experimentation (global seed fixed at 42)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Fleet-level modeling beyond capacity constraints</w:t>
        <w:br w:type="textWrapping"/>
      </w:r>
    </w:p>
    <w:p w:rsidR="00000000" w:rsidDel="00000000" w:rsidP="00000000" w:rsidRDefault="00000000" w:rsidRPr="00000000" w14:paraId="00000035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focus remains on improving expected routing performance under stochastic travel-time realizations through machine learning–based predictive enhancement of cost estimation.</w:t>
      </w:r>
    </w:p>
    <w:p w:rsidR="00000000" w:rsidDel="00000000" w:rsidP="00000000" w:rsidRDefault="00000000" w:rsidRPr="00000000" w14:paraId="00000036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research questions: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ML-based travel-time prediction reduce expected routing cost under stochastic disturbances?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ML-optimized OR-Tools compare with deterministic OR-Tools under stochastic evaluation?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performance scale from 50 to 5000 customers?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trade-off between solution quality and computational time?</w:t>
        <w:br w:type="textWrapping"/>
      </w:r>
    </w:p>
    <w:p w:rsidR="00000000" w:rsidDel="00000000" w:rsidP="00000000" w:rsidRDefault="00000000" w:rsidRPr="00000000" w14:paraId="0000003B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deliverable is a reproducible, statistically evaluated optimization framework suitable for publication.</w:t>
      </w:r>
    </w:p>
    <w:p w:rsidR="00000000" w:rsidDel="00000000" w:rsidP="00000000" w:rsidRDefault="00000000" w:rsidRPr="00000000" w14:paraId="0000003C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slxtoo7xd2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Project Goal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intelligent vehicle routing framework for urban delivery.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Machine Learning models with optimization techniques.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dynamic, data-driven route generation.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delivery time, fuel consumption, and operational cost.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nev2bjajve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Problem Context</w:t>
      </w:r>
    </w:p>
    <w:p w:rsidR="00000000" w:rsidDel="00000000" w:rsidP="00000000" w:rsidRDefault="00000000" w:rsidRPr="00000000" w14:paraId="00000043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delivery systems face: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Fluctuating customer demand.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traffic congestion.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capacity constraints.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 delivery time windows.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operational costs.</w:t>
      </w:r>
    </w:p>
    <w:p w:rsidR="00000000" w:rsidDel="00000000" w:rsidP="00000000" w:rsidRDefault="00000000" w:rsidRPr="00000000" w14:paraId="00000049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 of Traditional VRP: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Assumes static demand and travel times.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adapt to real-time traffic variations.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 leads to suboptimal routes in dynamic environments.</w:t>
      </w:r>
    </w:p>
    <w:p w:rsidR="00000000" w:rsidDel="00000000" w:rsidP="00000000" w:rsidRDefault="00000000" w:rsidRPr="00000000" w14:paraId="0000004D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4.Optimization Component:-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gltarwc6r7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VRP Formulation</w:t>
      </w:r>
    </w:p>
    <w:p w:rsidR="00000000" w:rsidDel="00000000" w:rsidP="00000000" w:rsidRDefault="00000000" w:rsidRPr="00000000" w14:paraId="00000050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problem is modeled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Capacitated Vehicle Routing Problem (CVRP)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optional time windows: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Vehicles have capacity QkQ_kQk​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have demand qiq_iqi​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time sis_isi​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Objective: minimize expected travel cost and service penalties under stochastic realizations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xc3ctxqikb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Solver Families Benchmarked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kxt0l8bb8h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Classical Solver Baseline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OR-Tools CVRP / VRPTW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5y7ag1kr0u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Metaheuristics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ALNS (Adaptive Large Neighborhood Search)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 (Ant Colony Optimization)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ABC (Artificial Bee Colony)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swarm-inspired variants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arahelluvt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Learning-Augmented Methods (Benchmarking Only)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RL-based route construction policies</w:t>
        <w:br w:type="textWrapping"/>
      </w:r>
    </w:p>
    <w:p w:rsidR="00000000" w:rsidDel="00000000" w:rsidP="00000000" w:rsidRDefault="00000000" w:rsidRPr="00000000" w14:paraId="0000005F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solvers are evaluated under identical stochastic simulation settings.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416x3p6mgn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Simulation Framework</w:t>
      </w:r>
    </w:p>
    <w:p w:rsidR="00000000" w:rsidDel="00000000" w:rsidP="00000000" w:rsidRDefault="00000000" w:rsidRPr="00000000" w14:paraId="00000061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scenario-based stochastic simulator evaluates routing robustness.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nr7elnkgna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Simulated Dynamics: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Time-dependent travel-time multipliers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Stochastic noise (lognormal shocks)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Incident-based travel-time disruptions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ki5b9vn1zy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Rolling-Horizon Execution: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routes using forecasts over horizon HHH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partially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Re-optimize upon new stochastic realizations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kipoth44mm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Experimental Regimes: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/ medium / high demand intensity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Mild vs heavy congestion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Fleet size and capacity variations</w:t>
        <w:br w:type="textWrapping"/>
      </w:r>
    </w:p>
    <w:p w:rsidR="00000000" w:rsidDel="00000000" w:rsidP="00000000" w:rsidRDefault="00000000" w:rsidRPr="00000000" w14:paraId="0000006E">
      <w:pPr>
        <w:spacing w:after="24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4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ed7gumiagu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Performance Evaluation Metrics</w:t>
      </w:r>
    </w:p>
    <w:p w:rsidR="00000000" w:rsidDel="00000000" w:rsidP="00000000" w:rsidRDefault="00000000" w:rsidRPr="00000000" w14:paraId="00000070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KPIs are reported: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operational cost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per delivery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lateness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95th percentile lateness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Robustness (mean ± standard deviation across scenarios)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Computational runtime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 cost gap relative to best-performing solver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g6tucd512y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Web-Based Visualization Prototype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dashboard.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Map-based route visualization.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performance comparison.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simulation tool.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User-friendly interface for demonstration.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15gr0l35f5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Expected Outcome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routing efficiency.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operational cost.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fleet utilization.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delivery times.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Demonstration of superiority over traditional VRP methods.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prototype suitable for smart-city logistics systems.</w:t>
      </w:r>
    </w:p>
    <w:p w:rsidR="00000000" w:rsidDel="00000000" w:rsidP="00000000" w:rsidRDefault="00000000" w:rsidRPr="00000000" w14:paraId="00000086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3. Dataset Overview: -</w:t>
      </w:r>
    </w:p>
    <w:p w:rsidR="00000000" w:rsidDel="00000000" w:rsidP="00000000" w:rsidRDefault="00000000" w:rsidRPr="00000000" w14:paraId="00000087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study adopts a dataset generation methodology aligned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SVRP-Bench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structured benchmark specifically designed for Stochastic Vehicle Routing Problems (SVRP). SVRP-Bench provides a controlled experimental framework that integrates graph-based road networks, heterogeneous customer demand distributions, and stochastic travel-time perturbations. Its architecture enables systematic and fair comparison of routing algorithms under uncertainty, making it well-suited for research-oriented performance evaluation.</w:t>
      </w:r>
    </w:p>
    <w:p w:rsidR="00000000" w:rsidDel="00000000" w:rsidP="00000000" w:rsidRDefault="00000000" w:rsidRPr="00000000" w14:paraId="00000088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adhering to this benchmark protocol, the proposed research ensures: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Methodological consistency with prior stochastic VRP studies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randomness with reproducible instance generation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 across varying problem sizes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Statistically reliable evaluation under simulated uncertainty</w:t>
        <w:br w:type="textWrapping"/>
      </w:r>
    </w:p>
    <w:p w:rsidR="00000000" w:rsidDel="00000000" w:rsidP="00000000" w:rsidRDefault="00000000" w:rsidRPr="00000000" w14:paraId="0000008D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developed in this work mirrors the SVRP-Bench framework while adapting it to an urban road network setting. Instances are generated with sizes ranging from 50 to 5000 customers, facilitating scalability analysis across medium- and large-scale routing scenarios.</w:t>
      </w:r>
    </w:p>
    <w:p w:rsidR="00000000" w:rsidDel="00000000" w:rsidP="00000000" w:rsidRDefault="00000000" w:rsidRPr="00000000" w14:paraId="0000008E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Dataset Generation Methodology</w:t>
      </w:r>
    </w:p>
    <w:p w:rsidR="00000000" w:rsidDel="00000000" w:rsidP="00000000" w:rsidRDefault="00000000" w:rsidRPr="00000000" w14:paraId="00000090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generation follows the standardized framework used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SVRP-Bench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reproducibility and comparability with established stochastic VRP benchmarks.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road network modeled as a directed weighted graph.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(50–5000 per instance) sampled from valid graph nodes.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drawn from Poisson distribution (λ = 4), clipped to [1,10].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times uniformly distributed between 120–480 seconds.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Homogeneous vehicles with fixed capacity constraints.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fe35xfkbds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Stochastic Travel-Time Model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travel time derived from shortest-path distance.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Lognormal multiplicative delay factor.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Probabilistic additive accident delays.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Distance-dependent stochastic scaling.</w:t>
        <w:br w:type="textWrapping"/>
      </w:r>
    </w:p>
    <w:p w:rsidR="00000000" w:rsidDel="00000000" w:rsidP="00000000" w:rsidRDefault="00000000" w:rsidRPr="00000000" w14:paraId="0000009B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instances are generated with a fixed global seed (42) and stored in structured JSON format.</w:t>
      </w:r>
    </w:p>
    <w:p w:rsidR="00000000" w:rsidDel="00000000" w:rsidP="00000000" w:rsidRDefault="00000000" w:rsidRPr="00000000" w14:paraId="0000009C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9" w:lineRule="auto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4. Requirements: -</w:t>
      </w:r>
    </w:p>
    <w:p w:rsidR="00000000" w:rsidDel="00000000" w:rsidP="00000000" w:rsidRDefault="00000000" w:rsidRPr="00000000" w14:paraId="0000009E">
      <w:pPr>
        <w:spacing w:after="240" w:before="240" w:line="249" w:lineRule="auto"/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242" w:before="0" w:line="259" w:lineRule="auto"/>
        <w:ind w:left="-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zo3f4exhfs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Programming Languages: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For ML model development, optimization algorithms, simulation, and backend integration.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(React.js / Vue.js)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For frontend web visualization.</w:t>
        <w:br w:type="textWrapping"/>
        <w:br w:type="textWrapping"/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yx6qdfret1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Machine Learning Libraries: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Regression and classification models (Random Forest, Gradient Boosting).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/ PyTorch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Deep learning models (LSTM for time-series traffic forecasting).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XGBoost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High-performance gradient boosting.</w:t>
        <w:br w:type="textWrapping"/>
      </w:r>
    </w:p>
    <w:p w:rsidR="00000000" w:rsidDel="00000000" w:rsidP="00000000" w:rsidRDefault="00000000" w:rsidRPr="00000000" w14:paraId="000000A7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Optimization and Routing Libraries: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OR-Tools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Classical VRP solver for benchmarking.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Graph modeling and shortest path algorithms.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Genetic Algorithm implementation.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PyGAD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Metaheuristic optimization.</w:t>
        <w:br w:type="textWrapping"/>
      </w:r>
    </w:p>
    <w:p w:rsidR="00000000" w:rsidDel="00000000" w:rsidP="00000000" w:rsidRDefault="00000000" w:rsidRPr="00000000" w14:paraId="000000AC">
      <w:pPr>
        <w:spacing w:after="2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Data Handling: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Data preprocessing.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Numerical computations.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Geospatial data handling.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OpenStreetMap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Real-world road network data.</w:t>
        <w:br w:type="textWrapping"/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34rjya7usb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Data Analysis and Visualization Tools: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Matplotlib / Seaborn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Performance visualization.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Interactive dashboards.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Folium / Leaflet.js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Map-based route visualization.</w:t>
        <w:br w:type="textWrapping"/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8os0g9h54p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Web Development: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Flask / 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Backend API for route computation.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React.js (optional)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Interactive frontend.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Deployment containerization.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kui7x4zvzk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74b5"/>
          <w:sz w:val="31"/>
          <w:szCs w:val="31"/>
          <w:rtl w:val="0"/>
        </w:rPr>
        <w:t xml:space="preserve">5.Proposed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methodology follows an SVRP-style evaluation framework: stochastic urban routing instances are constructed, multiple solver paradigms generate routes, and robustness is evaluated through scenario-based simulation.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8te0uit18y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System Framework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workflow consists of four main stages: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Urban Data Layer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Chandigarh road network modeled as a directed weighted graph G = (V, E). Depot and customer nodes defined with demand and service times.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Forecasting Layer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intensity modeling and travel-time multiplier prediction.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Routing Layer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 and metaheuristic solvers generate candidate routes.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Stochastic Simulation and Evaluation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Scenario-based rollouts under stochastic travel-time realizations. Performance measured via cost, lateness, runtime, and robustness.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xkw70k60cw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Problem Formulation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Customers i ∈ {1,...,n} have demand qi and service time si. Vehicles k ∈ {1,...,m} have capacity Qk.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Stochastic travel time on edge (u,v) is modeled as: T_uv(t) = τ_uv(t) × ε_uv(t), where τ_uv(t) is the predicted mean and ε_uv(t) captures stochastic shocks.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minimize expected operational cost and service penalties under uncertainty.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369dc91lv0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Routing Algorithms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solver families are benchmarked under identical stochastic simulation: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Classical Baseline: OR-Tools CVRP / VRPTW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Metaheuristics: ALNS, ACO, ABC, and hybrid variants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Learning-based methods for benchmarking comparison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5mbt9fqtsk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Rolling-Horizon Execution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Routes are planned using forecasts over a fixed horizon, executed for a short interval, and re-optimized as new stochastic realizations are revealed. This models real-world dispatch behavior and measures route stability and replanning cost.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9up6wcf3s1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E. Experimental Evaluation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Scenarios vary across demand intensity, traffic severity, and fleet configuration.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metrics include: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cost and cost per delivery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and 95th percentile lateness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 and robustness (mean ± standard deviation)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="24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Scalability is analyzed separately for instances with n &lt; 1000 and n ≥ 1000 customers.</w:t>
      </w:r>
    </w:p>
    <w:p w:rsidR="00000000" w:rsidDel="00000000" w:rsidP="00000000" w:rsidRDefault="00000000" w:rsidRPr="00000000" w14:paraId="000000D7">
      <w:pPr>
        <w:spacing w:after="240" w:before="240" w:line="24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8" w:line="259" w:lineRule="auto"/>
        <w:ind w:left="-3" w:firstLine="25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7"/>
          <w:szCs w:val="27"/>
          <w:rtl w:val="0"/>
        </w:rPr>
        <w:t xml:space="preserve">APPROVAL AND AUTHORITY TO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9" w:lineRule="auto"/>
        <w:ind w:left="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We approve the project as described above, and authorize the team to proceed.</w:t>
      </w: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center"/>
        <w:tblLayout w:type="fixed"/>
        <w:tblLook w:val="0400"/>
      </w:tblPr>
      <w:tblGrid>
        <w:gridCol w:w="3468"/>
        <w:gridCol w:w="3448"/>
        <w:gridCol w:w="2860"/>
        <w:tblGridChange w:id="0">
          <w:tblGrid>
            <w:gridCol w:w="3468"/>
            <w:gridCol w:w="3448"/>
            <w:gridCol w:w="28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DA">
            <w:pPr>
              <w:spacing w:line="259" w:lineRule="auto"/>
              <w:ind w:right="47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DB">
            <w:pPr>
              <w:spacing w:line="259" w:lineRule="auto"/>
              <w:ind w:right="47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shd w:fill="deeaf6" w:val="clear"/>
          </w:tcPr>
          <w:p w:rsidR="00000000" w:rsidDel="00000000" w:rsidP="00000000" w:rsidRDefault="00000000" w:rsidRPr="00000000" w14:paraId="000000DC">
            <w:pPr>
              <w:spacing w:after="99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(With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line="259" w:lineRule="auto"/>
              <w:ind w:right="40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59" w:lineRule="auto"/>
              <w:ind w:right="4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9bd4" w:space="0" w:sz="4" w:val="single"/>
              <w:left w:color="5b9bd4" w:space="0" w:sz="6" w:val="single"/>
              <w:bottom w:color="5b9bd4" w:space="0" w:sz="4" w:val="single"/>
              <w:right w:color="5b9bd4" w:space="0" w:sz="6" w:val="single"/>
            </w:tcBorders>
          </w:tcPr>
          <w:p w:rsidR="00000000" w:rsidDel="00000000" w:rsidP="00000000" w:rsidRDefault="00000000" w:rsidRPr="00000000" w14:paraId="000000E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3" w:line="249" w:lineRule="auto"/>
        <w:ind w:left="267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.0" w:type="dxa"/>
        <w:left w:w="6.0" w:type="dxa"/>
        <w:bottom w:w="0.0" w:type="dxa"/>
        <w:right w:w="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1.0" w:type="dxa"/>
        <w:left w:w="610.0" w:type="dxa"/>
        <w:bottom w:w="26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