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CF02" w14:textId="77777777" w:rsidR="00366FAD" w:rsidRDefault="00000000">
      <w:pPr>
        <w:pStyle w:val="Heading1"/>
        <w:keepNext w:val="0"/>
        <w:keepLines w:val="0"/>
        <w:spacing w:before="0" w:after="0" w:line="240" w:lineRule="auto"/>
        <w:rPr>
          <w:rFonts w:ascii="Roboto" w:eastAsia="Roboto" w:hAnsi="Roboto" w:cs="Roboto"/>
        </w:rPr>
      </w:pPr>
      <w:bookmarkStart w:id="0" w:name="_heading=h.6g2yhguf3rfr" w:colFirst="0" w:colLast="0"/>
      <w:bookmarkEnd w:id="0"/>
      <w:r>
        <w:rPr>
          <w:rFonts w:ascii="Roboto" w:eastAsia="Roboto" w:hAnsi="Roboto" w:cs="Roboto"/>
          <w:b/>
          <w:bCs/>
          <w:sz w:val="46"/>
          <w:szCs w:val="46"/>
        </w:rPr>
        <w:t>C:\&gt;DIR Global 'Agentic Regulator' Hackathon: Concept Note Template</w:t>
      </w:r>
    </w:p>
    <w:p w14:paraId="44846F25" w14:textId="77777777" w:rsidR="00366FAD" w:rsidRDefault="00000000">
      <w:pPr>
        <w:pStyle w:val="Heading1"/>
        <w:rPr>
          <w:rFonts w:ascii="Roboto" w:eastAsia="Roboto" w:hAnsi="Roboto" w:cs="Roboto"/>
        </w:rPr>
      </w:pPr>
      <w:bookmarkStart w:id="1" w:name="_heading=h.g6b3cmvr4wqp" w:colFirst="0" w:colLast="0"/>
      <w:bookmarkEnd w:id="1"/>
      <w:r>
        <w:rPr>
          <w:rFonts w:ascii="Roboto" w:eastAsia="Roboto" w:hAnsi="Roboto" w:cs="Roboto"/>
        </w:rPr>
        <w:t>COVER PAGE</w:t>
      </w:r>
    </w:p>
    <w:p w14:paraId="27A8BC1B" w14:textId="77777777" w:rsidR="00366FAD" w:rsidRDefault="00000000">
      <w:pPr>
        <w:pStyle w:val="Heading2"/>
        <w:rPr>
          <w:rFonts w:ascii="Roboto" w:eastAsia="Roboto" w:hAnsi="Roboto" w:cs="Roboto"/>
          <w:b/>
          <w:bCs/>
          <w:sz w:val="28"/>
          <w:szCs w:val="28"/>
        </w:rPr>
      </w:pPr>
      <w:bookmarkStart w:id="2" w:name="_heading=h.7q5dc5zz74w" w:colFirst="0" w:colLast="0"/>
      <w:bookmarkEnd w:id="2"/>
      <w:r>
        <w:rPr>
          <w:rFonts w:ascii="Roboto" w:eastAsia="Roboto" w:hAnsi="Roboto" w:cs="Roboto"/>
          <w:b/>
          <w:bCs/>
          <w:sz w:val="28"/>
          <w:szCs w:val="28"/>
        </w:rPr>
        <w:t>Team Details</w:t>
      </w:r>
    </w:p>
    <w:tbl>
      <w:tblPr>
        <w:tblStyle w:val="a"/>
        <w:tblW w:w="90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745"/>
        <w:gridCol w:w="6285"/>
      </w:tblGrid>
      <w:tr w:rsidR="00366FAD" w14:paraId="57FD0F59" w14:textId="77777777" w:rsidTr="00366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0F450D3C" w14:textId="77777777" w:rsidR="00366FAD" w:rsidRDefault="00000000">
            <w:pPr>
              <w:rPr>
                <w:rFonts w:ascii="Roboto" w:eastAsia="Roboto" w:hAnsi="Roboto" w:cs="Roboto"/>
              </w:rPr>
            </w:pPr>
            <w:r>
              <w:rPr>
                <w:rFonts w:ascii="Roboto" w:eastAsia="Roboto" w:hAnsi="Roboto" w:cs="Roboto"/>
              </w:rPr>
              <w:t>Team Name</w:t>
            </w:r>
          </w:p>
        </w:tc>
        <w:tc>
          <w:tcPr>
            <w:tcW w:w="6285" w:type="dxa"/>
            <w:shd w:val="clear" w:color="auto" w:fill="FFFFFF"/>
          </w:tcPr>
          <w:p w14:paraId="67197DD4" w14:textId="1E588897" w:rsidR="00366FAD" w:rsidRDefault="00457AA4">
            <w:pPr>
              <w:cnfStyle w:val="000000100000" w:firstRow="0" w:lastRow="0" w:firstColumn="0" w:lastColumn="0" w:oddVBand="0" w:evenVBand="0" w:oddHBand="1" w:evenHBand="0" w:firstRowFirstColumn="0" w:firstRowLastColumn="0" w:lastRowFirstColumn="0" w:lastRowLastColumn="0"/>
              <w:rPr>
                <w:rFonts w:ascii="Roboto" w:eastAsia="Roboto" w:hAnsi="Roboto" w:cs="Roboto"/>
              </w:rPr>
            </w:pPr>
            <w:r>
              <w:rPr>
                <w:rFonts w:ascii="Roboto" w:eastAsia="Roboto" w:hAnsi="Roboto" w:cs="Roboto"/>
              </w:rPr>
              <w:t>COLFI</w:t>
            </w:r>
          </w:p>
        </w:tc>
      </w:tr>
      <w:tr w:rsidR="00366FAD" w14:paraId="4391CF27" w14:textId="77777777" w:rsidTr="00366FAD">
        <w:tc>
          <w:tcPr>
            <w:cnfStyle w:val="001000000000" w:firstRow="0" w:lastRow="0" w:firstColumn="1" w:lastColumn="0" w:oddVBand="0" w:evenVBand="0" w:oddHBand="0" w:evenHBand="0" w:firstRowFirstColumn="0" w:firstRowLastColumn="0" w:lastRowFirstColumn="0" w:lastRowLastColumn="0"/>
            <w:tcW w:w="2745" w:type="dxa"/>
            <w:shd w:val="clear" w:color="auto" w:fill="F2F2F2"/>
          </w:tcPr>
          <w:p w14:paraId="2242A14D" w14:textId="77777777" w:rsidR="00366FAD" w:rsidRDefault="00000000">
            <w:pPr>
              <w:rPr>
                <w:rFonts w:ascii="Roboto" w:eastAsia="Roboto" w:hAnsi="Roboto" w:cs="Roboto"/>
              </w:rPr>
            </w:pPr>
            <w:r>
              <w:rPr>
                <w:rFonts w:ascii="Roboto" w:eastAsia="Roboto" w:hAnsi="Roboto" w:cs="Roboto"/>
              </w:rPr>
              <w:t>Problem Space Name</w:t>
            </w:r>
          </w:p>
        </w:tc>
        <w:tc>
          <w:tcPr>
            <w:tcW w:w="6285" w:type="dxa"/>
            <w:shd w:val="clear" w:color="auto" w:fill="FFFFFF"/>
          </w:tcPr>
          <w:p w14:paraId="7132C3E3" w14:textId="20E8A74B" w:rsidR="00366FAD" w:rsidRDefault="00457AA4">
            <w:pPr>
              <w:cnfStyle w:val="000000000000" w:firstRow="0" w:lastRow="0" w:firstColumn="0" w:lastColumn="0" w:oddVBand="0" w:evenVBand="0" w:oddHBand="0" w:evenHBand="0" w:firstRowFirstColumn="0" w:firstRowLastColumn="0" w:lastRowFirstColumn="0" w:lastRowLastColumn="0"/>
              <w:rPr>
                <w:rFonts w:ascii="Roboto" w:eastAsia="Roboto" w:hAnsi="Roboto" w:cs="Roboto"/>
              </w:rPr>
            </w:pPr>
            <w:r>
              <w:t>Market Manipulation, Agentic Herding &amp; Stability</w:t>
            </w:r>
          </w:p>
        </w:tc>
      </w:tr>
      <w:tr w:rsidR="00366FAD" w14:paraId="06CCCC15" w14:textId="77777777" w:rsidTr="00366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4BC4F664" w14:textId="77777777" w:rsidR="00366FAD" w:rsidRDefault="00000000">
            <w:pPr>
              <w:rPr>
                <w:rFonts w:ascii="Roboto" w:eastAsia="Roboto" w:hAnsi="Roboto" w:cs="Roboto"/>
              </w:rPr>
            </w:pPr>
            <w:r>
              <w:rPr>
                <w:rFonts w:ascii="Roboto" w:eastAsia="Roboto" w:hAnsi="Roboto" w:cs="Roboto"/>
              </w:rPr>
              <w:t>Primary Contact Name</w:t>
            </w:r>
          </w:p>
        </w:tc>
        <w:tc>
          <w:tcPr>
            <w:tcW w:w="6285" w:type="dxa"/>
            <w:shd w:val="clear" w:color="auto" w:fill="FFFFFF"/>
          </w:tcPr>
          <w:p w14:paraId="5E2D3165" w14:textId="772CF986" w:rsidR="00366FAD" w:rsidRDefault="00457AA4">
            <w:pPr>
              <w:cnfStyle w:val="000000100000" w:firstRow="0" w:lastRow="0" w:firstColumn="0" w:lastColumn="0" w:oddVBand="0" w:evenVBand="0" w:oddHBand="1" w:evenHBand="0" w:firstRowFirstColumn="0" w:firstRowLastColumn="0" w:lastRowFirstColumn="0" w:lastRowLastColumn="0"/>
              <w:rPr>
                <w:rFonts w:ascii="Roboto" w:eastAsia="Roboto" w:hAnsi="Roboto" w:cs="Roboto"/>
              </w:rPr>
            </w:pPr>
            <w:r>
              <w:rPr>
                <w:rFonts w:ascii="Roboto" w:eastAsia="Roboto" w:hAnsi="Roboto" w:cs="Roboto"/>
              </w:rPr>
              <w:t>Noha Berrada</w:t>
            </w:r>
          </w:p>
        </w:tc>
      </w:tr>
      <w:tr w:rsidR="00366FAD" w14:paraId="60DA1239" w14:textId="77777777" w:rsidTr="00366FAD">
        <w:tc>
          <w:tcPr>
            <w:cnfStyle w:val="001000000000" w:firstRow="0" w:lastRow="0" w:firstColumn="1" w:lastColumn="0" w:oddVBand="0" w:evenVBand="0" w:oddHBand="0" w:evenHBand="0" w:firstRowFirstColumn="0" w:firstRowLastColumn="0" w:lastRowFirstColumn="0" w:lastRowLastColumn="0"/>
            <w:tcW w:w="2745" w:type="dxa"/>
            <w:shd w:val="clear" w:color="auto" w:fill="F2F2F2"/>
          </w:tcPr>
          <w:p w14:paraId="79BDF3AE" w14:textId="77777777" w:rsidR="00366FAD" w:rsidRDefault="00000000">
            <w:pPr>
              <w:rPr>
                <w:rFonts w:ascii="Roboto" w:eastAsia="Roboto" w:hAnsi="Roboto" w:cs="Roboto"/>
              </w:rPr>
            </w:pPr>
            <w:r>
              <w:rPr>
                <w:rFonts w:ascii="Roboto" w:eastAsia="Roboto" w:hAnsi="Roboto" w:cs="Roboto"/>
              </w:rPr>
              <w:t>Email</w:t>
            </w:r>
          </w:p>
        </w:tc>
        <w:tc>
          <w:tcPr>
            <w:tcW w:w="6285" w:type="dxa"/>
            <w:shd w:val="clear" w:color="auto" w:fill="FFFFFF"/>
          </w:tcPr>
          <w:p w14:paraId="073A40F1" w14:textId="67058CC4" w:rsidR="00366FAD" w:rsidRDefault="00457AA4">
            <w:pPr>
              <w:cnfStyle w:val="000000000000" w:firstRow="0" w:lastRow="0" w:firstColumn="0" w:lastColumn="0" w:oddVBand="0" w:evenVBand="0" w:oddHBand="0" w:evenHBand="0" w:firstRowFirstColumn="0" w:firstRowLastColumn="0" w:lastRowFirstColumn="0" w:lastRowLastColumn="0"/>
              <w:rPr>
                <w:rFonts w:ascii="Roboto" w:eastAsia="Roboto" w:hAnsi="Roboto" w:cs="Roboto"/>
              </w:rPr>
            </w:pPr>
            <w:r>
              <w:rPr>
                <w:rFonts w:ascii="Roboto" w:eastAsia="Roboto" w:hAnsi="Roboto" w:cs="Roboto"/>
              </w:rPr>
              <w:t>noha.berrada@colfi.io</w:t>
            </w:r>
          </w:p>
        </w:tc>
      </w:tr>
      <w:tr w:rsidR="00366FAD" w14:paraId="29470BFC" w14:textId="77777777" w:rsidTr="00366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28FA0926" w14:textId="77777777" w:rsidR="00366FAD" w:rsidRDefault="00000000">
            <w:pPr>
              <w:rPr>
                <w:rFonts w:ascii="Roboto" w:eastAsia="Roboto" w:hAnsi="Roboto" w:cs="Roboto"/>
              </w:rPr>
            </w:pPr>
            <w:r>
              <w:rPr>
                <w:rFonts w:ascii="Roboto" w:eastAsia="Roboto" w:hAnsi="Roboto" w:cs="Roboto"/>
              </w:rPr>
              <w:t>Date Submitted</w:t>
            </w:r>
          </w:p>
        </w:tc>
        <w:tc>
          <w:tcPr>
            <w:tcW w:w="6285" w:type="dxa"/>
            <w:shd w:val="clear" w:color="auto" w:fill="FFFFFF"/>
          </w:tcPr>
          <w:p w14:paraId="1B3DB4A0" w14:textId="71813C1D" w:rsidR="00366FAD" w:rsidRDefault="00457AA4">
            <w:pPr>
              <w:cnfStyle w:val="000000100000" w:firstRow="0" w:lastRow="0" w:firstColumn="0" w:lastColumn="0" w:oddVBand="0" w:evenVBand="0" w:oddHBand="1" w:evenHBand="0" w:firstRowFirstColumn="0" w:firstRowLastColumn="0" w:lastRowFirstColumn="0" w:lastRowLastColumn="0"/>
              <w:rPr>
                <w:rFonts w:ascii="Roboto" w:eastAsia="Roboto" w:hAnsi="Roboto" w:cs="Roboto"/>
              </w:rPr>
            </w:pPr>
            <w:r>
              <w:rPr>
                <w:rFonts w:ascii="Roboto" w:eastAsia="Roboto" w:hAnsi="Roboto" w:cs="Roboto"/>
              </w:rPr>
              <w:t>09/08/2026</w:t>
            </w:r>
          </w:p>
        </w:tc>
      </w:tr>
    </w:tbl>
    <w:p w14:paraId="25A37C52" w14:textId="77777777" w:rsidR="00366FAD" w:rsidRDefault="00366FAD">
      <w:pPr>
        <w:rPr>
          <w:rFonts w:ascii="Roboto" w:eastAsia="Roboto" w:hAnsi="Roboto" w:cs="Roboto"/>
        </w:rPr>
      </w:pPr>
    </w:p>
    <w:p w14:paraId="0BE50AFE" w14:textId="77777777" w:rsidR="00366FAD" w:rsidRDefault="00366FAD">
      <w:pPr>
        <w:rPr>
          <w:rFonts w:ascii="Roboto" w:eastAsia="Roboto" w:hAnsi="Roboto" w:cs="Roboto"/>
        </w:rPr>
      </w:pPr>
    </w:p>
    <w:p w14:paraId="2E691743" w14:textId="5BB16AD1" w:rsidR="00366FAD" w:rsidRDefault="00000000">
      <w:pPr>
        <w:rPr>
          <w:rFonts w:ascii="Roboto" w:eastAsia="Roboto" w:hAnsi="Roboto" w:cs="Roboto"/>
          <w:b/>
          <w:bCs/>
          <w:sz w:val="28"/>
          <w:szCs w:val="28"/>
        </w:rPr>
      </w:pPr>
      <w:r>
        <w:rPr>
          <w:rFonts w:ascii="Roboto" w:eastAsia="Roboto" w:hAnsi="Roboto" w:cs="Roboto"/>
          <w:b/>
          <w:bCs/>
          <w:sz w:val="28"/>
          <w:szCs w:val="28"/>
        </w:rPr>
        <w:t>CONCEPT NOTE DETAILS</w:t>
      </w:r>
    </w:p>
    <w:p w14:paraId="10AE36B7" w14:textId="77777777" w:rsidR="00366FAD" w:rsidRDefault="00000000">
      <w:pPr>
        <w:pStyle w:val="Heading2"/>
        <w:rPr>
          <w:rFonts w:ascii="Roboto" w:eastAsia="Roboto" w:hAnsi="Roboto" w:cs="Roboto"/>
          <w:sz w:val="24"/>
          <w:szCs w:val="24"/>
        </w:rPr>
      </w:pPr>
      <w:bookmarkStart w:id="3" w:name="_heading=h.s3sxt94u9h1v" w:colFirst="0" w:colLast="0"/>
      <w:bookmarkEnd w:id="3"/>
      <w:r>
        <w:rPr>
          <w:rFonts w:ascii="Roboto" w:eastAsia="Roboto" w:hAnsi="Roboto" w:cs="Roboto"/>
          <w:b/>
          <w:bCs/>
          <w:sz w:val="24"/>
          <w:szCs w:val="24"/>
        </w:rPr>
        <w:t>Select Your Problem Space</w:t>
      </w:r>
    </w:p>
    <w:p w14:paraId="0675C800" w14:textId="77777777" w:rsidR="00366FAD" w:rsidRDefault="00000000">
      <w:pPr>
        <w:rPr>
          <w:rFonts w:ascii="Roboto" w:eastAsia="Roboto" w:hAnsi="Roboto" w:cs="Roboto"/>
          <w:highlight w:val="white"/>
        </w:rPr>
      </w:pPr>
      <w:r>
        <w:rPr>
          <w:rFonts w:ascii="MS Gothic" w:eastAsia="MS Gothic" w:hAnsi="MS Gothic" w:cs="MS Gothic"/>
          <w:sz w:val="24"/>
          <w:szCs w:val="24"/>
          <w:highlight w:val="white"/>
        </w:rPr>
        <w:t>☐</w:t>
      </w:r>
      <w:r>
        <w:rPr>
          <w:rFonts w:ascii="Arimo" w:eastAsia="Arimo" w:hAnsi="Arimo" w:cs="Arimo"/>
          <w:sz w:val="24"/>
          <w:szCs w:val="24"/>
          <w:highlight w:val="white"/>
        </w:rPr>
        <w:t xml:space="preserve"> </w:t>
      </w:r>
      <w:r>
        <w:rPr>
          <w:rFonts w:ascii="Roboto" w:eastAsia="Roboto" w:hAnsi="Roboto" w:cs="Roboto"/>
          <w:highlight w:val="white"/>
        </w:rPr>
        <w:t>Agentic Financial and High-Stakes Al Advice</w:t>
      </w:r>
    </w:p>
    <w:p w14:paraId="6F866058" w14:textId="77777777" w:rsidR="00366FAD" w:rsidRDefault="00000000">
      <w:pPr>
        <w:rPr>
          <w:rFonts w:ascii="Arimo" w:eastAsia="Arimo" w:hAnsi="Arimo" w:cs="Arimo"/>
          <w:highlight w:val="white"/>
        </w:rPr>
      </w:pPr>
      <w:r>
        <w:rPr>
          <w:rFonts w:ascii="MS Gothic" w:eastAsia="MS Gothic" w:hAnsi="MS Gothic" w:cs="MS Gothic"/>
          <w:highlight w:val="white"/>
        </w:rPr>
        <w:t>☐</w:t>
      </w:r>
      <w:r>
        <w:rPr>
          <w:rFonts w:ascii="Arimo" w:eastAsia="Arimo" w:hAnsi="Arimo" w:cs="Arimo"/>
          <w:highlight w:val="white"/>
        </w:rPr>
        <w:t xml:space="preserve"> Agentic Payments &amp; Commerce &amp; their Oversight</w:t>
      </w:r>
    </w:p>
    <w:p w14:paraId="112B0097" w14:textId="77777777" w:rsidR="00366FAD" w:rsidRDefault="00000000">
      <w:pPr>
        <w:rPr>
          <w:rFonts w:ascii="Roboto" w:eastAsia="Roboto" w:hAnsi="Roboto" w:cs="Roboto"/>
          <w:highlight w:val="white"/>
        </w:rPr>
      </w:pPr>
      <w:r>
        <w:rPr>
          <w:rFonts w:ascii="MS Gothic" w:eastAsia="MS Gothic" w:hAnsi="MS Gothic" w:cs="MS Gothic"/>
          <w:sz w:val="24"/>
          <w:szCs w:val="24"/>
          <w:highlight w:val="white"/>
        </w:rPr>
        <w:t>☐</w:t>
      </w:r>
      <w:r>
        <w:rPr>
          <w:rFonts w:ascii="Arimo" w:eastAsia="Arimo" w:hAnsi="Arimo" w:cs="Arimo"/>
          <w:sz w:val="24"/>
          <w:szCs w:val="24"/>
          <w:highlight w:val="white"/>
        </w:rPr>
        <w:t xml:space="preserve"> </w:t>
      </w:r>
      <w:proofErr w:type="spellStart"/>
      <w:r>
        <w:rPr>
          <w:rFonts w:ascii="Roboto" w:eastAsia="Roboto" w:hAnsi="Roboto" w:cs="Roboto"/>
          <w:highlight w:val="white"/>
        </w:rPr>
        <w:t>Decentralised</w:t>
      </w:r>
      <w:proofErr w:type="spellEnd"/>
      <w:r>
        <w:rPr>
          <w:rFonts w:ascii="Roboto" w:eastAsia="Roboto" w:hAnsi="Roboto" w:cs="Roboto"/>
          <w:highlight w:val="white"/>
        </w:rPr>
        <w:t xml:space="preserve"> Market Infrastructure, Smart Contracts &amp; Al Agents</w:t>
      </w:r>
    </w:p>
    <w:p w14:paraId="39C254A2" w14:textId="77777777" w:rsidR="00366FAD" w:rsidRDefault="00000000">
      <w:pPr>
        <w:rPr>
          <w:rFonts w:ascii="Roboto" w:eastAsia="Roboto" w:hAnsi="Roboto" w:cs="Roboto"/>
          <w:highlight w:val="white"/>
        </w:rPr>
      </w:pPr>
      <w:r>
        <w:rPr>
          <w:rFonts w:ascii="MS Gothic" w:eastAsia="MS Gothic" w:hAnsi="MS Gothic" w:cs="MS Gothic"/>
          <w:highlight w:val="white"/>
        </w:rPr>
        <w:t>☐</w:t>
      </w:r>
      <w:r>
        <w:rPr>
          <w:rFonts w:ascii="Arimo" w:eastAsia="Arimo" w:hAnsi="Arimo" w:cs="Arimo"/>
          <w:highlight w:val="white"/>
        </w:rPr>
        <w:t xml:space="preserve"> Al-driven Fraud &amp; Scams</w:t>
      </w:r>
    </w:p>
    <w:p w14:paraId="6F359208" w14:textId="77777777" w:rsidR="00366FAD" w:rsidRDefault="00000000">
      <w:pPr>
        <w:rPr>
          <w:rFonts w:ascii="Roboto" w:eastAsia="Roboto" w:hAnsi="Roboto" w:cs="Roboto"/>
          <w:highlight w:val="white"/>
        </w:rPr>
      </w:pPr>
      <w:r>
        <w:rPr>
          <w:rFonts w:ascii="MS Gothic" w:eastAsia="MS Gothic" w:hAnsi="MS Gothic" w:cs="MS Gothic"/>
          <w:sz w:val="24"/>
          <w:szCs w:val="24"/>
          <w:highlight w:val="white"/>
        </w:rPr>
        <w:t>☐</w:t>
      </w:r>
      <w:r>
        <w:rPr>
          <w:rFonts w:ascii="Arimo" w:eastAsia="Arimo" w:hAnsi="Arimo" w:cs="Arimo"/>
          <w:sz w:val="24"/>
          <w:szCs w:val="24"/>
          <w:highlight w:val="white"/>
        </w:rPr>
        <w:t xml:space="preserve"> </w:t>
      </w:r>
      <w:r>
        <w:rPr>
          <w:rFonts w:ascii="Roboto" w:eastAsia="Roboto" w:hAnsi="Roboto" w:cs="Roboto"/>
          <w:highlight w:val="white"/>
        </w:rPr>
        <w:t>Know Your Agent (KY-A), Digital Verification &amp; Digital Public Infrastructure</w:t>
      </w:r>
    </w:p>
    <w:p w14:paraId="75302C2C" w14:textId="77777777" w:rsidR="00366FAD" w:rsidRPr="00457AA4" w:rsidRDefault="00000000">
      <w:pPr>
        <w:rPr>
          <w:rFonts w:ascii="Arimo" w:eastAsia="Arimo" w:hAnsi="Arimo" w:cs="Arimo"/>
          <w:highlight w:val="white"/>
          <w:u w:val="single"/>
        </w:rPr>
      </w:pPr>
      <w:r w:rsidRPr="00457AA4">
        <w:rPr>
          <w:rFonts w:ascii="MS Gothic" w:eastAsia="MS Gothic" w:hAnsi="MS Gothic" w:cs="MS Gothic"/>
          <w:highlight w:val="white"/>
          <w:u w:val="single"/>
        </w:rPr>
        <w:t>☐</w:t>
      </w:r>
      <w:r w:rsidRPr="00457AA4">
        <w:rPr>
          <w:rFonts w:ascii="Arimo" w:eastAsia="Arimo" w:hAnsi="Arimo" w:cs="Arimo"/>
          <w:highlight w:val="white"/>
          <w:u w:val="single"/>
        </w:rPr>
        <w:t xml:space="preserve"> Market Manipulation, Agentic Herding &amp; Stability</w:t>
      </w:r>
    </w:p>
    <w:p w14:paraId="541B8A25" w14:textId="77777777" w:rsidR="00366FAD" w:rsidRDefault="00366FAD">
      <w:pPr>
        <w:rPr>
          <w:rFonts w:ascii="Roboto" w:eastAsia="Roboto" w:hAnsi="Roboto" w:cs="Roboto"/>
        </w:rPr>
      </w:pPr>
    </w:p>
    <w:p w14:paraId="3F8F9884" w14:textId="77777777" w:rsidR="00366FAD" w:rsidRDefault="00000000">
      <w:pPr>
        <w:rPr>
          <w:rFonts w:ascii="Roboto" w:eastAsia="Roboto" w:hAnsi="Roboto" w:cs="Roboto"/>
          <w:b/>
          <w:bCs/>
          <w:color w:val="444746"/>
          <w:sz w:val="24"/>
          <w:szCs w:val="24"/>
        </w:rPr>
      </w:pPr>
      <w:r>
        <w:rPr>
          <w:rFonts w:ascii="Roboto" w:eastAsia="Roboto" w:hAnsi="Roboto" w:cs="Roboto"/>
          <w:b/>
          <w:bCs/>
          <w:color w:val="444746"/>
          <w:sz w:val="24"/>
          <w:szCs w:val="24"/>
        </w:rPr>
        <w:t>The section below cannot exceed 1,500 words and please refer to Concept Note Guidance for further details.</w:t>
      </w:r>
    </w:p>
    <w:p w14:paraId="02DAC916" w14:textId="77777777" w:rsidR="00366FAD" w:rsidRDefault="00366FAD">
      <w:pPr>
        <w:rPr>
          <w:rFonts w:ascii="Roboto" w:eastAsia="Roboto" w:hAnsi="Roboto" w:cs="Roboto"/>
          <w:b/>
          <w:bCs/>
          <w:color w:val="444746"/>
          <w:sz w:val="24"/>
          <w:szCs w:val="24"/>
        </w:rPr>
      </w:pPr>
    </w:p>
    <w:p w14:paraId="1E610F43" w14:textId="77777777" w:rsidR="00366FAD" w:rsidRDefault="00000000">
      <w:pPr>
        <w:pStyle w:val="Heading2"/>
        <w:spacing w:before="0" w:after="0" w:line="240" w:lineRule="auto"/>
        <w:rPr>
          <w:rFonts w:ascii="Roboto" w:eastAsia="Roboto" w:hAnsi="Roboto" w:cs="Roboto"/>
        </w:rPr>
      </w:pPr>
      <w:bookmarkStart w:id="4" w:name="_heading=h.n0qui19tjdbv" w:colFirst="0" w:colLast="0"/>
      <w:bookmarkEnd w:id="4"/>
      <w:r>
        <w:rPr>
          <w:rFonts w:ascii="Roboto" w:eastAsia="Roboto" w:hAnsi="Roboto" w:cs="Roboto"/>
        </w:rPr>
        <w:t>1.The Current State (Context)</w:t>
      </w:r>
    </w:p>
    <w:p w14:paraId="0C932EA6" w14:textId="77777777" w:rsidR="00366FAD" w:rsidRDefault="00366FAD">
      <w:pPr>
        <w:rPr>
          <w:rFonts w:ascii="Roboto" w:eastAsia="Roboto" w:hAnsi="Roboto" w:cs="Roboto"/>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6FAD" w14:paraId="66D7A770" w14:textId="77777777">
        <w:tc>
          <w:tcPr>
            <w:tcW w:w="9360" w:type="dxa"/>
            <w:tcMar>
              <w:top w:w="100" w:type="dxa"/>
              <w:left w:w="100" w:type="dxa"/>
              <w:bottom w:w="100" w:type="dxa"/>
              <w:right w:w="100" w:type="dxa"/>
            </w:tcMar>
          </w:tcPr>
          <w:p w14:paraId="77AC13E7" w14:textId="77777777" w:rsidR="0066061B" w:rsidRDefault="0066061B" w:rsidP="0066061B">
            <w:pPr>
              <w:pStyle w:val="isselectedend"/>
              <w:jc w:val="both"/>
              <w:rPr>
                <w:strike/>
              </w:rPr>
            </w:pPr>
            <w:r>
              <w:t>The sandbox proposal will build the Agentic Decision Convergence Stress Lab, enabling regulators to test whether AI-enabled decision systems cause financial firms’ actions to converge during market stress, whether that convergence amplifies systemic risk, what factors drive it, including shared models, providers or datasets, and which safeguards reduce the effect.</w:t>
            </w:r>
          </w:p>
          <w:p w14:paraId="1F8478D6" w14:textId="77777777" w:rsidR="0066061B" w:rsidRDefault="0066061B" w:rsidP="0066061B">
            <w:pPr>
              <w:pStyle w:val="isselectedend"/>
              <w:jc w:val="both"/>
            </w:pPr>
            <w:r w:rsidRPr="00EA04D2">
              <w:t xml:space="preserve">Within the broader problem space of Market Manipulation, Agentic Herding and Stability, this proposal focuses on AI-enabled financial decision systems that </w:t>
            </w:r>
            <w:r>
              <w:t>use</w:t>
            </w:r>
            <w:r w:rsidRPr="00EA04D2">
              <w:t xml:space="preserve"> AI to support investment and risk decisions. It examines the unintended systemic vulnerability that may arise when independently operated systems share common models, datasets, providers or design features. </w:t>
            </w:r>
            <w:r w:rsidRPr="00EA04D2">
              <w:lastRenderedPageBreak/>
              <w:t xml:space="preserve">During market stress, these common dependencies could cause multiple systems to propose similar decisions within a narrow period. Similarity alone is not a financial-stability problem: the concern arises if those decisions become synchronised economic actions at a scale material to market capacity, affect prices, liquidity or volatility, and then feed back into the systems as new inputs, triggering further aligned action. Authorities must therefore distinguish legitimate convergence caused by common fundamentals, portfolios or constraints from additional convergence associated with a specified AI dependency.  </w:t>
            </w:r>
          </w:p>
          <w:p w14:paraId="381C5D38" w14:textId="77777777" w:rsidR="0066061B" w:rsidRDefault="0066061B" w:rsidP="0066061B">
            <w:pPr>
              <w:pStyle w:val="isselectedend"/>
              <w:jc w:val="both"/>
            </w:pPr>
            <w:r w:rsidRPr="00B856C6">
              <w:t>This risk is forward-looking. In the Bank of England and FCA’s 2024 survey, 75% of responding firms reported using AI and 55% of use cases involved some automated decision-making, but only 2% were fully autonomous. One third were third-party implementations, and the three largest third-party model providers accounted for 44% of providers named. Rising adoption, automation and provider concentration therefore justify developing supervisory capabilities before autonomous, market-material use cases become widespread.</w:t>
            </w:r>
            <w:r>
              <w:t xml:space="preserve"> </w:t>
            </w:r>
            <w:hyperlink r:id="rId8">
              <w:r w:rsidRPr="58321676">
                <w:rPr>
                  <w:rStyle w:val="Hyperlink"/>
                  <w:rFonts w:eastAsiaTheme="majorEastAsia"/>
                </w:rPr>
                <w:t xml:space="preserve">Bank of England and FCA, </w:t>
              </w:r>
            </w:hyperlink>
            <w:hyperlink r:id="rId9">
              <w:r w:rsidRPr="58321676">
                <w:rPr>
                  <w:rStyle w:val="Hyperlink"/>
                  <w:rFonts w:eastAsiaTheme="majorEastAsia"/>
                  <w:i/>
                  <w:iCs/>
                </w:rPr>
                <w:t>Artificial intelligence in UK financial services – 2024</w:t>
              </w:r>
            </w:hyperlink>
          </w:p>
          <w:p w14:paraId="3330FF04" w14:textId="77777777" w:rsidR="0066061B" w:rsidRDefault="0066061B" w:rsidP="0066061B">
            <w:pPr>
              <w:pStyle w:val="isselectedend"/>
              <w:jc w:val="both"/>
            </w:pPr>
            <w:r w:rsidRPr="00501066">
              <w:t>Past events demonstrate the underlying amplification mechanism, although not AI-driven herding. During the 2022 gilt crisis, LDI funds and pension schemes faced more than £70 billion in margin and collateral calls. LDI funds sold approximately £23 billion of gilts and pension schemes another £14 billion. These individually rational attempts to raise liquidity contributed to a “vicious spiral”: forced sales reduced prices, generated further collateral calls and threatened UK financial stability. The episode illustrates why authorities must assess collective actions and market feedback, rather than firm-level decisions alone.</w:t>
            </w:r>
            <w:r>
              <w:t xml:space="preserve"> </w:t>
            </w:r>
            <w:hyperlink r:id="rId10">
              <w:r w:rsidRPr="604C7EAD">
                <w:rPr>
                  <w:rStyle w:val="Hyperlink"/>
                  <w:rFonts w:eastAsiaTheme="majorEastAsia"/>
                </w:rPr>
                <w:t xml:space="preserve">Bank of England, </w:t>
              </w:r>
            </w:hyperlink>
            <w:hyperlink r:id="rId11">
              <w:r w:rsidRPr="604C7EAD">
                <w:rPr>
                  <w:rStyle w:val="Hyperlink"/>
                  <w:rFonts w:eastAsiaTheme="majorEastAsia"/>
                  <w:i/>
                  <w:iCs/>
                </w:rPr>
                <w:t>Financial Stability Report – December 2022</w:t>
              </w:r>
            </w:hyperlink>
          </w:p>
          <w:p w14:paraId="79B415D7" w14:textId="77777777" w:rsidR="0066061B" w:rsidRDefault="0066061B" w:rsidP="0066061B">
            <w:pPr>
              <w:pStyle w:val="isselectedend"/>
              <w:jc w:val="both"/>
            </w:pPr>
            <w:r w:rsidRPr="00501066">
              <w:t>Regulators already recognise AI-related market correlation and third-party concentration as potential sources of systemic amplification. The FSB’s 2025 monitoring report found that few surveyed authorities collect information on AI-related market correlations, that direct indicators based on model interactions or stress-testing results are unavailable, and that little empirical evidence currently connects AI-driven correlations to market outcomes. The Bank of England has similarly noted that system-wide AI effects may not appear in conventional market or firm-resilience indicators and has identified future system-wide exercises as one way to explore them.</w:t>
            </w:r>
            <w:r>
              <w:t xml:space="preserve"> </w:t>
            </w:r>
            <w:hyperlink r:id="rId12">
              <w:r w:rsidRPr="604C7EAD">
                <w:rPr>
                  <w:rStyle w:val="Hyperlink"/>
                  <w:rFonts w:eastAsiaTheme="majorEastAsia"/>
                </w:rPr>
                <w:t xml:space="preserve">FSB, </w:t>
              </w:r>
            </w:hyperlink>
            <w:hyperlink r:id="rId13">
              <w:r w:rsidRPr="604C7EAD">
                <w:rPr>
                  <w:rStyle w:val="Hyperlink"/>
                  <w:rFonts w:eastAsiaTheme="majorEastAsia"/>
                  <w:i/>
                  <w:iCs/>
                </w:rPr>
                <w:t>Financial Stability Implications of Artificial Intelligence</w:t>
              </w:r>
            </w:hyperlink>
            <w:hyperlink r:id="rId14">
              <w:r w:rsidRPr="604C7EAD">
                <w:rPr>
                  <w:rStyle w:val="Hyperlink"/>
                  <w:rFonts w:eastAsiaTheme="majorEastAsia"/>
                </w:rPr>
                <w:t xml:space="preserve"> (2024)</w:t>
              </w:r>
            </w:hyperlink>
            <w:r>
              <w:t xml:space="preserve">; </w:t>
            </w:r>
            <w:r>
              <w:fldChar w:fldCharType="begin"/>
            </w:r>
            <w:r>
              <w:instrText>HYPERLINK "https://www.fsb.org/2025/10/monitoring-adoption-of-artificial-intelligence-and-related-vulnerabilities-in-the-financial-sector/" \h</w:instrText>
            </w:r>
            <w:r>
              <w:fldChar w:fldCharType="separate"/>
            </w:r>
            <w:r w:rsidRPr="604C7EAD">
              <w:rPr>
                <w:rStyle w:val="Hyperlink"/>
                <w:rFonts w:eastAsiaTheme="majorEastAsia"/>
              </w:rPr>
              <w:t xml:space="preserve">FSB, </w:t>
            </w:r>
            <w:r>
              <w:fldChar w:fldCharType="end"/>
            </w:r>
            <w:hyperlink r:id="rId15">
              <w:r w:rsidRPr="604C7EAD">
                <w:rPr>
                  <w:rStyle w:val="Hyperlink"/>
                  <w:rFonts w:eastAsiaTheme="majorEastAsia"/>
                  <w:i/>
                  <w:iCs/>
                </w:rPr>
                <w:t>Monitoring Adoption of AI and Related Vulnerabilities</w:t>
              </w:r>
            </w:hyperlink>
            <w:hyperlink r:id="rId16">
              <w:r w:rsidRPr="604C7EAD">
                <w:rPr>
                  <w:rStyle w:val="Hyperlink"/>
                  <w:rFonts w:eastAsiaTheme="majorEastAsia"/>
                </w:rPr>
                <w:t xml:space="preserve"> (2025)</w:t>
              </w:r>
            </w:hyperlink>
            <w:r>
              <w:t xml:space="preserve">; </w:t>
            </w:r>
            <w:r>
              <w:fldChar w:fldCharType="begin"/>
            </w:r>
            <w:r>
              <w:instrText>HYPERLINK "https://www.bankofengland.co.uk/financial-stability-in-focus/2025/april-2025" \h</w:instrText>
            </w:r>
            <w:r>
              <w:fldChar w:fldCharType="separate"/>
            </w:r>
            <w:r w:rsidRPr="604C7EAD">
              <w:rPr>
                <w:rStyle w:val="Hyperlink"/>
                <w:rFonts w:eastAsiaTheme="majorEastAsia"/>
              </w:rPr>
              <w:t xml:space="preserve">Bank of England, </w:t>
            </w:r>
            <w:r>
              <w:fldChar w:fldCharType="end"/>
            </w:r>
            <w:hyperlink r:id="rId17">
              <w:r w:rsidRPr="604C7EAD">
                <w:rPr>
                  <w:rStyle w:val="Hyperlink"/>
                  <w:rFonts w:eastAsiaTheme="majorEastAsia"/>
                  <w:i/>
                  <w:iCs/>
                </w:rPr>
                <w:t>AI in the financial system</w:t>
              </w:r>
            </w:hyperlink>
            <w:hyperlink r:id="rId18">
              <w:r w:rsidRPr="604C7EAD">
                <w:rPr>
                  <w:rStyle w:val="Hyperlink"/>
                  <w:rFonts w:eastAsiaTheme="majorEastAsia"/>
                </w:rPr>
                <w:t xml:space="preserve"> (2025)</w:t>
              </w:r>
            </w:hyperlink>
          </w:p>
          <w:p w14:paraId="0CB6CDB3" w14:textId="77777777" w:rsidR="0066061B" w:rsidRDefault="0066061B" w:rsidP="0066061B">
            <w:pPr>
              <w:pStyle w:val="isselectedend"/>
              <w:jc w:val="both"/>
            </w:pPr>
            <w:r w:rsidRPr="00B856C6">
              <w:t>The proposal supports market monitoring, horizon scanning, policy development and thematic supervision. Transaction reporting captures executed activity but not the decision-system pathway behind it; AI surveys map adoption and governance but not interaction during a common shock. The Bank of England’s System-Wide Exploratory Scenario examines collective behaviour but is not designed for repeated matched experiments across AI dependencies and safeguards. The Lab complements these processes with a fast, controlled way to test whether a specified common dependency adds convergence and amplification relative to a matched baseline, and which safeguards reduce it.</w:t>
            </w:r>
            <w:r>
              <w:t xml:space="preserve"> </w:t>
            </w:r>
            <w:hyperlink r:id="rId19">
              <w:r w:rsidRPr="12578535">
                <w:rPr>
                  <w:rStyle w:val="Hyperlink"/>
                  <w:rFonts w:eastAsiaTheme="majorEastAsia"/>
                </w:rPr>
                <w:t xml:space="preserve">FCA, </w:t>
              </w:r>
            </w:hyperlink>
            <w:hyperlink r:id="rId20">
              <w:r w:rsidRPr="12578535">
                <w:rPr>
                  <w:rStyle w:val="Hyperlink"/>
                  <w:rFonts w:eastAsiaTheme="majorEastAsia"/>
                  <w:i/>
                  <w:iCs/>
                </w:rPr>
                <w:t>Transaction reporting</w:t>
              </w:r>
            </w:hyperlink>
            <w:r>
              <w:t xml:space="preserve">; </w:t>
            </w:r>
            <w:r>
              <w:fldChar w:fldCharType="begin"/>
            </w:r>
            <w:r>
              <w:instrText>HYPERLINK "https://www.bankofengland.co.uk/financial-stability/boe-system-wide-exploratory-scenario-exercise/boe-swes-exercise-final-report" \h</w:instrText>
            </w:r>
            <w:r>
              <w:fldChar w:fldCharType="separate"/>
            </w:r>
            <w:r w:rsidRPr="12578535">
              <w:rPr>
                <w:rStyle w:val="Hyperlink"/>
                <w:rFonts w:eastAsiaTheme="majorEastAsia"/>
              </w:rPr>
              <w:t xml:space="preserve">Bank of England, </w:t>
            </w:r>
            <w:r>
              <w:fldChar w:fldCharType="end"/>
            </w:r>
            <w:hyperlink r:id="rId21">
              <w:r w:rsidRPr="12578535">
                <w:rPr>
                  <w:rStyle w:val="Hyperlink"/>
                  <w:rFonts w:eastAsiaTheme="majorEastAsia"/>
                  <w:i/>
                  <w:iCs/>
                </w:rPr>
                <w:t>System-Wide Exploratory Scenario final report</w:t>
              </w:r>
            </w:hyperlink>
          </w:p>
          <w:p w14:paraId="05714E5B" w14:textId="7718B308" w:rsidR="00366FAD" w:rsidRPr="00457AA4" w:rsidRDefault="0066061B" w:rsidP="00457AA4">
            <w:pPr>
              <w:spacing w:before="100" w:beforeAutospacing="1" w:after="100" w:afterAutospacing="1"/>
              <w:rPr>
                <w:rFonts w:ascii="Times New Roman" w:eastAsia="Times New Roman" w:hAnsi="Times New Roman" w:cs="Times New Roman"/>
                <w:color w:val="000000" w:themeColor="text1"/>
              </w:rPr>
            </w:pPr>
            <w:r w:rsidRPr="00B856C6">
              <w:rPr>
                <w:rFonts w:ascii="Times New Roman" w:eastAsia="Times New Roman" w:hAnsi="Times New Roman" w:cs="Times New Roman"/>
                <w:color w:val="000000" w:themeColor="text1"/>
              </w:rPr>
              <w:lastRenderedPageBreak/>
              <w:t xml:space="preserve">This objective aligns with emerging priorities under the EU AI Act, DORA and international financial-stability standards. Article 3(65) defines systemic risk as risk capable of propagating at scale, while Recital 110 </w:t>
            </w:r>
            <w:proofErr w:type="spellStart"/>
            <w:r w:rsidRPr="00B856C6">
              <w:rPr>
                <w:rFonts w:ascii="Times New Roman" w:eastAsia="Times New Roman" w:hAnsi="Times New Roman" w:cs="Times New Roman"/>
                <w:color w:val="000000" w:themeColor="text1"/>
              </w:rPr>
              <w:t>recognises</w:t>
            </w:r>
            <w:proofErr w:type="spellEnd"/>
            <w:r w:rsidRPr="00B856C6">
              <w:rPr>
                <w:rFonts w:ascii="Times New Roman" w:eastAsia="Times New Roman" w:hAnsi="Times New Roman" w:cs="Times New Roman"/>
                <w:color w:val="000000" w:themeColor="text1"/>
              </w:rPr>
              <w:t xml:space="preserve"> that autonomy, common deployment and system interactions can create chain reactions beyond individual deployments. The Lab translates these concerns into a practical testing capability complementing existing surveillance, supervision and system-wide exercises.</w:t>
            </w:r>
          </w:p>
        </w:tc>
      </w:tr>
    </w:tbl>
    <w:p w14:paraId="7A3F5E3B" w14:textId="77777777" w:rsidR="00366FAD" w:rsidRDefault="00366FAD">
      <w:pPr>
        <w:rPr>
          <w:rFonts w:ascii="Roboto" w:eastAsia="Roboto" w:hAnsi="Roboto" w:cs="Roboto"/>
        </w:rPr>
      </w:pPr>
    </w:p>
    <w:p w14:paraId="6C0F08DF" w14:textId="77777777" w:rsidR="00366FAD" w:rsidRDefault="00000000">
      <w:pPr>
        <w:pStyle w:val="Heading2"/>
        <w:spacing w:before="0" w:after="0" w:line="240" w:lineRule="auto"/>
        <w:rPr>
          <w:rFonts w:ascii="Roboto" w:eastAsia="Roboto" w:hAnsi="Roboto" w:cs="Roboto"/>
        </w:rPr>
      </w:pPr>
      <w:bookmarkStart w:id="5" w:name="_heading=h.3hl11thm6rwp" w:colFirst="0" w:colLast="0"/>
      <w:bookmarkEnd w:id="5"/>
      <w:r>
        <w:rPr>
          <w:rFonts w:ascii="Roboto" w:eastAsia="Roboto" w:hAnsi="Roboto" w:cs="Roboto"/>
        </w:rPr>
        <w:t>2. The Proposed Future Agentic State (Solution)</w:t>
      </w:r>
    </w:p>
    <w:p w14:paraId="532478F3" w14:textId="77777777" w:rsidR="00A603F0" w:rsidRDefault="00A603F0" w:rsidP="00A603F0"/>
    <w:p w14:paraId="0726E9A3" w14:textId="7ADDBF78" w:rsidR="00A603F0" w:rsidRPr="00A603F0" w:rsidRDefault="00A603F0" w:rsidP="00A603F0">
      <w:r w:rsidRPr="00DB26A8">
        <w:rPr>
          <w:noProof/>
        </w:rPr>
        <w:drawing>
          <wp:inline distT="0" distB="0" distL="0" distR="0" wp14:anchorId="280753B5" wp14:editId="3C231CFF">
            <wp:extent cx="5731510" cy="5055235"/>
            <wp:effectExtent l="0" t="0" r="0" b="0"/>
            <wp:docPr id="2211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3173" name=""/>
                    <pic:cNvPicPr/>
                  </pic:nvPicPr>
                  <pic:blipFill>
                    <a:blip r:embed="rId22"/>
                    <a:stretch>
                      <a:fillRect/>
                    </a:stretch>
                  </pic:blipFill>
                  <pic:spPr>
                    <a:xfrm>
                      <a:off x="0" y="0"/>
                      <a:ext cx="5731510" cy="5055235"/>
                    </a:xfrm>
                    <a:prstGeom prst="rect">
                      <a:avLst/>
                    </a:prstGeom>
                  </pic:spPr>
                </pic:pic>
              </a:graphicData>
            </a:graphic>
          </wp:inline>
        </w:drawing>
      </w:r>
    </w:p>
    <w:p w14:paraId="17D45491" w14:textId="77777777" w:rsidR="00366FAD" w:rsidRDefault="00366FAD">
      <w:pPr>
        <w:rPr>
          <w:rFonts w:ascii="Roboto" w:eastAsia="Roboto" w:hAnsi="Roboto" w:cs="Roboto"/>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6FAD" w14:paraId="36F8CFF6" w14:textId="77777777">
        <w:tc>
          <w:tcPr>
            <w:tcW w:w="9360" w:type="dxa"/>
            <w:tcMar>
              <w:top w:w="100" w:type="dxa"/>
              <w:left w:w="100" w:type="dxa"/>
              <w:bottom w:w="100" w:type="dxa"/>
              <w:right w:w="100" w:type="dxa"/>
            </w:tcMar>
          </w:tcPr>
          <w:p w14:paraId="29DC765B" w14:textId="77777777" w:rsidR="007A5533" w:rsidRDefault="007A5533" w:rsidP="007A5533">
            <w:pPr>
              <w:pStyle w:val="NormalWeb"/>
              <w:rPr>
                <w:lang w:val="en-FR"/>
              </w:rPr>
            </w:pPr>
            <w:r w:rsidRPr="00B856C6">
              <w:rPr>
                <w:lang w:val="en-FR"/>
              </w:rPr>
              <w:t xml:space="preserve">The </w:t>
            </w:r>
            <w:r w:rsidRPr="00B856C6">
              <w:rPr>
                <w:b/>
                <w:bCs/>
                <w:lang w:val="en-FR"/>
              </w:rPr>
              <w:t>Agentic Decision Convergence Stress Lab</w:t>
            </w:r>
            <w:r w:rsidRPr="00B856C6">
              <w:rPr>
                <w:lang w:val="en-FR"/>
              </w:rPr>
              <w:t xml:space="preserve"> tests whether a specified AI dependency creates additional convergence, synchronised action and market feedback. It produces a conditional assessment of vulnerability under stated assumptions.</w:t>
            </w:r>
          </w:p>
          <w:p w14:paraId="09B54E2A" w14:textId="77777777" w:rsidR="007A5533" w:rsidRPr="00777929" w:rsidRDefault="007A5533" w:rsidP="007A5533">
            <w:pPr>
              <w:pStyle w:val="NormalWeb"/>
            </w:pPr>
            <w:r w:rsidRPr="00B856C6">
              <w:t xml:space="preserve">Using the Systemic Stress–Response Taxonomy shown in Figure 1, the agent structures </w:t>
            </w:r>
            <w:proofErr w:type="spellStart"/>
            <w:r w:rsidRPr="00B856C6">
              <w:t>authorised</w:t>
            </w:r>
            <w:proofErr w:type="spellEnd"/>
            <w:r w:rsidRPr="00B856C6">
              <w:t xml:space="preserve"> evidence, decision-system profiles and competing explanations into matched </w:t>
            </w:r>
            <w:r w:rsidRPr="00B856C6">
              <w:lastRenderedPageBreak/>
              <w:t xml:space="preserve">simulations. The baseline uses heterogeneous decision methods; the treatment group shares the tested dependency, while portfolios, constraints and other material parameters remain fixed. After human approval, deterministic controls apply institutional </w:t>
            </w:r>
            <w:proofErr w:type="gramStart"/>
            <w:r w:rsidRPr="00B856C6">
              <w:t>limits</w:t>
            </w:r>
            <w:proofErr w:type="gramEnd"/>
            <w:r w:rsidRPr="00B856C6">
              <w:t xml:space="preserve"> and a quantitative engine calculates effects on prices, liquidity and volatility across feedback rounds. The Lab measures additional convergence and amplification, then compares safeguards such as human approval, execution pacing, action limits and model diversity. Automated verification checks the evidence, configuration, calculations and conclusions. The final case pack records findings, uncertainty, safeguard results, unresolved questions and the audit trail. Figure 2 shows the complete workflow.</w:t>
            </w:r>
            <w:r>
              <w:t xml:space="preserve"> </w:t>
            </w:r>
          </w:p>
          <w:p w14:paraId="0B845137" w14:textId="77777777" w:rsidR="007A5533" w:rsidRPr="00EA04D2" w:rsidRDefault="007A5533" w:rsidP="007A5533">
            <w:pPr>
              <w:pStyle w:val="isselectedend"/>
              <w:rPr>
                <w:b/>
                <w:bCs/>
                <w:u w:val="single"/>
              </w:rPr>
            </w:pPr>
            <w:r w:rsidRPr="00EA04D2">
              <w:rPr>
                <w:rStyle w:val="Strong"/>
                <w:b w:val="0"/>
                <w:bCs w:val="0"/>
                <w:u w:val="single"/>
              </w:rPr>
              <w:t>Agent architecture</w:t>
            </w:r>
          </w:p>
          <w:p w14:paraId="6E2C680B" w14:textId="77777777" w:rsidR="007A5533" w:rsidRDefault="007A5533" w:rsidP="007A5533">
            <w:pPr>
              <w:pStyle w:val="isselectedend"/>
            </w:pPr>
            <w:r>
              <w:t>During the hackathon, the Lab will use a single supervisory agent. Once we approve the question, scenario, inputs and experimental settings, the agent applies the taxonomy, configures the four matched runs, calls the simulation and evaluation components, compares the results and drafts a conditional assessment. The agent does not generate numerical market effects: prices, liquidity and order impacts are calculated by code, with automated checks applied before the output returns to the supervisor. The interaction between the human supervisor, supervisory agent and deterministic components is shown in Figure 2.</w:t>
            </w:r>
          </w:p>
          <w:p w14:paraId="38A06F9F" w14:textId="77777777" w:rsidR="007A5533" w:rsidRPr="00EA04D2" w:rsidRDefault="007A5533" w:rsidP="007A5533">
            <w:pPr>
              <w:pStyle w:val="isselectedend"/>
              <w:rPr>
                <w:b/>
                <w:bCs/>
                <w:u w:val="single"/>
              </w:rPr>
            </w:pPr>
            <w:r w:rsidRPr="00EA04D2">
              <w:rPr>
                <w:rStyle w:val="Strong"/>
                <w:b w:val="0"/>
                <w:bCs w:val="0"/>
                <w:u w:val="single"/>
              </w:rPr>
              <w:t>Tool use, data and auditability</w:t>
            </w:r>
          </w:p>
          <w:p w14:paraId="7DE709BD" w14:textId="77777777" w:rsidR="007A5533" w:rsidRDefault="007A5533" w:rsidP="007A5533">
            <w:pPr>
              <w:pStyle w:val="isselectedend"/>
            </w:pPr>
            <w:r>
              <w:t>The agent uses only authorised public market data, authoritative publications, supervisor-provided inputs and synthetic institutional profiles. Its permitted tools support evidence retrieval, experiment configuration, simulation, comparison and assessment drafting. A versioned run record captures every input, assumption, configuration, tool call, output, verification result and human approval, allowing the complete experiment to be replayed.</w:t>
            </w:r>
          </w:p>
          <w:p w14:paraId="236D95D7" w14:textId="77777777" w:rsidR="007A5533" w:rsidRPr="00EA04D2" w:rsidRDefault="007A5533" w:rsidP="007A5533">
            <w:pPr>
              <w:pStyle w:val="isselectedend"/>
              <w:rPr>
                <w:b/>
                <w:bCs/>
                <w:u w:val="single"/>
              </w:rPr>
            </w:pPr>
            <w:r w:rsidRPr="00EA04D2">
              <w:rPr>
                <w:rStyle w:val="Strong"/>
                <w:b w:val="0"/>
                <w:bCs w:val="0"/>
                <w:u w:val="single"/>
              </w:rPr>
              <w:t>Reasoning, autonomy and grounding</w:t>
            </w:r>
          </w:p>
          <w:p w14:paraId="3E1A2E73" w14:textId="77777777" w:rsidR="007A5533" w:rsidRDefault="007A5533" w:rsidP="007A5533">
            <w:pPr>
              <w:pStyle w:val="isselectedend"/>
            </w:pPr>
            <w:r>
              <w:t>Within the approved scope, the agent may structure evidence, configure the predefined comparisons and conduct permitted analysis. It must pause before introducing new data, changing a material assumption, expanding the participant set or run limits, or releasing the final assessment. It cannot access live markets, execute transactions, communicate externally, publish findings or make regulatory or policy decisions.</w:t>
            </w:r>
          </w:p>
          <w:p w14:paraId="54106571" w14:textId="77777777" w:rsidR="007A5533" w:rsidRPr="00EA04D2" w:rsidRDefault="007A5533" w:rsidP="007A5533">
            <w:pPr>
              <w:pStyle w:val="isselectedend"/>
              <w:rPr>
                <w:b/>
                <w:bCs/>
                <w:u w:val="single"/>
              </w:rPr>
            </w:pPr>
            <w:r w:rsidRPr="00EA04D2">
              <w:rPr>
                <w:rStyle w:val="Strong"/>
                <w:b w:val="0"/>
                <w:bCs w:val="0"/>
                <w:u w:val="single"/>
              </w:rPr>
              <w:t>Evaluation</w:t>
            </w:r>
          </w:p>
          <w:p w14:paraId="14107E2A" w14:textId="77777777" w:rsidR="007A5533" w:rsidRPr="00777929" w:rsidRDefault="007A5533" w:rsidP="007A5533">
            <w:pPr>
              <w:pStyle w:val="NormalWeb"/>
            </w:pPr>
            <w:r>
              <w:t xml:space="preserve">The prototype will be evaluated using pre-specified synthetic cases in which an effect from the shared AI dependency is deliberately present or absent. Evaluation will test whether the Lab preserves matched experimental conditions, distinguishes additional amplification from a null case, correctly compares safeguards, produces reproducible results, grounds its claims in evidence and respects all approval and permission boundaries. The four matched experimental runs used to produce and evaluate these outcomes are </w:t>
            </w:r>
            <w:proofErr w:type="spellStart"/>
            <w:r>
              <w:t>summarised</w:t>
            </w:r>
            <w:proofErr w:type="spellEnd"/>
            <w:r>
              <w:t xml:space="preserve"> in Figure 3.</w:t>
            </w:r>
          </w:p>
          <w:p w14:paraId="57C4CA21" w14:textId="77777777" w:rsidR="007A5533" w:rsidRPr="00777929" w:rsidRDefault="007A5533" w:rsidP="007A5533">
            <w:pPr>
              <w:spacing w:before="100" w:beforeAutospacing="1" w:after="100" w:afterAutospacing="1"/>
              <w:outlineLvl w:val="2"/>
              <w:rPr>
                <w:rFonts w:ascii="Times New Roman" w:eastAsia="Times New Roman" w:hAnsi="Times New Roman" w:cs="Times New Roman"/>
                <w:bCs/>
                <w:sz w:val="27"/>
                <w:szCs w:val="27"/>
                <w:u w:val="single"/>
              </w:rPr>
            </w:pPr>
            <w:r w:rsidRPr="00777929">
              <w:rPr>
                <w:rFonts w:ascii="Times New Roman" w:eastAsia="Times New Roman" w:hAnsi="Times New Roman" w:cs="Times New Roman"/>
                <w:bCs/>
                <w:sz w:val="27"/>
                <w:szCs w:val="27"/>
                <w:u w:val="single"/>
              </w:rPr>
              <w:lastRenderedPageBreak/>
              <w:t>Target end-users</w:t>
            </w:r>
          </w:p>
          <w:p w14:paraId="47BCF466" w14:textId="6073C897" w:rsidR="00366FAD" w:rsidRPr="007A5533" w:rsidRDefault="007A5533" w:rsidP="007A5533">
            <w:pPr>
              <w:spacing w:before="100" w:beforeAutospacing="1" w:after="100" w:afterAutospacing="1"/>
              <w:rPr>
                <w:rFonts w:asciiTheme="minorHAnsi" w:eastAsiaTheme="minorHAnsi" w:hAnsiTheme="minorHAnsi" w:cstheme="minorBidi"/>
                <w:kern w:val="2"/>
                <w:lang w:val="en-US" w:eastAsia="en-US"/>
                <w14:ligatures w14:val="standardContextual"/>
              </w:rPr>
            </w:pPr>
            <w:r w:rsidRPr="002056C5">
              <w:rPr>
                <w:rFonts w:ascii="Times New Roman" w:hAnsi="Times New Roman" w:cs="Times New Roman"/>
              </w:rPr>
              <w:t>AI and model-risk supervisors help define decision-system profiles and dependencies; market specialists review the simulated transmission mechanism; and policy teams use safeguard comparisons to inform thematic reviews and decisions on supervisory controls, disclosure requirements and limits on autonomous financial activity.</w:t>
            </w:r>
            <w:r>
              <w:t xml:space="preserve"> </w:t>
            </w:r>
            <w:r w:rsidRPr="00777929">
              <w:rPr>
                <w:rFonts w:ascii="Times New Roman" w:eastAsia="Times New Roman" w:hAnsi="Times New Roman" w:cs="Times New Roman"/>
              </w:rPr>
              <w:t>The tool supports supervisory judgement; it does not make enforcement or policy decisions.</w:t>
            </w:r>
          </w:p>
        </w:tc>
      </w:tr>
    </w:tbl>
    <w:p w14:paraId="024EE138" w14:textId="77777777" w:rsidR="00366FAD" w:rsidRDefault="00366FAD">
      <w:pPr>
        <w:rPr>
          <w:rFonts w:ascii="Roboto" w:eastAsia="Roboto" w:hAnsi="Roboto" w:cs="Roboto"/>
          <w:color w:val="666666"/>
        </w:rPr>
      </w:pPr>
    </w:p>
    <w:p w14:paraId="0A62B717" w14:textId="77777777" w:rsidR="00441059" w:rsidRDefault="00441059">
      <w:pPr>
        <w:pStyle w:val="Heading2"/>
        <w:spacing w:before="0" w:after="0" w:line="240" w:lineRule="auto"/>
        <w:rPr>
          <w:rFonts w:ascii="Roboto" w:eastAsia="Roboto" w:hAnsi="Roboto" w:cs="Roboto"/>
        </w:rPr>
      </w:pPr>
      <w:bookmarkStart w:id="6" w:name="_heading=h.ab5gt94gwblj" w:colFirst="0" w:colLast="0"/>
      <w:bookmarkEnd w:id="6"/>
    </w:p>
    <w:p w14:paraId="65C90CB2" w14:textId="6CF90857" w:rsidR="00441059" w:rsidRDefault="00441059">
      <w:pPr>
        <w:pStyle w:val="Heading2"/>
        <w:spacing w:before="0" w:after="0" w:line="240" w:lineRule="auto"/>
        <w:rPr>
          <w:rFonts w:ascii="Roboto" w:eastAsia="Roboto" w:hAnsi="Roboto" w:cs="Roboto"/>
        </w:rPr>
      </w:pPr>
      <w:r w:rsidRPr="00DB26A8">
        <w:rPr>
          <w:rFonts w:ascii="Times New Roman" w:eastAsia="Times New Roman" w:hAnsi="Times New Roman" w:cs="Times New Roman"/>
          <w:noProof/>
        </w:rPr>
        <w:drawing>
          <wp:inline distT="0" distB="0" distL="0" distR="0" wp14:anchorId="28C1DF3A" wp14:editId="309D8405">
            <wp:extent cx="5731510" cy="5340985"/>
            <wp:effectExtent l="0" t="0" r="0" b="5715"/>
            <wp:docPr id="18626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7033" name=""/>
                    <pic:cNvPicPr/>
                  </pic:nvPicPr>
                  <pic:blipFill>
                    <a:blip r:embed="rId23"/>
                    <a:stretch>
                      <a:fillRect/>
                    </a:stretch>
                  </pic:blipFill>
                  <pic:spPr>
                    <a:xfrm>
                      <a:off x="0" y="0"/>
                      <a:ext cx="5731510" cy="5340985"/>
                    </a:xfrm>
                    <a:prstGeom prst="rect">
                      <a:avLst/>
                    </a:prstGeom>
                  </pic:spPr>
                </pic:pic>
              </a:graphicData>
            </a:graphic>
          </wp:inline>
        </w:drawing>
      </w:r>
    </w:p>
    <w:p w14:paraId="6DE785BF" w14:textId="77777777" w:rsidR="00441059" w:rsidRPr="00441059" w:rsidRDefault="00441059" w:rsidP="00441059"/>
    <w:p w14:paraId="2722D472" w14:textId="081697C5" w:rsidR="00366FAD" w:rsidRDefault="00000000">
      <w:pPr>
        <w:pStyle w:val="Heading2"/>
        <w:spacing w:before="0" w:after="0" w:line="240" w:lineRule="auto"/>
        <w:rPr>
          <w:rFonts w:ascii="Roboto" w:eastAsia="Roboto" w:hAnsi="Roboto" w:cs="Roboto"/>
        </w:rPr>
      </w:pPr>
      <w:r>
        <w:rPr>
          <w:rFonts w:ascii="Roboto" w:eastAsia="Roboto" w:hAnsi="Roboto" w:cs="Roboto"/>
        </w:rPr>
        <w:t xml:space="preserve">3. Approach &amp; Delivery Plan </w:t>
      </w:r>
    </w:p>
    <w:p w14:paraId="7E3CEE9B" w14:textId="77777777" w:rsidR="00366FAD" w:rsidRDefault="00366FAD"/>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6FAD" w14:paraId="042A5B10" w14:textId="77777777">
        <w:tc>
          <w:tcPr>
            <w:tcW w:w="9360" w:type="dxa"/>
            <w:tcMar>
              <w:top w:w="100" w:type="dxa"/>
              <w:left w:w="100" w:type="dxa"/>
              <w:bottom w:w="100" w:type="dxa"/>
              <w:right w:w="100" w:type="dxa"/>
            </w:tcMar>
          </w:tcPr>
          <w:p w14:paraId="63002554" w14:textId="77777777" w:rsidR="007A5533" w:rsidRDefault="007A5533" w:rsidP="007A5533">
            <w:pPr>
              <w:pStyle w:val="isselectedend"/>
            </w:pPr>
            <w:r>
              <w:lastRenderedPageBreak/>
              <w:t xml:space="preserve">During the hackathon, we will build one working version of the Stress Lab to answer a specific question: </w:t>
            </w:r>
            <w:r>
              <w:rPr>
                <w:rStyle w:val="Strong"/>
              </w:rPr>
              <w:t xml:space="preserve">if several financial institutions rely on the same AI risk-analysis tool, do they respond more similarly to a </w:t>
            </w:r>
            <w:r>
              <w:rPr>
                <w:rStyle w:val="Strong"/>
                <w:rFonts w:eastAsiaTheme="majorEastAsia"/>
              </w:rPr>
              <w:t xml:space="preserve">designated </w:t>
            </w:r>
            <w:r>
              <w:rPr>
                <w:rStyle w:val="Strong"/>
              </w:rPr>
              <w:t>market shock, and do their combined actions amplify that shock?</w:t>
            </w:r>
          </w:p>
          <w:p w14:paraId="17A4E8DA" w14:textId="77777777" w:rsidR="007A5533" w:rsidRDefault="007A5533" w:rsidP="007A5533">
            <w:pPr>
              <w:pStyle w:val="isselectedend"/>
            </w:pPr>
            <w:r>
              <w:t>The prototype will simulate ten institutions with different portfolios and constraints responding to an initial fall in an asset’s price and liquidity over five feedback rounds. The AI tool will propose structured investment decisions, while the agent code will apply institutional limits, convert proposals into simulated orders and calculate their aggregate market effects.</w:t>
            </w:r>
          </w:p>
          <w:p w14:paraId="2C85A4CD" w14:textId="77777777" w:rsidR="007A5533" w:rsidRDefault="007A5533" w:rsidP="007A5533">
            <w:pPr>
              <w:pStyle w:val="isselectedend"/>
            </w:pPr>
            <w:r>
              <w:t>To isolate the effect of the shared dependency, the same institutions, portfolios, shock and market rules will be used across four matched runs: a heterogeneous baseline; a shared-AI run; the shared-AI run with sales limited to 5% of holdings per round; and the shared-AI run with orders spread over three rounds.</w:t>
            </w:r>
          </w:p>
          <w:p w14:paraId="029AB54F" w14:textId="12C63A3C" w:rsidR="00366FAD" w:rsidRPr="007A5533" w:rsidRDefault="007A5533" w:rsidP="007A5533">
            <w:pPr>
              <w:pStyle w:val="NormalWeb"/>
            </w:pPr>
            <w:r>
              <w:t xml:space="preserve">A supervisor will provide the scenario and inputs and approve the experimental settings. One supervisory agent will use the Systemic Stress–Response Taxonomy to structure the experiment, configure the comparisons, and assess the results. The output will compare recommendation convergence, </w:t>
            </w:r>
            <w:proofErr w:type="spellStart"/>
            <w:r>
              <w:t>synchronised</w:t>
            </w:r>
            <w:proofErr w:type="spellEnd"/>
            <w:r>
              <w:t xml:space="preserve"> selling, price and liquidity effects, and safeguard performance. It will conclude only whether the shared AI produced additional amplification, whether any effect was immaterial, or whether the evidence was inconclusive under the stated assumptions. The hackathon </w:t>
            </w:r>
            <w:proofErr w:type="gramStart"/>
            <w:r>
              <w:t>build</w:t>
            </w:r>
            <w:proofErr w:type="gramEnd"/>
            <w:r>
              <w:t xml:space="preserve"> and its four matched runs are </w:t>
            </w:r>
            <w:proofErr w:type="spellStart"/>
            <w:r>
              <w:t>summarised</w:t>
            </w:r>
            <w:proofErr w:type="spellEnd"/>
            <w:r>
              <w:t xml:space="preserve"> in </w:t>
            </w:r>
            <w:r>
              <w:rPr>
                <w:rStyle w:val="Strong"/>
              </w:rPr>
              <w:t>Figure 3</w:t>
            </w:r>
            <w:r>
              <w:t xml:space="preserve">. A high-level implementation path after the hackathon is outlined in </w:t>
            </w:r>
            <w:r>
              <w:rPr>
                <w:rStyle w:val="Strong"/>
              </w:rPr>
              <w:t>Figure 4</w:t>
            </w:r>
            <w:r>
              <w:t>.</w:t>
            </w:r>
          </w:p>
        </w:tc>
      </w:tr>
    </w:tbl>
    <w:p w14:paraId="67F4339A" w14:textId="77777777" w:rsidR="00366FAD" w:rsidRDefault="00366FAD">
      <w:pPr>
        <w:rPr>
          <w:rFonts w:ascii="Roboto" w:eastAsia="Roboto" w:hAnsi="Roboto" w:cs="Roboto"/>
          <w:color w:val="666666"/>
        </w:rPr>
      </w:pPr>
    </w:p>
    <w:p w14:paraId="1E6C9406" w14:textId="77777777" w:rsidR="00366FAD" w:rsidRDefault="00000000">
      <w:pPr>
        <w:pStyle w:val="Heading2"/>
        <w:spacing w:before="0" w:after="0" w:line="240" w:lineRule="auto"/>
        <w:rPr>
          <w:rFonts w:ascii="Roboto" w:eastAsia="Roboto" w:hAnsi="Roboto" w:cs="Roboto"/>
        </w:rPr>
      </w:pPr>
      <w:bookmarkStart w:id="7" w:name="_heading=h.eoiap3vns7dk" w:colFirst="0" w:colLast="0"/>
      <w:bookmarkEnd w:id="7"/>
      <w:r>
        <w:rPr>
          <w:rFonts w:ascii="Roboto" w:eastAsia="Roboto" w:hAnsi="Roboto" w:cs="Roboto"/>
        </w:rPr>
        <w:t>4.Risks &amp; Guardrails</w:t>
      </w:r>
    </w:p>
    <w:p w14:paraId="467762C0" w14:textId="77777777" w:rsidR="00366FAD" w:rsidRDefault="00366FAD">
      <w:pPr>
        <w:rPr>
          <w:rFonts w:ascii="Roboto" w:eastAsia="Roboto" w:hAnsi="Roboto" w:cs="Roboto"/>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6FAD" w14:paraId="3CBE3E59" w14:textId="77777777">
        <w:tc>
          <w:tcPr>
            <w:tcW w:w="9360" w:type="dxa"/>
            <w:tcMar>
              <w:top w:w="100" w:type="dxa"/>
              <w:left w:w="100" w:type="dxa"/>
              <w:bottom w:w="100" w:type="dxa"/>
              <w:right w:w="100" w:type="dxa"/>
            </w:tcMar>
          </w:tcPr>
          <w:p w14:paraId="08D97DC4" w14:textId="77777777" w:rsidR="00457AA4" w:rsidRDefault="00457AA4" w:rsidP="00457AA4">
            <w:pPr>
              <w:pStyle w:val="NormalWeb"/>
            </w:pPr>
            <w:r>
              <w:t xml:space="preserve">The main risks concern isolating and interpreting shared-model effects. The comparison could vary prompts, configurations or institutional rules alongside the underlying model, producing a false positive. An automated check will confirm that only the model dependency changes between matched runs. Convergence caused by the common shock may be misattributed to the shared model. The Lab will compare first-round recommendations with later, feedback-driven </w:t>
            </w:r>
            <w:proofErr w:type="spellStart"/>
            <w:r>
              <w:t>behaviour</w:t>
            </w:r>
            <w:proofErr w:type="spellEnd"/>
            <w:r>
              <w:t xml:space="preserve"> against a heterogeneous baseline, and repeat runs to capture model variability.</w:t>
            </w:r>
          </w:p>
          <w:p w14:paraId="1ABA893E" w14:textId="77777777" w:rsidR="00457AA4" w:rsidRDefault="00457AA4" w:rsidP="00457AA4">
            <w:pPr>
              <w:pStyle w:val="NormalWeb"/>
            </w:pPr>
            <w:r>
              <w:t>The supervisory agent may add unstated assumptions, hallucinate evidence or overstate results. Human inputs, agent proposals and missing fields will be shown separately; all evidence must come from cited sources, while documents are treated as evidence rather than instructions. A named supervisor must approve and lock the experiment, approve material changes, and approve the final assessment.</w:t>
            </w:r>
          </w:p>
          <w:p w14:paraId="012FDC7B" w14:textId="77777777" w:rsidR="00457AA4" w:rsidRDefault="00457AA4" w:rsidP="00457AA4">
            <w:pPr>
              <w:pStyle w:val="NormalWeb"/>
            </w:pPr>
            <w:r>
              <w:t xml:space="preserve">Sources, prompts, model settings, tool calls, outputs, approvals and simulation results will form a </w:t>
            </w:r>
            <w:proofErr w:type="spellStart"/>
            <w:r>
              <w:t>replayable</w:t>
            </w:r>
            <w:proofErr w:type="spellEnd"/>
            <w:r>
              <w:t xml:space="preserve"> rationale trail. The agent can access only approved documents and simulation tools; a stop control cancels remaining actions. Only public and synthetic data are permitted.</w:t>
            </w:r>
          </w:p>
          <w:p w14:paraId="6D143EE8" w14:textId="4FE193D5" w:rsidR="00366FAD" w:rsidRPr="00457AA4" w:rsidRDefault="00457AA4" w:rsidP="00457AA4">
            <w:pPr>
              <w:pStyle w:val="NormalWeb"/>
            </w:pPr>
            <w:r>
              <w:lastRenderedPageBreak/>
              <w:t xml:space="preserve">Finally, the prototype tests a human-specified dependency; it cannot infer manipulation, intent or real-world likelihood. </w:t>
            </w:r>
          </w:p>
        </w:tc>
      </w:tr>
    </w:tbl>
    <w:p w14:paraId="1E9DB83E" w14:textId="77777777" w:rsidR="00366FAD" w:rsidRDefault="00366FAD">
      <w:pPr>
        <w:pStyle w:val="Heading2"/>
        <w:spacing w:before="0" w:after="0" w:line="240" w:lineRule="auto"/>
        <w:rPr>
          <w:rFonts w:ascii="Roboto" w:eastAsia="Roboto" w:hAnsi="Roboto" w:cs="Roboto"/>
        </w:rPr>
      </w:pPr>
      <w:bookmarkStart w:id="8" w:name="_heading=h.62el6kkw8h8g" w:colFirst="0" w:colLast="0"/>
      <w:bookmarkStart w:id="9" w:name="_heading=h.w8yl5gbzv5ga" w:colFirst="0" w:colLast="0"/>
      <w:bookmarkEnd w:id="8"/>
      <w:bookmarkEnd w:id="9"/>
    </w:p>
    <w:p w14:paraId="23B1E031" w14:textId="77777777" w:rsidR="00366FAD" w:rsidRDefault="00366FAD"/>
    <w:p w14:paraId="79F27E15" w14:textId="77777777" w:rsidR="00366FAD" w:rsidRDefault="00000000">
      <w:pPr>
        <w:pStyle w:val="Heading2"/>
        <w:spacing w:before="0" w:after="0" w:line="240" w:lineRule="auto"/>
      </w:pPr>
      <w:bookmarkStart w:id="10" w:name="_heading=h.yp0ajaovsnur" w:colFirst="0" w:colLast="0"/>
      <w:bookmarkEnd w:id="10"/>
      <w:r>
        <w:rPr>
          <w:rFonts w:ascii="Roboto" w:eastAsia="Roboto" w:hAnsi="Roboto" w:cs="Roboto"/>
        </w:rPr>
        <w:t>6. Diagrams or Schematics (not included in 1,500 words)</w:t>
      </w:r>
    </w:p>
    <w:p w14:paraId="66DBD401" w14:textId="77777777" w:rsidR="00366FAD" w:rsidRDefault="00366FAD"/>
    <w:p w14:paraId="1A610541" w14:textId="77777777" w:rsidR="00366FAD" w:rsidRDefault="00000000">
      <w:r>
        <w:t xml:space="preserve">Please </w:t>
      </w:r>
      <w:proofErr w:type="gramStart"/>
      <w:r>
        <w:t>include:</w:t>
      </w:r>
      <w:proofErr w:type="gramEnd"/>
      <w:r>
        <w:t xml:space="preserve"> Diagrams, Schematics or build architecture to illustrate how your team will develop agentic solutions ranging from the automation of a single workflow to more complex multi-agent systems.</w:t>
      </w:r>
    </w:p>
    <w:p w14:paraId="3DAF1BF5" w14:textId="77777777" w:rsidR="007A5533" w:rsidRDefault="007A5533"/>
    <w:p w14:paraId="332A656F" w14:textId="4C55EFEB" w:rsidR="007A5533" w:rsidRDefault="007A5533"/>
    <w:p w14:paraId="34D5DA58" w14:textId="66D08539" w:rsidR="007A5533" w:rsidRDefault="007A5533"/>
    <w:p w14:paraId="0E975F95" w14:textId="603A9C5D" w:rsidR="007A5533" w:rsidRDefault="007A5533">
      <w:r w:rsidRPr="00DB26A8">
        <w:rPr>
          <w:rFonts w:ascii="Times New Roman" w:hAnsi="Times New Roman" w:cs="Times New Roman"/>
          <w:b/>
          <w:noProof/>
          <w:lang w:val="en-US"/>
        </w:rPr>
        <w:drawing>
          <wp:inline distT="0" distB="0" distL="0" distR="0" wp14:anchorId="438D8655" wp14:editId="27674FF6">
            <wp:extent cx="5731510" cy="2032000"/>
            <wp:effectExtent l="0" t="0" r="0" b="0"/>
            <wp:docPr id="794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8180" name=""/>
                    <pic:cNvPicPr/>
                  </pic:nvPicPr>
                  <pic:blipFill>
                    <a:blip r:embed="rId24"/>
                    <a:stretch>
                      <a:fillRect/>
                    </a:stretch>
                  </pic:blipFill>
                  <pic:spPr>
                    <a:xfrm>
                      <a:off x="0" y="0"/>
                      <a:ext cx="5731510" cy="2032000"/>
                    </a:xfrm>
                    <a:prstGeom prst="rect">
                      <a:avLst/>
                    </a:prstGeom>
                  </pic:spPr>
                </pic:pic>
              </a:graphicData>
            </a:graphic>
          </wp:inline>
        </w:drawing>
      </w:r>
    </w:p>
    <w:p w14:paraId="183DCCBA" w14:textId="15E3B365" w:rsidR="007A5533" w:rsidRDefault="007A5533">
      <w:r w:rsidRPr="00DB26A8">
        <w:rPr>
          <w:rFonts w:ascii="Times New Roman" w:hAnsi="Times New Roman" w:cs="Times New Roman"/>
          <w:b/>
          <w:noProof/>
          <w:lang w:val="en-US"/>
        </w:rPr>
        <w:drawing>
          <wp:inline distT="0" distB="0" distL="0" distR="0" wp14:anchorId="5B65E987" wp14:editId="6FBCD6F4">
            <wp:extent cx="5731510" cy="2023110"/>
            <wp:effectExtent l="0" t="0" r="0" b="0"/>
            <wp:docPr id="6726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4743" name=""/>
                    <pic:cNvPicPr/>
                  </pic:nvPicPr>
                  <pic:blipFill>
                    <a:blip r:embed="rId25"/>
                    <a:stretch>
                      <a:fillRect/>
                    </a:stretch>
                  </pic:blipFill>
                  <pic:spPr>
                    <a:xfrm>
                      <a:off x="0" y="0"/>
                      <a:ext cx="5731510" cy="2023110"/>
                    </a:xfrm>
                    <a:prstGeom prst="rect">
                      <a:avLst/>
                    </a:prstGeom>
                  </pic:spPr>
                </pic:pic>
              </a:graphicData>
            </a:graphic>
          </wp:inline>
        </w:drawing>
      </w:r>
    </w:p>
    <w:p w14:paraId="6BD86416" w14:textId="77777777" w:rsidR="00B658AB" w:rsidRDefault="00B658AB"/>
    <w:p w14:paraId="65029B58" w14:textId="77777777" w:rsidR="00B658AB" w:rsidRDefault="00B658AB"/>
    <w:sectPr w:rsidR="00B658AB">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C9B3" w14:textId="77777777" w:rsidR="005A6F01" w:rsidRDefault="005A6F01">
      <w:pPr>
        <w:spacing w:line="240" w:lineRule="auto"/>
      </w:pPr>
      <w:r>
        <w:separator/>
      </w:r>
    </w:p>
  </w:endnote>
  <w:endnote w:type="continuationSeparator" w:id="0">
    <w:p w14:paraId="592ADAB6" w14:textId="77777777" w:rsidR="005A6F01" w:rsidRDefault="005A6F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F8586BA-1DD9-AF4D-B3E6-E3D4FDA6CE5E}"/>
  </w:font>
  <w:font w:name="Times New Roman">
    <w:panose1 w:val="02020603050405020304"/>
    <w:charset w:val="00"/>
    <w:family w:val="roman"/>
    <w:pitch w:val="variable"/>
    <w:sig w:usb0="E0002EFF" w:usb1="C000785B" w:usb2="00000009" w:usb3="00000000" w:csb0="000001FF" w:csb1="00000000"/>
    <w:embedRegular r:id="rId2" w:fontKey="{EE60C816-2EC0-6541-B027-375A8CFC6A6F}"/>
    <w:embedBold r:id="rId3" w:fontKey="{E848FAFF-2AE6-C24C-82E8-2303513B436C}"/>
    <w:embedItalic r:id="rId4" w:fontKey="{C3A11A5D-81D9-C846-AEED-B02A928354B4}"/>
  </w:font>
  <w:font w:name="Courier New">
    <w:panose1 w:val="02070309020205020404"/>
    <w:charset w:val="00"/>
    <w:family w:val="modern"/>
    <w:pitch w:val="fixed"/>
    <w:sig w:usb0="E0002AFF" w:usb1="C0007843" w:usb2="00000009" w:usb3="00000000" w:csb0="000001FF" w:csb1="00000000"/>
    <w:embedRegular r:id="rId5" w:fontKey="{3BC31667-92C8-1343-B643-75EC3EE636D7}"/>
  </w:font>
  <w:font w:name="Wingdings">
    <w:panose1 w:val="05000000000000000000"/>
    <w:charset w:val="4D"/>
    <w:family w:val="decorative"/>
    <w:pitch w:val="variable"/>
    <w:sig w:usb0="00000003" w:usb1="00000000" w:usb2="00000000" w:usb3="00000000" w:csb0="80000001" w:csb1="00000000"/>
    <w:embedRegular r:id="rId6" w:fontKey="{1796C9E8-BB84-2E42-8556-03DB160D759A}"/>
  </w:font>
  <w:font w:name="Arial">
    <w:panose1 w:val="020B0604020202020204"/>
    <w:charset w:val="00"/>
    <w:family w:val="swiss"/>
    <w:pitch w:val="variable"/>
    <w:sig w:usb0="E0002AFF" w:usb1="C0007843" w:usb2="00000009" w:usb3="00000000" w:csb0="000001FF" w:csb1="00000000"/>
    <w:embedRegular r:id="rId7" w:fontKey="{4888C09E-1025-9947-99FC-E664D32825CD}"/>
    <w:embedBold r:id="rId8" w:fontKey="{E94E0771-6EE7-1B45-BC27-F046DEEB031A}"/>
    <w:embedItalic r:id="rId9" w:fontKey="{A0B8CA7C-BC96-2145-A649-8645BFF578F1}"/>
  </w:font>
  <w:font w:name="Roboto">
    <w:panose1 w:val="02000000000000000000"/>
    <w:charset w:val="00"/>
    <w:family w:val="auto"/>
    <w:pitch w:val="variable"/>
    <w:sig w:usb0="E0000AFF" w:usb1="5000217F" w:usb2="00000021" w:usb3="00000000" w:csb0="0000019F" w:csb1="00000000"/>
    <w:embedRegular r:id="rId10" w:fontKey="{C6C10B81-DE62-CC4F-99E4-BCA036B87532}"/>
    <w:embedBold r:id="rId11" w:fontKey="{064F4392-D8D9-CF47-AAC0-B2135D7F8907}"/>
  </w:font>
  <w:font w:name="MS Gothic">
    <w:altName w:val="ＭＳ ゴシック"/>
    <w:panose1 w:val="020B0609070205080204"/>
    <w:charset w:val="80"/>
    <w:family w:val="modern"/>
    <w:pitch w:val="fixed"/>
    <w:sig w:usb0="E00002FF" w:usb1="6AC7FDFB" w:usb2="08000012" w:usb3="00000000" w:csb0="0002009F" w:csb1="00000000"/>
    <w:embedRegular r:id="rId12" w:subsetted="1" w:fontKey="{6A043229-D0E1-E24F-99C4-06FFF7B9BC2B}"/>
  </w:font>
  <w:font w:name="Arimo">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4" w:fontKey="{00CFF737-62A6-C547-BBAF-6F0E1785C7A8}"/>
  </w:font>
  <w:font w:name="Calibri">
    <w:panose1 w:val="020F0502020204030204"/>
    <w:charset w:val="00"/>
    <w:family w:val="swiss"/>
    <w:pitch w:val="variable"/>
    <w:sig w:usb0="E4002EFF" w:usb1="C200247B" w:usb2="00000009" w:usb3="00000000" w:csb0="000001FF" w:csb1="00000000"/>
    <w:embedRegular r:id="rId15" w:fontKey="{6C8E1F31-7E92-CE41-8BFA-626D467D17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7664" w14:textId="77777777" w:rsidR="00366FAD" w:rsidRDefault="00366FAD">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05E1" w14:textId="77777777" w:rsidR="00366FAD" w:rsidRDefault="00366FAD">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851F" w14:textId="77777777" w:rsidR="00366FAD" w:rsidRDefault="00366FAD">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3F6A" w14:textId="77777777" w:rsidR="005A6F01" w:rsidRDefault="005A6F01">
      <w:pPr>
        <w:spacing w:line="240" w:lineRule="auto"/>
      </w:pPr>
      <w:r>
        <w:separator/>
      </w:r>
    </w:p>
  </w:footnote>
  <w:footnote w:type="continuationSeparator" w:id="0">
    <w:p w14:paraId="7317F97C" w14:textId="77777777" w:rsidR="005A6F01" w:rsidRDefault="005A6F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F1FA" w14:textId="77777777" w:rsidR="00366FAD" w:rsidRDefault="00366FAD">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FD45" w14:textId="77777777" w:rsidR="00366FAD" w:rsidRDefault="00366FAD">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0305" w14:textId="77777777" w:rsidR="00366FAD" w:rsidRDefault="00366FA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29E6"/>
    <w:multiLevelType w:val="multilevel"/>
    <w:tmpl w:val="391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C7BE4"/>
    <w:multiLevelType w:val="multilevel"/>
    <w:tmpl w:val="400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15449"/>
    <w:multiLevelType w:val="multilevel"/>
    <w:tmpl w:val="7DE8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736D2"/>
    <w:multiLevelType w:val="multilevel"/>
    <w:tmpl w:val="B720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C4701"/>
    <w:multiLevelType w:val="multilevel"/>
    <w:tmpl w:val="47C4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D909E4"/>
    <w:multiLevelType w:val="multilevel"/>
    <w:tmpl w:val="2E8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A683A"/>
    <w:multiLevelType w:val="multilevel"/>
    <w:tmpl w:val="6994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F0006"/>
    <w:multiLevelType w:val="multilevel"/>
    <w:tmpl w:val="48F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A0959"/>
    <w:multiLevelType w:val="multilevel"/>
    <w:tmpl w:val="87D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33AE8"/>
    <w:multiLevelType w:val="multilevel"/>
    <w:tmpl w:val="464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025E1"/>
    <w:multiLevelType w:val="multilevel"/>
    <w:tmpl w:val="C2D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83643">
    <w:abstractNumId w:val="4"/>
  </w:num>
  <w:num w:numId="2" w16cid:durableId="93598213">
    <w:abstractNumId w:val="0"/>
  </w:num>
  <w:num w:numId="3" w16cid:durableId="1543517181">
    <w:abstractNumId w:val="8"/>
  </w:num>
  <w:num w:numId="4" w16cid:durableId="581454423">
    <w:abstractNumId w:val="3"/>
  </w:num>
  <w:num w:numId="5" w16cid:durableId="658315297">
    <w:abstractNumId w:val="5"/>
  </w:num>
  <w:num w:numId="6" w16cid:durableId="246888261">
    <w:abstractNumId w:val="6"/>
  </w:num>
  <w:num w:numId="7" w16cid:durableId="995768426">
    <w:abstractNumId w:val="1"/>
  </w:num>
  <w:num w:numId="8" w16cid:durableId="924069024">
    <w:abstractNumId w:val="9"/>
  </w:num>
  <w:num w:numId="9" w16cid:durableId="1440947670">
    <w:abstractNumId w:val="10"/>
  </w:num>
  <w:num w:numId="10" w16cid:durableId="1894462931">
    <w:abstractNumId w:val="7"/>
  </w:num>
  <w:num w:numId="11" w16cid:durableId="1282541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FAD"/>
    <w:rsid w:val="000143F8"/>
    <w:rsid w:val="000D51FB"/>
    <w:rsid w:val="0022656B"/>
    <w:rsid w:val="002B3B77"/>
    <w:rsid w:val="00314E93"/>
    <w:rsid w:val="00341774"/>
    <w:rsid w:val="00366FAD"/>
    <w:rsid w:val="00441059"/>
    <w:rsid w:val="00456799"/>
    <w:rsid w:val="00457AA4"/>
    <w:rsid w:val="005A6F01"/>
    <w:rsid w:val="0066061B"/>
    <w:rsid w:val="0069407B"/>
    <w:rsid w:val="007A5533"/>
    <w:rsid w:val="007C2AB4"/>
    <w:rsid w:val="00A603F0"/>
    <w:rsid w:val="00B658AB"/>
    <w:rsid w:val="00C15C10"/>
    <w:rsid w:val="00CA0C3B"/>
    <w:rsid w:val="00D54C2B"/>
    <w:rsid w:val="00EA33BC"/>
    <w:rsid w:val="00F70186"/>
    <w:rsid w:val="00FB77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2242"/>
  <w15:docId w15:val="{E9A4013D-36A1-40E3-B4EF-75F91C2A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yperlink">
    <w:name w:val="Hyperlink"/>
    <w:basedOn w:val="DefaultParagraphFont"/>
    <w:uiPriority w:val="99"/>
    <w:unhideWhenUsed/>
    <w:rsid w:val="00457AA4"/>
    <w:rPr>
      <w:color w:val="0000FF" w:themeColor="hyperlink"/>
      <w:u w:val="single"/>
    </w:rPr>
  </w:style>
  <w:style w:type="paragraph" w:customStyle="1" w:styleId="isselectedend">
    <w:name w:val="isselectedend"/>
    <w:basedOn w:val="Normal"/>
    <w:rsid w:val="00457AA4"/>
    <w:pPr>
      <w:spacing w:before="100" w:beforeAutospacing="1" w:after="100" w:afterAutospacing="1" w:line="240" w:lineRule="auto"/>
    </w:pPr>
    <w:rPr>
      <w:rFonts w:ascii="Times New Roman" w:eastAsia="Times New Roman" w:hAnsi="Times New Roman" w:cs="Times New Roman"/>
      <w:sz w:val="24"/>
      <w:szCs w:val="24"/>
      <w:lang w:val="en-FR"/>
    </w:rPr>
  </w:style>
  <w:style w:type="paragraph" w:styleId="NormalWeb">
    <w:name w:val="Normal (Web)"/>
    <w:basedOn w:val="Normal"/>
    <w:uiPriority w:val="99"/>
    <w:unhideWhenUsed/>
    <w:rsid w:val="00457A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A5533"/>
    <w:rPr>
      <w:b/>
      <w:bCs/>
    </w:rPr>
  </w:style>
  <w:style w:type="table" w:styleId="TableGrid">
    <w:name w:val="Table Grid"/>
    <w:basedOn w:val="TableNormal"/>
    <w:uiPriority w:val="39"/>
    <w:rsid w:val="00B658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sb.org/2024/11/the-financial-stability-implications-of-artificial-intelligence/" TargetMode="External"/><Relationship Id="rId18" Type="http://schemas.openxmlformats.org/officeDocument/2006/relationships/hyperlink" Target="https://www.bankofengland.co.uk/financial-stability-in-focus/2025/april-2025"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bankofengland.co.uk/financial-stability/boe-system-wide-exploratory-scenario-exercise/boe-swes-exercise-final-report" TargetMode="External"/><Relationship Id="rId7" Type="http://schemas.openxmlformats.org/officeDocument/2006/relationships/endnotes" Target="endnotes.xml"/><Relationship Id="rId12" Type="http://schemas.openxmlformats.org/officeDocument/2006/relationships/hyperlink" Target="https://www.fsb.org/2024/11/the-financial-stability-implications-of-artificial-intelligence/" TargetMode="External"/><Relationship Id="rId17" Type="http://schemas.openxmlformats.org/officeDocument/2006/relationships/hyperlink" Target="https://www.bankofengland.co.uk/financial-stability-in-focus/2025/april-2025" TargetMode="External"/><Relationship Id="rId25" Type="http://schemas.openxmlformats.org/officeDocument/2006/relationships/image" Target="media/image4.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sb.org/2025/10/monitoring-adoption-of-artificial-intelligence-and-related-vulnerabilities-in-the-financial-sector/" TargetMode="External"/><Relationship Id="rId20" Type="http://schemas.openxmlformats.org/officeDocument/2006/relationships/hyperlink" Target="https://www.fca.org.uk/markets/transaction-reportin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nkofengland.co.uk/financial-stability-report/2022/december-2022" TargetMode="External"/><Relationship Id="rId24" Type="http://schemas.openxmlformats.org/officeDocument/2006/relationships/image" Target="media/image3.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sb.org/2025/10/monitoring-adoption-of-artificial-intelligence-and-related-vulnerabilities-in-the-financial-sector/" TargetMode="External"/><Relationship Id="rId23" Type="http://schemas.openxmlformats.org/officeDocument/2006/relationships/image" Target="media/image2.emf"/><Relationship Id="rId28" Type="http://schemas.openxmlformats.org/officeDocument/2006/relationships/footer" Target="footer1.xml"/><Relationship Id="rId10" Type="http://schemas.openxmlformats.org/officeDocument/2006/relationships/hyperlink" Target="https://www.bankofengland.co.uk/financial-stability-report/2022/december-2022" TargetMode="External"/><Relationship Id="rId19" Type="http://schemas.openxmlformats.org/officeDocument/2006/relationships/hyperlink" Target="https://www.fca.org.uk/markets/transaction-reportin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bankofengland.co.uk/report/2024/artificial-intelligence-in-uk-financial-services-2024" TargetMode="External"/><Relationship Id="rId14" Type="http://schemas.openxmlformats.org/officeDocument/2006/relationships/hyperlink" Target="https://www.fsb.org/2024/11/the-financial-stability-implications-of-artificial-intelligence/" TargetMode="External"/><Relationship Id="rId22" Type="http://schemas.openxmlformats.org/officeDocument/2006/relationships/image" Target="media/image1.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www.bankofengland.co.uk/report/2024/artificial-intelligence-in-uk-financial-services-202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wTrmfROBzizfMWlIiasTRuw==">CgMxLjAyDmguNmcyeWhndWYzcmZyMg5oLmc2YjNjbXZyNHdxcDINaC43cTVkYzV6ejc0dzIOaC5zM3N4dDk0dTloMXYyDmgubjBxdWkxOXRqZGJ2Mg5oLjNobDExdGhtNnJ3cDIOaC5hYjVndDk0Z3dibGoyDmguZW9pYXAzdm5zN2RrMg5oLjYyZWw2a2t3OGg4ZzIOaC53OHlsNWdienY1Z2EyDmgueXAwYWphb3ZzbnVyOAByITFzRVQ1azNqbG5fRllLaEVVR1BoSi1VN0VYZEJiMGl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Noha Berrada</cp:lastModifiedBy>
  <cp:revision>3</cp:revision>
  <dcterms:created xsi:type="dcterms:W3CDTF">2026-08-24T20:24:00Z</dcterms:created>
  <dcterms:modified xsi:type="dcterms:W3CDTF">2026-08-24T20:24:00Z</dcterms:modified>
</cp:coreProperties>
</file>