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F3C6E"/>
          <w:sz w:val="48"/>
        </w:rPr>
        <w:t>AmsR DeepShield</w:t>
        <w:br/>
        <w:t>Architecture Improvement Specification</w:t>
      </w:r>
    </w:p>
    <w:p>
      <w:pPr>
        <w:spacing w:before="240" w:after="240"/>
        <w:jc w:val="center"/>
      </w:pPr>
      <w:r>
        <w:rPr>
          <w:i/>
          <w:sz w:val="22"/>
        </w:rPr>
        <w:t>Revised enterprise blueprint for a scalable, secure, and deployment-flexible multi-modal deepfake detection platform</w:t>
      </w:r>
    </w:p>
    <w:p>
      <w:pPr>
        <w:spacing w:before="400"/>
        <w:jc w:val="center"/>
      </w:pPr>
      <w:r>
        <w:rPr>
          <w:color w:val="5A5A5A"/>
          <w:sz w:val="21"/>
        </w:rPr>
        <w:t>Prepared from the original prompt draft and aligned to the current repository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CE4"/>
          <w:left w:val="single" w:sz="6" w:space="0" w:color="B8CCE4"/>
          <w:bottom w:val="single" w:sz="6" w:space="0" w:color="B8CCE4"/>
          <w:right w:val="single" w:sz="6" w:space="0" w:color="B8CCE4"/>
          <w:insideH w:val="single" w:sz="6" w:space="0" w:color="B8CCE4"/>
          <w:insideV w:val="single" w:sz="6" w:space="0" w:color="B8CCE4"/>
        </w:tblBorders>
      </w:tblPr>
      <w:tblGrid>
        <w:gridCol w:w="2448"/>
        <w:gridCol w:w="6912"/>
      </w:tblGrid>
      <w:tr>
        <w:tc>
          <w:tcPr>
            <w:tcW w:type="dxa" w:w="4968"/>
            <w:shd w:fill="EAF1FB"/>
          </w:tcPr>
          <w:p>
            <w:r>
              <w:t>Document Purpose</w:t>
            </w:r>
          </w:p>
        </w:tc>
        <w:tc>
          <w:tcPr>
            <w:tcW w:type="dxa" w:w="4968"/>
          </w:tcPr>
          <w:p>
            <w:r>
              <w:t>Define the target-state architecture and implementation priorities for AmsR DeepShield.</w:t>
            </w:r>
          </w:p>
        </w:tc>
      </w:tr>
      <w:tr>
        <w:tc>
          <w:tcPr>
            <w:tcW w:type="dxa" w:w="4968"/>
            <w:shd w:fill="EAF1FB"/>
          </w:tcPr>
          <w:p>
            <w:r>
              <w:t>Primary Audience</w:t>
            </w:r>
          </w:p>
        </w:tc>
        <w:tc>
          <w:tcPr>
            <w:tcW w:type="dxa" w:w="4968"/>
          </w:tcPr>
          <w:p>
            <w:r>
              <w:t>Engineering leadership, backend/frontend developers, MLOps, security, and platform teams.</w:t>
            </w:r>
          </w:p>
        </w:tc>
      </w:tr>
      <w:tr>
        <w:tc>
          <w:tcPr>
            <w:tcW w:type="dxa" w:w="4968"/>
            <w:shd w:fill="EAF1FB"/>
          </w:tcPr>
          <w:p>
            <w:r>
              <w:t>Revision Goal</w:t>
            </w:r>
          </w:p>
        </w:tc>
        <w:tc>
          <w:tcPr>
            <w:tcW w:type="dxa" w:w="4968"/>
          </w:tcPr>
          <w:p>
            <w:r>
              <w:t>Convert a good idea list into an actionable, implementation-ready architecture plan.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AmsR DeepShield should mature from a Docker-first deepfake detector into a modular forensic platform that can run in cloud, local, and hybrid environments without sacrificing security, explainability, or operational observability.</w:t>
      </w:r>
    </w:p>
    <w:p>
      <w:r>
        <w:t>The original draft already identified the right ambition, but it mixed concrete requirements with placeholders and aspirational technology names. This revision turns that ambition into a clearer engineering target by distinguishing mandatory platform capabilities, implementation priorities, and optional future enhancements.</w:t>
      </w:r>
    </w:p>
    <w:p>
      <w:pPr>
        <w:pStyle w:val="Heading1"/>
      </w:pPr>
      <w:r>
        <w:t>2. Document Improvements Applied</w:t>
      </w:r>
    </w:p>
    <w:p>
      <w:pPr>
        <w:ind w:left="288" w:hanging="216"/>
      </w:pPr>
      <w:r>
        <w:rPr>
          <w:sz w:val="21"/>
        </w:rPr>
        <w:t>- Normalized section hierarchy so architecture, security, observability, and delivery topics flow in execution order.</w:t>
      </w:r>
    </w:p>
    <w:p>
      <w:pPr>
        <w:ind w:left="288" w:hanging="216"/>
      </w:pPr>
      <w:r>
        <w:rPr>
          <w:sz w:val="21"/>
        </w:rPr>
        <w:t>- Converted placeholder headings into implementation guidance, decision criteria, or explicit backlog items.</w:t>
      </w:r>
    </w:p>
    <w:p>
      <w:pPr>
        <w:ind w:left="288" w:hanging="216"/>
      </w:pPr>
      <w:r>
        <w:rPr>
          <w:sz w:val="21"/>
        </w:rPr>
        <w:t>- Aligned the target architecture with the current repository, which already uses a FastAPI gateway, Dockerized models, React frontend, and ensemble inference.</w:t>
      </w:r>
    </w:p>
    <w:p>
      <w:pPr>
        <w:ind w:left="288" w:hanging="216"/>
      </w:pPr>
      <w:r>
        <w:rPr>
          <w:sz w:val="21"/>
        </w:rPr>
        <w:t>- Reduced vague language and added concrete response contracts, deployment expectations, and roadmap priorities.</w:t>
      </w:r>
    </w:p>
    <w:p>
      <w:pPr>
        <w:pStyle w:val="Heading1"/>
      </w:pPr>
      <w:r>
        <w:t>3. Current-State Assessment</w:t>
      </w:r>
    </w:p>
    <w:p>
      <w:r>
        <w:t>The repository already demonstrates strong platform foundations: a FastAPI gateway, isolated model services, ensemble prediction logic, a React frontend, Docker Compose orchestration, and local SQLite persistence. Those strengths should be preserved.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3312"/>
        <w:gridCol w:w="3744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Area</w:t>
            </w:r>
          </w:p>
        </w:tc>
        <w:tc>
          <w:tcPr>
            <w:tcW w:type="dxa" w:w="3312"/>
            <w:shd w:fill="D9EAF7"/>
          </w:tcPr>
          <w:p>
            <w:r>
              <w:t>Current Strength</w:t>
            </w:r>
          </w:p>
        </w:tc>
        <w:tc>
          <w:tcPr>
            <w:tcW w:type="dxa" w:w="3312"/>
            <w:shd w:fill="D9EAF7"/>
          </w:tcPr>
          <w:p>
            <w:r>
              <w:t>Improvement Required</w:t>
            </w:r>
          </w:p>
        </w:tc>
      </w:tr>
      <w:tr>
        <w:tc>
          <w:tcPr>
            <w:tcW w:type="dxa" w:w="2592"/>
          </w:tcPr>
          <w:p>
            <w:r>
              <w:t>Inference</w:t>
            </w:r>
          </w:p>
        </w:tc>
        <w:tc>
          <w:tcPr>
            <w:tcW w:type="dxa" w:w="3312"/>
          </w:tcPr>
          <w:p>
            <w:r>
              <w:t>Multiple specialized detectors already exist.</w:t>
            </w:r>
          </w:p>
        </w:tc>
        <w:tc>
          <w:tcPr>
            <w:tcW w:type="dxa" w:w="3744"/>
          </w:tcPr>
          <w:p>
            <w:r>
              <w:t>Add a formal runtime abstraction and health-aware orchestration.</w:t>
            </w:r>
          </w:p>
        </w:tc>
      </w:tr>
      <w:tr>
        <w:tc>
          <w:tcPr>
            <w:tcW w:type="dxa" w:w="259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Docker Compose support is present.</w:t>
            </w:r>
          </w:p>
        </w:tc>
        <w:tc>
          <w:tcPr>
            <w:tcW w:type="dxa" w:w="3744"/>
          </w:tcPr>
          <w:p>
            <w:r>
              <w:t>Add first-class local mode, environment auto-detection, and upgrade path to Kubernetes.</w:t>
            </w:r>
          </w:p>
        </w:tc>
      </w:tr>
      <w:tr>
        <w:tc>
          <w:tcPr>
            <w:tcW w:type="dxa" w:w="2592"/>
          </w:tcPr>
          <w:p>
            <w:r>
              <w:t>Persistence</w:t>
            </w:r>
          </w:p>
        </w:tc>
        <w:tc>
          <w:tcPr>
            <w:tcW w:type="dxa" w:w="3312"/>
          </w:tcPr>
          <w:p>
            <w:r>
              <w:t>SQLite history exists today.</w:t>
            </w:r>
          </w:p>
        </w:tc>
        <w:tc>
          <w:tcPr>
            <w:tcW w:type="dxa" w:w="3744"/>
          </w:tcPr>
          <w:p>
            <w:r>
              <w:t>Introduce a clean repository layer with optional MongoDB replication.</w:t>
            </w:r>
          </w:p>
        </w:tc>
      </w:tr>
      <w:tr>
        <w:tc>
          <w:tcPr>
            <w:tcW w:type="dxa" w:w="259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 dashboard exists with reporting/export flows.</w:t>
            </w:r>
          </w:p>
        </w:tc>
        <w:tc>
          <w:tcPr>
            <w:tcW w:type="dxa" w:w="3744"/>
          </w:tcPr>
          <w:p>
            <w:r>
              <w:t>Add real-time progress, richer explainability, and system health views.</w:t>
            </w:r>
          </w:p>
        </w:tc>
      </w:tr>
      <w:tr>
        <w:tc>
          <w:tcPr>
            <w:tcW w:type="dxa" w:w="259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Basic validation exists.</w:t>
            </w:r>
          </w:p>
        </w:tc>
        <w:tc>
          <w:tcPr>
            <w:tcW w:type="dxa" w:w="3744"/>
          </w:tcPr>
          <w:p>
            <w:r>
              <w:t>Add file safety pipeline, audit logging, rate limiting, and malware scanning strategy.</w:t>
            </w:r>
          </w:p>
        </w:tc>
      </w:tr>
    </w:tbl>
    <w:p>
      <w:pPr>
        <w:pStyle w:val="Heading1"/>
      </w:pPr>
      <w:r>
        <w:t>4. Target Architecture</w:t>
      </w:r>
    </w:p>
    <w:p>
      <w:r>
        <w:t>The platform should support two primary execution modes behind one stable API contract.</w:t>
      </w:r>
    </w:p>
    <w:p>
      <w:pPr>
        <w:pStyle w:val="Heading2"/>
      </w:pPr>
      <w:r>
        <w:t>4.1 Required Runtime Modes</w:t>
      </w:r>
    </w:p>
    <w:p>
      <w:pPr>
        <w:ind w:left="288" w:hanging="216"/>
      </w:pPr>
      <w:r>
        <w:rPr>
          <w:sz w:val="21"/>
        </w:rPr>
        <w:t>- Containerized mode: independent detector services, horizontal scale, centralized orchestration, and GPU-aware scheduling.</w:t>
      </w:r>
    </w:p>
    <w:p>
      <w:pPr>
        <w:ind w:left="288" w:hanging="216"/>
      </w:pPr>
      <w:r>
        <w:rPr>
          <w:sz w:val="21"/>
        </w:rPr>
        <w:t>- Local mode: single-host deployment with embedded inference, shared resource management, and offline-first execution.</w:t>
      </w:r>
    </w:p>
    <w:p>
      <w:pPr>
        <w:ind w:left="288" w:hanging="216"/>
      </w:pPr>
      <w:r>
        <w:rPr>
          <w:sz w:val="21"/>
        </w:rPr>
        <w:t>- Hybrid mode: local preprocessing and evidence capture with optional cloud-backed analysis, synchronization, or enrichment.</w:t>
      </w:r>
    </w:p>
    <w:p>
      <w:pPr>
        <w:pStyle w:val="Heading2"/>
      </w:pPr>
      <w:r>
        <w:t>4.2 Core Architectural Principles</w:t>
      </w:r>
    </w:p>
    <w:p>
      <w:pPr>
        <w:ind w:left="288" w:hanging="216"/>
      </w:pPr>
      <w:r>
        <w:rPr>
          <w:sz w:val="21"/>
        </w:rPr>
        <w:t>- One public API contract regardless of deployment mode.</w:t>
      </w:r>
    </w:p>
    <w:p>
      <w:pPr>
        <w:ind w:left="288" w:hanging="216"/>
      </w:pPr>
      <w:r>
        <w:rPr>
          <w:sz w:val="21"/>
        </w:rPr>
        <w:t>- Security checks must run before expensive media processing.</w:t>
      </w:r>
    </w:p>
    <w:p>
      <w:pPr>
        <w:ind w:left="288" w:hanging="216"/>
      </w:pPr>
      <w:r>
        <w:rPr>
          <w:sz w:val="21"/>
        </w:rPr>
        <w:t>- Every detector must expose a standard lifecycle: load, preprocess, infer, postprocess, and health check.</w:t>
      </w:r>
    </w:p>
    <w:p>
      <w:pPr>
        <w:ind w:left="288" w:hanging="216"/>
      </w:pPr>
      <w:r>
        <w:rPr>
          <w:sz w:val="21"/>
        </w:rPr>
        <w:t>- Inference orchestration must tolerate partial detector failure and still return a traceable result when policy allows.</w:t>
      </w:r>
    </w:p>
    <w:p>
      <w:pPr>
        <w:ind w:left="288" w:hanging="216"/>
      </w:pPr>
      <w:r>
        <w:rPr>
          <w:sz w:val="21"/>
        </w:rPr>
        <w:t>- Observability, auditability, and explainability are platform requirements, not optional add-ons.</w:t>
      </w:r>
    </w:p>
    <w:p>
      <w:pPr>
        <w:pStyle w:val="Heading2"/>
      </w:pPr>
      <w:r>
        <w:t>4.3 Unified Request Pipeline</w:t>
      </w:r>
    </w:p>
    <w:p>
      <w:pPr>
        <w:ind w:left="288" w:hanging="216"/>
      </w:pPr>
      <w:r>
        <w:rPr>
          <w:sz w:val="21"/>
        </w:rPr>
        <w:t>1. Client upload and request registration</w:t>
      </w:r>
    </w:p>
    <w:p>
      <w:pPr>
        <w:ind w:left="288" w:hanging="216"/>
      </w:pPr>
      <w:r>
        <w:rPr>
          <w:sz w:val="21"/>
        </w:rPr>
        <w:t>2. Security validation and file safety inspection</w:t>
      </w:r>
    </w:p>
    <w:p>
      <w:pPr>
        <w:ind w:left="288" w:hanging="216"/>
      </w:pPr>
      <w:r>
        <w:rPr>
          <w:sz w:val="21"/>
        </w:rPr>
        <w:t>3. Media classification and routing decision</w:t>
      </w:r>
    </w:p>
    <w:p>
      <w:pPr>
        <w:ind w:left="288" w:hanging="216"/>
      </w:pPr>
      <w:r>
        <w:rPr>
          <w:sz w:val="21"/>
        </w:rPr>
        <w:t>4. Detector execution through the orchestration layer</w:t>
      </w:r>
    </w:p>
    <w:p>
      <w:pPr>
        <w:ind w:left="288" w:hanging="216"/>
      </w:pPr>
      <w:r>
        <w:rPr>
          <w:sz w:val="21"/>
        </w:rPr>
        <w:t>5. Ensemble aggregation and confidence calibration</w:t>
      </w:r>
    </w:p>
    <w:p>
      <w:pPr>
        <w:ind w:left="288" w:hanging="216"/>
      </w:pPr>
      <w:r>
        <w:rPr>
          <w:sz w:val="21"/>
        </w:rPr>
        <w:t>6. Forensic evidence packaging, persistence, and metrics emission</w:t>
      </w:r>
    </w:p>
    <w:p>
      <w:pPr>
        <w:ind w:left="288" w:hanging="216"/>
      </w:pPr>
      <w:r>
        <w:rPr>
          <w:sz w:val="21"/>
        </w:rPr>
        <w:t>7. Response delivery with trace metadata and explainability</w:t>
      </w:r>
    </w:p>
    <w:p>
      <w:pPr>
        <w:pStyle w:val="Heading2"/>
      </w:pPr>
      <w:r>
        <w:t>4.4 Recommended Service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024"/>
        <w:gridCol w:w="2016"/>
        <w:gridCol w:w="4608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Service</w:t>
            </w:r>
          </w:p>
        </w:tc>
        <w:tc>
          <w:tcPr>
            <w:tcW w:type="dxa" w:w="3312"/>
            <w:shd w:fill="D9EAF7"/>
          </w:tcPr>
          <w:p>
            <w:r>
              <w:t>Required In</w:t>
            </w:r>
          </w:p>
        </w:tc>
        <w:tc>
          <w:tcPr>
            <w:tcW w:type="dxa" w:w="3312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3024"/>
          </w:tcPr>
          <w:p>
            <w:r>
              <w:t>API Gateway</w:t>
            </w:r>
          </w:p>
        </w:tc>
        <w:tc>
          <w:tcPr>
            <w:tcW w:type="dxa" w:w="2016"/>
          </w:tcPr>
          <w:p>
            <w:r>
              <w:t>All modes</w:t>
            </w:r>
          </w:p>
        </w:tc>
        <w:tc>
          <w:tcPr>
            <w:tcW w:type="dxa" w:w="4608"/>
          </w:tcPr>
          <w:p>
            <w:r>
              <w:t>Authentication, request validation, orchestration entrypoint, response normalization.</w:t>
            </w:r>
          </w:p>
        </w:tc>
      </w:tr>
      <w:tr>
        <w:tc>
          <w:tcPr>
            <w:tcW w:type="dxa" w:w="3024"/>
          </w:tcPr>
          <w:p>
            <w:r>
              <w:t>Inference Orchestrator</w:t>
            </w:r>
          </w:p>
        </w:tc>
        <w:tc>
          <w:tcPr>
            <w:tcW w:type="dxa" w:w="2016"/>
          </w:tcPr>
          <w:p>
            <w:r>
              <w:t>All modes</w:t>
            </w:r>
          </w:p>
        </w:tc>
        <w:tc>
          <w:tcPr>
            <w:tcW w:type="dxa" w:w="4608"/>
          </w:tcPr>
          <w:p>
            <w:r>
              <w:t>Detector lifecycle, retries, concurrency limits, and aggregation control.</w:t>
            </w:r>
          </w:p>
        </w:tc>
      </w:tr>
      <w:tr>
        <w:tc>
          <w:tcPr>
            <w:tcW w:type="dxa" w:w="3024"/>
          </w:tcPr>
          <w:p>
            <w:r>
              <w:t>Detector Services</w:t>
            </w:r>
          </w:p>
        </w:tc>
        <w:tc>
          <w:tcPr>
            <w:tcW w:type="dxa" w:w="2016"/>
          </w:tcPr>
          <w:p>
            <w:r>
              <w:t>Docker/hybrid</w:t>
            </w:r>
          </w:p>
        </w:tc>
        <w:tc>
          <w:tcPr>
            <w:tcW w:type="dxa" w:w="4608"/>
          </w:tcPr>
          <w:p>
            <w:r>
              <w:t>Isolated model execution for image, video, audio, and future text/OCR pipelines.</w:t>
            </w:r>
          </w:p>
        </w:tc>
      </w:tr>
      <w:tr>
        <w:tc>
          <w:tcPr>
            <w:tcW w:type="dxa" w:w="3024"/>
          </w:tcPr>
          <w:p>
            <w:r>
              <w:t>Local Inference Engine</w:t>
            </w:r>
          </w:p>
        </w:tc>
        <w:tc>
          <w:tcPr>
            <w:tcW w:type="dxa" w:w="2016"/>
          </w:tcPr>
          <w:p>
            <w:r>
              <w:t>Local mode</w:t>
            </w:r>
          </w:p>
        </w:tc>
        <w:tc>
          <w:tcPr>
            <w:tcW w:type="dxa" w:w="4608"/>
          </w:tcPr>
          <w:p>
            <w:r>
              <w:t>Embedded detector execution with shared memory and GPU fallback logic.</w:t>
            </w:r>
          </w:p>
        </w:tc>
      </w:tr>
      <w:tr>
        <w:tc>
          <w:tcPr>
            <w:tcW w:type="dxa" w:w="3024"/>
          </w:tcPr>
          <w:p>
            <w:r>
              <w:t>Persistence Layer</w:t>
            </w:r>
          </w:p>
        </w:tc>
        <w:tc>
          <w:tcPr>
            <w:tcW w:type="dxa" w:w="2016"/>
          </w:tcPr>
          <w:p>
            <w:r>
              <w:t>All modes</w:t>
            </w:r>
          </w:p>
        </w:tc>
        <w:tc>
          <w:tcPr>
            <w:tcW w:type="dxa" w:w="4608"/>
          </w:tcPr>
          <w:p>
            <w:r>
              <w:t>SQLite by default, optional MongoDB replication, evidence metadata, and audit trails.</w:t>
            </w:r>
          </w:p>
        </w:tc>
      </w:tr>
      <w:tr>
        <w:tc>
          <w:tcPr>
            <w:tcW w:type="dxa" w:w="3024"/>
          </w:tcPr>
          <w:p>
            <w:r>
              <w:t>Queue/Job Layer</w:t>
            </w:r>
          </w:p>
        </w:tc>
        <w:tc>
          <w:tcPr>
            <w:tcW w:type="dxa" w:w="2016"/>
          </w:tcPr>
          <w:p>
            <w:r>
              <w:t>Recommended</w:t>
            </w:r>
          </w:p>
        </w:tc>
        <w:tc>
          <w:tcPr>
            <w:tcW w:type="dxa" w:w="4608"/>
          </w:tcPr>
          <w:p>
            <w:r>
              <w:t>Long-running video jobs, batch uploads, and retraining tasks.</w:t>
            </w:r>
          </w:p>
        </w:tc>
      </w:tr>
      <w:tr>
        <w:tc>
          <w:tcPr>
            <w:tcW w:type="dxa" w:w="3024"/>
          </w:tcPr>
          <w:p>
            <w:r>
              <w:t>Metrics and Tracing</w:t>
            </w:r>
          </w:p>
        </w:tc>
        <w:tc>
          <w:tcPr>
            <w:tcW w:type="dxa" w:w="2016"/>
          </w:tcPr>
          <w:p>
            <w:r>
              <w:t>All modes</w:t>
            </w:r>
          </w:p>
        </w:tc>
        <w:tc>
          <w:tcPr>
            <w:tcW w:type="dxa" w:w="4608"/>
          </w:tcPr>
          <w:p>
            <w:r>
              <w:t>Prometheus-compatible metrics and OpenTelemetry traces.</w:t>
            </w:r>
          </w:p>
        </w:tc>
      </w:tr>
    </w:tbl>
    <w:p>
      <w:pPr>
        <w:pStyle w:val="Heading1"/>
      </w:pPr>
      <w:r>
        <w:t>5. Inference and Model Governance</w:t>
      </w:r>
    </w:p>
    <w:p>
      <w:r>
        <w:t>A consistent detector contract is the fastest path to extensibility. New models should be plug-in compatible with the orchestration layer rather than requiring custom gateway logic.</w:t>
      </w:r>
    </w:p>
    <w:p>
      <w:pPr>
        <w:pStyle w:val="Heading2"/>
      </w:pPr>
      <w:r>
        <w:t>5.1 Standard Detector Interface</w:t>
      </w:r>
    </w:p>
    <w:p>
      <w:pPr>
        <w:spacing w:after="0"/>
        <w:ind w:left="504"/>
      </w:pPr>
      <w:r>
        <w:rPr>
          <w:rFonts w:ascii="Consolas" w:hAnsi="Consolas"/>
          <w:sz w:val="19"/>
        </w:rPr>
        <w:t>class BaseDetector: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async def load_model(self): ...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async def preprocess(self, media): ...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async def infer(self, processed): ...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async def postprocess(self, results): ...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async def health_check(self): ...</w:t>
      </w:r>
    </w:p>
    <w:p>
      <w:pPr>
        <w:pStyle w:val="Heading2"/>
      </w:pPr>
      <w:r>
        <w:t>5.2 Ensemble Strategy</w:t>
      </w:r>
    </w:p>
    <w:p>
      <w:pPr>
        <w:ind w:left="288" w:hanging="216"/>
      </w:pPr>
      <w:r>
        <w:rPr>
          <w:sz w:val="21"/>
        </w:rPr>
        <w:t>- Keep weighted averaging and stacking as first-class methods because they align with the current repository design.</w:t>
      </w:r>
    </w:p>
    <w:p>
      <w:pPr>
        <w:ind w:left="288" w:hanging="216"/>
      </w:pPr>
      <w:r>
        <w:rPr>
          <w:sz w:val="21"/>
        </w:rPr>
        <w:t>- Treat Bayesian fusion and dynamic weighting as optional roadmap items until calibration data and operational telemetry are mature enough to support them.</w:t>
      </w:r>
    </w:p>
    <w:p>
      <w:pPr>
        <w:ind w:left="288" w:hanging="216"/>
      </w:pPr>
      <w:r>
        <w:rPr>
          <w:sz w:val="21"/>
        </w:rPr>
        <w:t>- Store per-model outputs, calibration metadata, and final fusion decisions so results remain reproducible.</w:t>
      </w:r>
    </w:p>
    <w:p>
      <w:pPr>
        <w:pStyle w:val="Heading2"/>
      </w:pPr>
      <w:r>
        <w:t>5.3 Explainability Requirements</w:t>
      </w:r>
    </w:p>
    <w:p>
      <w:pPr>
        <w:ind w:left="288" w:hanging="216"/>
      </w:pPr>
      <w:r>
        <w:rPr>
          <w:sz w:val="21"/>
        </w:rPr>
        <w:t>- Return top contributing detectors, anomaly summaries, and confidence rationale in every successful response.</w:t>
      </w:r>
    </w:p>
    <w:p>
      <w:pPr>
        <w:ind w:left="288" w:hanging="216"/>
      </w:pPr>
      <w:r>
        <w:rPr>
          <w:sz w:val="21"/>
        </w:rPr>
        <w:t>- Record detector-level failures and exclusions so low-confidence or partial results are understandable.</w:t>
      </w:r>
    </w:p>
    <w:p>
      <w:pPr>
        <w:ind w:left="288" w:hanging="216"/>
      </w:pPr>
      <w:r>
        <w:rPr>
          <w:sz w:val="21"/>
        </w:rPr>
        <w:t>- Expose enough structured evidence for UI timelines, report exports, and audit review.</w:t>
      </w:r>
    </w:p>
    <w:p>
      <w:pPr>
        <w:pStyle w:val="Heading1"/>
      </w:pPr>
      <w:r>
        <w:t>6. Security and Abuse Resistance</w:t>
      </w:r>
    </w:p>
    <w:p>
      <w:r>
        <w:t>Security should be built as an ordered gate ahead of inference so the system never treats untrusted media like harmless input.</w:t>
      </w:r>
    </w:p>
    <w:p>
      <w:pPr>
        <w:ind w:left="288" w:hanging="216"/>
      </w:pPr>
      <w:r>
        <w:rPr>
          <w:sz w:val="21"/>
        </w:rPr>
        <w:t>- Hash every upload and retain immutable request identifiers.</w:t>
      </w:r>
    </w:p>
    <w:p>
      <w:pPr>
        <w:ind w:left="288" w:hanging="216"/>
      </w:pPr>
      <w:r>
        <w:rPr>
          <w:sz w:val="21"/>
        </w:rPr>
        <w:t>- Validate MIME type, magic bytes, file extension consistency, and size limits.</w:t>
      </w:r>
    </w:p>
    <w:p>
      <w:pPr>
        <w:ind w:left="288" w:hanging="216"/>
      </w:pPr>
      <w:r>
        <w:rPr>
          <w:sz w:val="21"/>
        </w:rPr>
        <w:t>- Detect suspicious archives, malformed media, and polyglot files before decode.</w:t>
      </w:r>
    </w:p>
    <w:p>
      <w:pPr>
        <w:ind w:left="288" w:hanging="216"/>
      </w:pPr>
      <w:r>
        <w:rPr>
          <w:sz w:val="21"/>
        </w:rPr>
        <w:t>- Add rate limiting per IP, user, and API key, with stricter thresholds for expensive video jobs.</w:t>
      </w:r>
    </w:p>
    <w:p>
      <w:pPr>
        <w:ind w:left="288" w:hanging="216"/>
      </w:pPr>
      <w:r>
        <w:rPr>
          <w:sz w:val="21"/>
        </w:rPr>
        <w:t>- Separate immutable audit logs for security events, admin actions, and evidence export activity.</w:t>
      </w:r>
    </w:p>
    <w:p>
      <w:pPr>
        <w:pStyle w:val="Heading2"/>
      </w:pPr>
      <w:r>
        <w:t>6.1 Practical Scanner Strategy</w:t>
      </w:r>
    </w:p>
    <w:p>
      <w:r>
        <w:t>VirusTotal should be treated as optional enrichment for connected deployments only. ClamAV or an equivalent local scanner is the safer baseline for air-gapped and privacy-sensitive deployments.</w:t>
      </w:r>
    </w:p>
    <w:p>
      <w:pPr>
        <w:pStyle w:val="Heading1"/>
      </w:pPr>
      <w:r>
        <w:t>7. Persistence, Observability, and Operations</w:t>
      </w:r>
    </w:p>
    <w:p>
      <w:pPr>
        <w:pStyle w:val="Heading2"/>
      </w:pPr>
      <w:r>
        <w:t>7.1 Persistence Model</w:t>
      </w:r>
    </w:p>
    <w:p>
      <w:pPr>
        <w:ind w:left="288" w:hanging="216"/>
      </w:pPr>
      <w:r>
        <w:rPr>
          <w:sz w:val="21"/>
        </w:rPr>
        <w:t>- Default to SQLite for local durability and simple installs.</w:t>
      </w:r>
    </w:p>
    <w:p>
      <w:pPr>
        <w:ind w:left="288" w:hanging="216"/>
      </w:pPr>
      <w:r>
        <w:rPr>
          <w:sz w:val="21"/>
        </w:rPr>
        <w:t>- Add a repository abstraction so MongoDB replication is optional rather than hard-wired.</w:t>
      </w:r>
    </w:p>
    <w:p>
      <w:pPr>
        <w:ind w:left="288" w:hanging="216"/>
      </w:pPr>
      <w:r>
        <w:rPr>
          <w:sz w:val="21"/>
        </w:rPr>
        <w:t>- Persist request metadata, detector outputs, processing timings, and audit events separately.</w:t>
      </w:r>
    </w:p>
    <w:p>
      <w:pPr>
        <w:pStyle w:val="Heading2"/>
      </w:pPr>
      <w:r>
        <w:t>7.2 Observability</w:t>
      </w:r>
    </w:p>
    <w:p>
      <w:pPr>
        <w:ind w:left="288" w:hanging="216"/>
      </w:pPr>
      <w:r>
        <w:rPr>
          <w:sz w:val="21"/>
        </w:rPr>
        <w:t>- Use structured JSON logs across all services.</w:t>
      </w:r>
    </w:p>
    <w:p>
      <w:pPr>
        <w:ind w:left="288" w:hanging="216"/>
      </w:pPr>
      <w:r>
        <w:rPr>
          <w:sz w:val="21"/>
        </w:rPr>
        <w:t>- Expose Prometheus metrics for latency, queue depth, detector failures, GPU utilization, and cache behavior.</w:t>
      </w:r>
    </w:p>
    <w:p>
      <w:pPr>
        <w:ind w:left="288" w:hanging="216"/>
      </w:pPr>
      <w:r>
        <w:rPr>
          <w:sz w:val="21"/>
        </w:rPr>
        <w:t>- Adopt OpenTelemetry traces across gateway, orchestrator, and model calls.</w:t>
      </w:r>
    </w:p>
    <w:p>
      <w:pPr>
        <w:ind w:left="288" w:hanging="216"/>
      </w:pPr>
      <w:r>
        <w:rPr>
          <w:sz w:val="21"/>
        </w:rPr>
        <w:t>- Provide `/api/health` for lightweight checks and `/api/health/detailed` for operational diagnostics.</w:t>
      </w:r>
    </w:p>
    <w:p>
      <w:pPr>
        <w:pStyle w:val="Heading2"/>
      </w:pPr>
      <w:r>
        <w:t>7.3 Async Processing</w:t>
      </w:r>
    </w:p>
    <w:p>
      <w:pPr>
        <w:ind w:left="288" w:hanging="216"/>
      </w:pPr>
      <w:r>
        <w:rPr>
          <w:sz w:val="21"/>
        </w:rPr>
        <w:t>- Introduce background job execution for long-running video analysis, batch processing, and report generation.</w:t>
      </w:r>
    </w:p>
    <w:p>
      <w:pPr>
        <w:ind w:left="288" w:hanging="216"/>
      </w:pPr>
      <w:r>
        <w:rPr>
          <w:sz w:val="21"/>
        </w:rPr>
        <w:t>- Stream progress updates to the frontend through WebSockets or server-sent events.</w:t>
      </w:r>
    </w:p>
    <w:p>
      <w:pPr>
        <w:ind w:left="288" w:hanging="216"/>
      </w:pPr>
      <w:r>
        <w:rPr>
          <w:sz w:val="21"/>
        </w:rPr>
        <w:t>- Define retry limits, dead-letter behavior, and job cancellation rules before adding queue scale.</w:t>
      </w:r>
    </w:p>
    <w:p>
      <w:pPr>
        <w:pStyle w:val="Heading1"/>
      </w:pPr>
      <w:r>
        <w:t>8. API and Frontend Direction</w:t>
      </w:r>
    </w:p>
    <w:p>
      <w:pPr>
        <w:pStyle w:val="Heading2"/>
      </w:pPr>
      <w:r>
        <w:t>8.1 Response Contract</w:t>
      </w:r>
    </w:p>
    <w:p>
      <w:pPr>
        <w:spacing w:after="0"/>
        <w:ind w:left="504"/>
      </w:pPr>
      <w:r>
        <w:rPr>
          <w:rFonts w:ascii="Consolas" w:hAnsi="Consolas"/>
          <w:sz w:val="19"/>
        </w:rPr>
        <w:t>{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"request_id": "uuid",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"timestamp": "ISO8601",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"media_type": "video",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"processing_mode": "docker",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"verdict": "fake",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"confidence": 0.96,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"risk_level": "high",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"forensic_analysis": {},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"security_analysis": {},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"performance_metrics": {},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"explainability": {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"top_contributing_models": [],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"key_anomalies_detected": [],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  "confidence_reasoning": ""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},</w:t>
      </w:r>
    </w:p>
    <w:p>
      <w:pPr>
        <w:spacing w:after="0"/>
        <w:ind w:left="504"/>
      </w:pPr>
      <w:r>
        <w:rPr>
          <w:rFonts w:ascii="Consolas" w:hAnsi="Consolas"/>
          <w:sz w:val="19"/>
        </w:rPr>
        <w:t xml:space="preserve">  "trace": {}</w:t>
      </w:r>
    </w:p>
    <w:p>
      <w:pPr>
        <w:spacing w:after="0"/>
        <w:ind w:left="504"/>
      </w:pPr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8.2 Frontend Priorities</w:t>
      </w:r>
    </w:p>
    <w:p>
      <w:pPr>
        <w:ind w:left="288" w:hanging="216"/>
      </w:pPr>
      <w:r>
        <w:rPr>
          <w:sz w:val="21"/>
        </w:rPr>
        <w:t>- Preserve the current React dashboard but add clearer job progress, system health, and model-level confidence breakdowns.</w:t>
      </w:r>
    </w:p>
    <w:p>
      <w:pPr>
        <w:ind w:left="288" w:hanging="216"/>
      </w:pPr>
      <w:r>
        <w:rPr>
          <w:sz w:val="21"/>
        </w:rPr>
        <w:t>- Design for accessibility, mobile responsiveness, and exportable forensic reports.</w:t>
      </w:r>
    </w:p>
    <w:p>
      <w:pPr>
        <w:ind w:left="288" w:hanging="216"/>
      </w:pPr>
      <w:r>
        <w:rPr>
          <w:sz w:val="21"/>
        </w:rPr>
        <w:t>- Treat advanced visualizations such as frame anomaly timelines, spectrogram overlays, and evidence viewers as high-value additions after the core response contract stabilizes.</w:t>
      </w:r>
    </w:p>
    <w:p>
      <w:pPr>
        <w:pStyle w:val="Heading1"/>
      </w:pPr>
      <w:r>
        <w:t>9. Delivery Roadmap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440"/>
        <w:gridCol w:w="2448"/>
        <w:gridCol w:w="3456"/>
        <w:gridCol w:w="2448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t>Phase</w:t>
            </w:r>
          </w:p>
        </w:tc>
        <w:tc>
          <w:tcPr>
            <w:tcW w:type="dxa" w:w="2484"/>
            <w:shd w:fill="D9EAF7"/>
          </w:tcPr>
          <w:p>
            <w:r>
              <w:t>Focus</w:t>
            </w:r>
          </w:p>
        </w:tc>
        <w:tc>
          <w:tcPr>
            <w:tcW w:type="dxa" w:w="2484"/>
            <w:shd w:fill="D9EAF7"/>
          </w:tcPr>
          <w:p>
            <w:r>
              <w:t>Primary Outputs</w:t>
            </w:r>
          </w:p>
        </w:tc>
        <w:tc>
          <w:tcPr>
            <w:tcW w:type="dxa" w:w="2484"/>
            <w:shd w:fill="D9EAF7"/>
          </w:tcPr>
          <w:p>
            <w:r>
              <w:t>Exit Criteria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Platform hardening</w:t>
            </w:r>
          </w:p>
        </w:tc>
        <w:tc>
          <w:tcPr>
            <w:tcW w:type="dxa" w:w="3456"/>
          </w:tcPr>
          <w:p>
            <w:r>
              <w:t>Runtime abstraction, config cleanup, security gate, health endpoints</w:t>
            </w:r>
          </w:p>
        </w:tc>
        <w:tc>
          <w:tcPr>
            <w:tcW w:type="dxa" w:w="2448"/>
          </w:tcPr>
          <w:p>
            <w:r>
              <w:t>System runs reliably in Docker and local mode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Operational maturity</w:t>
            </w:r>
          </w:p>
        </w:tc>
        <w:tc>
          <w:tcPr>
            <w:tcW w:type="dxa" w:w="3456"/>
          </w:tcPr>
          <w:p>
            <w:r>
              <w:t>Structured logging, metrics, tracing, queue-based jobs</w:t>
            </w:r>
          </w:p>
        </w:tc>
        <w:tc>
          <w:tcPr>
            <w:tcW w:type="dxa" w:w="2448"/>
          </w:tcPr>
          <w:p>
            <w:r>
              <w:t>Long-running workloads are observable and recoverable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Forensic depth</w:t>
            </w:r>
          </w:p>
        </w:tc>
        <w:tc>
          <w:tcPr>
            <w:tcW w:type="dxa" w:w="3456"/>
          </w:tcPr>
          <w:p>
            <w:r>
              <w:t>Explainability payloads, richer evidence storage, report exports</w:t>
            </w:r>
          </w:p>
        </w:tc>
        <w:tc>
          <w:tcPr>
            <w:tcW w:type="dxa" w:w="2448"/>
          </w:tcPr>
          <w:p>
            <w:r>
              <w:t>Responses are audit-ready and understandable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Scale and enterprise readiness</w:t>
            </w:r>
          </w:p>
        </w:tc>
        <w:tc>
          <w:tcPr>
            <w:tcW w:type="dxa" w:w="3456"/>
          </w:tcPr>
          <w:p>
            <w:r>
              <w:t>Kubernetes packaging, GPU scheduling, HA persistence options</w:t>
            </w:r>
          </w:p>
        </w:tc>
        <w:tc>
          <w:tcPr>
            <w:tcW w:type="dxa" w:w="2448"/>
          </w:tcPr>
          <w:p>
            <w:r>
              <w:t>Platform meets production SLOs under load</w:t>
            </w:r>
          </w:p>
        </w:tc>
      </w:tr>
    </w:tbl>
    <w:p>
      <w:pPr>
        <w:pStyle w:val="Heading1"/>
      </w:pPr>
      <w:r>
        <w:t>10. Final Recommendations</w:t>
      </w:r>
    </w:p>
    <w:p>
      <w:pPr>
        <w:ind w:left="288" w:hanging="216"/>
      </w:pPr>
      <w:r>
        <w:rPr>
          <w:sz w:val="21"/>
        </w:rPr>
        <w:t>- Build around one stable API and one detector contract before adding more model diversity.</w:t>
      </w:r>
    </w:p>
    <w:p>
      <w:pPr>
        <w:ind w:left="288" w:hanging="216"/>
      </w:pPr>
      <w:r>
        <w:rPr>
          <w:sz w:val="21"/>
        </w:rPr>
        <w:t>- Prioritize security gating, health-aware orchestration, and observability ahead of advanced UI polish.</w:t>
      </w:r>
    </w:p>
    <w:p>
      <w:pPr>
        <w:ind w:left="288" w:hanging="216"/>
      </w:pPr>
      <w:r>
        <w:rPr>
          <w:sz w:val="21"/>
        </w:rPr>
        <w:t>- Keep offline-capable deployment as a non-negotiable requirement because it meaningfully differentiates the platform.</w:t>
      </w:r>
    </w:p>
    <w:p>
      <w:pPr>
        <w:ind w:left="288" w:hanging="216"/>
      </w:pPr>
      <w:r>
        <w:rPr>
          <w:sz w:val="21"/>
        </w:rPr>
        <w:t>- Treat roadmap technologies as optional until they are backed by measured performance benefit, operating constraints, and ownership.</w:t>
      </w:r>
    </w:p>
    <w:p>
      <w:pPr>
        <w:pStyle w:val="Heading1"/>
      </w:pPr>
      <w:r>
        <w:t>11. Conclusion</w:t>
      </w:r>
    </w:p>
    <w:p>
      <w:r>
        <w:t>AmsR DeepShield has the foundation of a serious multi-modal detection platform. The next step is not a dramatic rewrite; it is disciplined platformization. By formalizing runtime modes, security layers, orchestration rules, and observability standards, the project can move from an impressive prototype into a production-ready forensic system.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A7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54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5A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C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