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0"/>
          <w:szCs w:val="30"/>
        </w:rPr>
        <w:t xml:space="preserve">Clinical Decision-Making &amp; Pattern Recognition in Health Care</w:t>
      </w:r>
    </w:p>
    <w:p>
      <w:pPr>
        <w:spacing w:after="160"/>
      </w:pPr>
      <w:r>
        <w:rPr>
          <w:i/>
          <w:iCs/>
          <w:color w:val="555555"/>
          <w:sz w:val="22"/>
          <w:szCs w:val="22"/>
        </w:rPr>
        <w:t xml:space="preserve">Agentic Generative AI and Anomaly Detection for Treatment, Payment &amp; Operations (TPO)</w:t>
      </w:r>
    </w:p>
    <w:p>
      <w:pPr>
        <w:spacing w:after="20"/>
      </w:pPr>
      <w:r>
        <w:rPr>
          <w:b/>
          <w:bCs/>
        </w:rPr>
        <w:t xml:space="preserve">Aryan Amit Nagwekar</w:t>
      </w:r>
    </w:p>
    <w:p>
      <w:pPr>
        <w:spacing w:after="20"/>
      </w:pPr>
      <w:r>
        <w:rPr>
          <w:color w:val="555555"/>
          <w:sz w:val="20"/>
          <w:szCs w:val="20"/>
        </w:rPr>
        <w:t xml:space="preserve">M.S. Electrical &amp; Computer Engineering, Rutgers University</w:t>
      </w:r>
    </w:p>
    <w:p>
      <w:pPr>
        <w:pBdr>
          <w:bottom w:val="single" w:color="CCCCCC" w:sz="6" w:space="2"/>
        </w:pBdr>
        <w:spacing w:after="160"/>
      </w:pPr>
      <w:r>
        <w:rPr>
          <w:color w:val="555555"/>
          <w:sz w:val="20"/>
          <w:szCs w:val="20"/>
        </w:rPr>
        <w:t xml:space="preserve">Cotiviti Intern Performance Demonstration</w:t>
      </w:r>
    </w:p>
    <w:p>
      <w:pPr>
        <w:pBdr>
          <w:bottom w:val="single" w:color="1F4E79" w:sz="6" w:space="2"/>
        </w:pBdr>
        <w:spacing w:after="100" w:before="200"/>
      </w:pPr>
      <w:r>
        <w:rPr>
          <w:rFonts w:ascii="Arial" w:cs="Arial" w:eastAsia="Arial" w:hAnsi="Arial"/>
          <w:b/>
          <w:bCs/>
          <w:color w:val="1F4E79"/>
          <w:sz w:val="26"/>
          <w:szCs w:val="26"/>
        </w:rPr>
        <w:t xml:space="preserve">Defining the Concept</w:t>
      </w:r>
    </w:p>
    <w:p>
      <w:pPr>
        <w:spacing w:after="120" w:line="276"/>
        <w:jc w:val="both"/>
      </w:pPr>
      <w:r>
        <w:t xml:space="preserve">Payment integrity is the discipline of ensuring that healthcare claims are paid accurately—free of billing errors, overpayments, and fraud, waste, and abuse (FWA)—across the full claim lifecycle. Within Treatment, Payment, and Operations (TPO), clinical decision-making and pattern recognition is the analytic engine that determines whether a claim is appropriate, what risk it carries, and what action a payer should take before or after payment.</w:t>
      </w:r>
    </w:p>
    <w:p>
      <w:pPr>
        <w:spacing w:after="120" w:line="276"/>
        <w:jc w:val="both"/>
      </w:pPr>
      <w:r>
        <w:t xml:space="preserve">Pattern recognition for payment integrity spans classification (is this claim anomalous?), prediction and inference (what is the likely cause and risk?), clustering (which providers behave alike?), and time-series anomaly detection (is a provider's billing diverging from its peers or its own history?). The newest layer is </w:t>
      </w:r>
      <w:r>
        <w:rPr>
          <w:b/>
          <w:bCs/>
        </w:rPr>
        <w:t xml:space="preserve">agentic generative AI</w:t>
      </w:r>
      <w:r>
        <w:t xml:space="preserve">: large language model–driven agents that chain reasoning across heterogeneous evidence—claim lines, procedure and diagnosis codes, payment policy, provider contracts, and historical behavior—to produce an explainable, actionable determination rather than an opaque score. This shifts decision-making from a single statistical signal toward a transparent, multi-step rationale a human reviewer can audit and defend.</w:t>
      </w:r>
    </w:p>
    <w:p>
      <w:pPr>
        <w:pBdr>
          <w:bottom w:val="single" w:color="1F4E79" w:sz="6" w:space="2"/>
        </w:pBdr>
        <w:spacing w:after="100" w:before="200"/>
      </w:pPr>
      <w:r>
        <w:rPr>
          <w:rFonts w:ascii="Arial" w:cs="Arial" w:eastAsia="Arial" w:hAnsi="Arial"/>
          <w:b/>
          <w:bCs/>
          <w:color w:val="1F4E79"/>
          <w:sz w:val="26"/>
          <w:szCs w:val="26"/>
        </w:rPr>
        <w:t xml:space="preserve">Relevant Trends</w:t>
      </w:r>
    </w:p>
    <w:p>
      <w:pPr>
        <w:spacing w:after="120" w:line="276"/>
        <w:jc w:val="both"/>
      </w:pPr>
      <w:r>
        <w:t xml:space="preserve">The industry is moving from a reactive “pay-and-chase” model toward proactive, pre-payment prevention, using machine learning, generative AI, and autonomous agents to screen claims before reimbursement (Masood, 2025). This shift carries strong regulatory tailwinds: CMS and HHS are scaling AI to move from post-payment audits to pre-payment screening of millions of claims, against a backdrop of roughly $14.9 billion in FWA recoveries reported in 2023 and tens of billions in annual Medicaid improper payments (ICF, 2026; Roic News, 2026).</w:t>
      </w:r>
    </w:p>
    <w:p>
      <w:pPr>
        <w:spacing w:after="120" w:line="276"/>
        <w:jc w:val="both"/>
      </w:pPr>
      <w:r>
        <w:t xml:space="preserve">Two design themes now dominate. First, </w:t>
      </w:r>
      <w:r>
        <w:rPr>
          <w:b/>
          <w:bCs/>
        </w:rPr>
        <w:t xml:space="preserve">agentic coordination</w:t>
      </w:r>
      <w:r>
        <w:t xml:space="preserve">: payment-integrity teams lose time to silos—claims processing, policy, provider networking, special investigations, and prior authorization—and emerging agents act as connective tissue, reasoning over policy and contract context that humans currently surface only in cadence meetings (DiNovi, 2025). Second, </w:t>
      </w:r>
      <w:r>
        <w:rPr>
          <w:b/>
          <w:bCs/>
        </w:rPr>
        <w:t xml:space="preserve">explainability and governance as a requirement, not a feature</w:t>
      </w:r>
      <w:r>
        <w:t xml:space="preserve">: investigators must understand why a claim was flagged, and traceable, defensible rationale is increasingly expected to align with federal AI governance norms, with human-in-the-loop review now standard practice (ICF, 2026; Elevance Health, 2026).</w:t>
      </w:r>
    </w:p>
    <w:p>
      <w:pPr>
        <w:pBdr>
          <w:bottom w:val="single" w:color="1F4E79" w:sz="6" w:space="2"/>
        </w:pBdr>
        <w:spacing w:after="100" w:before="200"/>
      </w:pPr>
      <w:r>
        <w:rPr>
          <w:rFonts w:ascii="Arial" w:cs="Arial" w:eastAsia="Arial" w:hAnsi="Arial"/>
          <w:b/>
          <w:bCs/>
          <w:color w:val="1F4E79"/>
          <w:sz w:val="26"/>
          <w:szCs w:val="26"/>
        </w:rPr>
        <w:t xml:space="preserve">Opportunities &amp; Threats</w:t>
      </w:r>
    </w:p>
    <w:p>
      <w:pPr>
        <w:spacing w:after="120" w:line="276"/>
        <w:jc w:val="both"/>
      </w:pPr>
      <w:r>
        <w:rPr>
          <w:b/>
          <w:bCs/>
        </w:rPr>
        <w:t xml:space="preserve">Opportunities. </w:t>
      </w:r>
      <w:r>
        <w:t xml:space="preserve">Agentic anomaly detection can expand investigator throughput—prioritizing the most egregious cases without adding headcount—and prevent improper payments before money leaves the system, reducing both clawback costs and the provider abrasion that clawbacks create. An agent that fuses claim, policy, contract, and provider-history context can resolve in seconds what now requires cross-team meetings, and explainable risk scores with traceable rationale strengthen analyst review, appeals, and audit defensibility.</w:t>
      </w:r>
    </w:p>
    <w:p>
      <w:pPr>
        <w:spacing w:after="120" w:line="276"/>
        <w:jc w:val="both"/>
      </w:pPr>
      <w:r>
        <w:rPr>
          <w:b/>
          <w:bCs/>
        </w:rPr>
        <w:t xml:space="preserve">Threats. </w:t>
      </w:r>
      <w:r>
        <w:t xml:space="preserve">Statistical methods over-flag on sparse data, and unexplained denials damage payer–provider relationships. Regulators expect transparency, so black-box agents pose compliance and litigation risk. Bad actors are adopting the same generative and agentic tooling to scale sophisticated schemes, raising the detection bar. Finally, agent outputs are only as trustworthy as the underlying data integration and ongoing monitoring—governance must be built into the data and model lifecycle from the start, not added afterward (ICF, 2026).</w:t>
      </w:r>
    </w:p>
    <w:p>
      <w:pPr>
        <w:pBdr>
          <w:bottom w:val="single" w:color="1F4E79" w:sz="6" w:space="2"/>
        </w:pBdr>
        <w:spacing w:after="100" w:before="200"/>
      </w:pPr>
      <w:r>
        <w:rPr>
          <w:rFonts w:ascii="Arial" w:cs="Arial" w:eastAsia="Arial" w:hAnsi="Arial"/>
          <w:b/>
          <w:bCs/>
          <w:color w:val="1F4E79"/>
          <w:sz w:val="26"/>
          <w:szCs w:val="26"/>
        </w:rPr>
        <w:t xml:space="preserve">Strategic Recommendation for Cotiviti</w:t>
      </w:r>
    </w:p>
    <w:p>
      <w:pPr>
        <w:spacing w:after="120" w:line="276"/>
        <w:jc w:val="both"/>
      </w:pPr>
      <w:r>
        <w:rPr>
          <w:b/>
          <w:bCs/>
        </w:rPr>
        <w:t xml:space="preserve">Primary recommendation: invest in a governance and observability layer purpose-built for payment-integrity AI</w:t>
      </w:r>
      <w:r>
        <w:t xml:space="preserve">—an explainable, auditable, human-in-the-loop control plane that wraps Cotiviti’s agentic claim-review models. Cotiviti already leads in analytics and policy-driven edits; in the agentic era the durable differentiator is not raw detection (which is commoditizing) but </w:t>
      </w:r>
      <w:r>
        <w:rPr>
          <w:i/>
          <w:iCs/>
        </w:rPr>
        <w:t xml:space="preserve">trustworthy, defensible, auditable agentic decisions</w:t>
      </w:r>
      <w:r>
        <w:t xml:space="preserve"> that satisfy regulators, survive appeals, and limit provider abrasion. Concretely, every agent determination should carry a chain-of-reasoning, a policy citation, a confidence score, and a replayable audit trail, with human override—turning governance itself into a sellable capability (“governed agentic payment integrity”) as the 200-plus payers Cotiviti serves confront the same trust questions.</w:t>
      </w:r>
    </w:p>
    <w:p>
      <w:pPr>
        <w:spacing w:after="120" w:line="276"/>
        <w:jc w:val="both"/>
      </w:pPr>
      <w:r>
        <w:rPr>
          <w:b/>
          <w:bCs/>
        </w:rPr>
        <w:t xml:space="preserve">Two supporting actions: </w:t>
      </w:r>
      <w:r>
        <w:t xml:space="preserve">(1) pilot pre-payment agentic review on a narrow, high-yield edit set to prove ROI without broad abrasion risk; and (2) build a continuous feedback loop in which analyst overrides retrain the agents and tune anomaly thresholds, directly mitigating the false-positive threat while compounding the system’s accuracy over time.</w:t>
      </w:r>
    </w:p>
    <w:p>
      <w:pPr>
        <w:pBdr>
          <w:bottom w:val="single" w:color="1F4E79" w:sz="6" w:space="2"/>
        </w:pBdr>
        <w:spacing w:after="100" w:before="200"/>
      </w:pPr>
      <w:r>
        <w:rPr>
          <w:rFonts w:ascii="Arial" w:cs="Arial" w:eastAsia="Arial" w:hAnsi="Arial"/>
          <w:b/>
          <w:bCs/>
          <w:color w:val="1F4E79"/>
          <w:sz w:val="26"/>
          <w:szCs w:val="26"/>
        </w:rPr>
        <w:t xml:space="preserve">Proof of Concept: ClaimGuard</w:t>
      </w:r>
    </w:p>
    <w:p>
      <w:pPr>
        <w:spacing w:after="120" w:line="276"/>
        <w:jc w:val="both"/>
      </w:pPr>
      <w:r>
        <w:t xml:space="preserve">To demonstrate the concept, I built </w:t>
      </w:r>
      <w:r>
        <w:rPr>
          <w:b/>
          <w:bCs/>
        </w:rPr>
        <w:t xml:space="preserve">ClaimGuard</w:t>
      </w:r>
      <w:r>
        <w:t xml:space="preserve">, a working agentic claims-review prototype. It ingests synthetic claims, applies a deterministic policy-rule engine (NCCI/MUE-style edits) plus a statistical peer-outlier layer, then an LLM agent chain-reasons an explanation, a risk score (0–100), and a recommended action (PAY, PEND, DENY, or REVIEW) with a citation to the policy it tripped. Every decision emits a structured, replayable audit event, and a reviewer can approve or override each flag—instantiating the explainable, governed, human-in-the-loop pattern this report recommends Cotiviti pursue.</w:t>
      </w:r>
    </w:p>
    <w:p>
      <w:r>
        <w:br w:type="page"/>
      </w:r>
    </w:p>
    <w:p>
      <w:pPr>
        <w:spacing w:after="160"/>
        <w:jc w:val="center"/>
      </w:pPr>
      <w:r>
        <w:rPr>
          <w:b/>
          <w:bCs/>
          <w:sz w:val="26"/>
          <w:szCs w:val="26"/>
        </w:rPr>
        <w:t xml:space="preserve">References</w:t>
      </w:r>
    </w:p>
    <w:p>
      <w:pPr>
        <w:spacing w:after="120" w:line="276"/>
        <w:ind w:left="720" w:hanging="720"/>
      </w:pPr>
      <w:r>
        <w:t xml:space="preserve">Cotiviti. (n.d.). </w:t>
      </w:r>
      <w:r>
        <w:rPr>
          <w:i/>
          <w:iCs/>
        </w:rPr>
        <w:t xml:space="preserve">About us.</w:t>
      </w:r>
      <w:r>
        <w:t xml:space="preserve"> </w:t>
      </w:r>
      <w:hyperlink w:history="1" r:id="rId8o7mwxuqhougmb9fqwt-t">
        <w:r>
          <w:rPr>
            <w:color w:val="0563C1"/>
            <w:u w:val="single"/>
          </w:rPr>
          <w:t xml:space="preserve">https://www.cotiviti.com/about</w:t>
        </w:r>
      </w:hyperlink>
    </w:p>
    <w:p>
      <w:pPr>
        <w:spacing w:after="120" w:line="276"/>
        <w:ind w:left="720" w:hanging="720"/>
      </w:pPr>
      <w:r>
        <w:t xml:space="preserve">DiNovi, J. (2025, November 17). </w:t>
      </w:r>
      <w:r>
        <w:rPr>
          <w:i/>
          <w:iCs/>
        </w:rPr>
        <w:t xml:space="preserve">Agentic AI is the fix for communication breakdowns in health care payment integrity.</w:t>
      </w:r>
      <w:r>
        <w:t xml:space="preserve"> SAS Voices. </w:t>
      </w:r>
      <w:hyperlink w:history="1" r:id="rIdtlbqyfuofutve2rgfvere">
        <w:r>
          <w:rPr>
            <w:color w:val="0563C1"/>
            <w:u w:val="single"/>
          </w:rPr>
          <w:t xml:space="preserve">https://blogs.sas.com/content/sascom/2025/11/17/agentic-ai-health-care-payment-integrity/</w:t>
        </w:r>
      </w:hyperlink>
    </w:p>
    <w:p>
      <w:pPr>
        <w:spacing w:after="120" w:line="276"/>
        <w:ind w:left="720" w:hanging="720"/>
      </w:pPr>
      <w:r>
        <w:t xml:space="preserve">Elevance Health. (2026, April 13). </w:t>
      </w:r>
      <w:r>
        <w:rPr>
          <w:i/>
          <w:iCs/>
        </w:rPr>
        <w:t xml:space="preserve">How AI helps fight fraud, waste, and abuse.</w:t>
      </w:r>
      <w:r>
        <w:t xml:space="preserve"> </w:t>
      </w:r>
      <w:hyperlink w:history="1" r:id="rIdcnhtqhti8gnc2ibuzzeo4">
        <w:r>
          <w:rPr>
            <w:color w:val="0563C1"/>
            <w:u w:val="single"/>
          </w:rPr>
          <w:t xml:space="preserve">https://www.elevancehealth.com/our-approach-to-health/digitally-enabled-healthcare/how-ai-helps-fight-fraud-waste-and-abuse</w:t>
        </w:r>
      </w:hyperlink>
    </w:p>
    <w:p>
      <w:pPr>
        <w:spacing w:after="120" w:line="276"/>
        <w:ind w:left="720" w:hanging="720"/>
      </w:pPr>
      <w:r>
        <w:t xml:space="preserve">ICF. (2026, February 10). </w:t>
      </w:r>
      <w:r>
        <w:rPr>
          <w:i/>
          <w:iCs/>
        </w:rPr>
        <w:t xml:space="preserve">Combatting healthcare fraud, waste, and abuse with AI.</w:t>
      </w:r>
      <w:r>
        <w:t xml:space="preserve"> </w:t>
      </w:r>
      <w:hyperlink w:history="1" r:id="rIdnp65qxgzsw9siim-8rkbs">
        <w:r>
          <w:rPr>
            <w:color w:val="0563C1"/>
            <w:u w:val="single"/>
          </w:rPr>
          <w:t xml:space="preserve">https://www.icf.com/insights/health/healthcare-fraud-waste-abuse-ai</w:t>
        </w:r>
      </w:hyperlink>
    </w:p>
    <w:p>
      <w:pPr>
        <w:spacing w:after="120" w:line="276"/>
        <w:ind w:left="720" w:hanging="720"/>
      </w:pPr>
      <w:r>
        <w:t xml:space="preserve">Masood, A. (2025, September 17). </w:t>
      </w:r>
      <w:r>
        <w:rPr>
          <w:i/>
          <w:iCs/>
        </w:rPr>
        <w:t xml:space="preserve">The healthcare payer’s algorithm — VI: AI-powered fraud, waste, and abuse (FWA) detection.</w:t>
      </w:r>
      <w:r>
        <w:t xml:space="preserve"> Medium. </w:t>
      </w:r>
      <w:hyperlink w:history="1" r:id="rIde6cqwv3c6iffqjox-g34p">
        <w:r>
          <w:rPr>
            <w:color w:val="0563C1"/>
            <w:u w:val="single"/>
          </w:rPr>
          <w:t xml:space="preserve">https://medium.com/@adnanmasood/</w:t>
        </w:r>
      </w:hyperlink>
    </w:p>
    <w:p>
      <w:pPr>
        <w:spacing w:after="120" w:line="276"/>
        <w:ind w:left="720" w:hanging="720"/>
      </w:pPr>
      <w:r>
        <w:t xml:space="preserve">Roic News. (2026, May 21). </w:t>
      </w:r>
      <w:r>
        <w:rPr>
          <w:i/>
          <w:iCs/>
        </w:rPr>
        <w:t xml:space="preserve">HHS expands AI sweep to curb Medicaid fraud and waste.</w:t>
      </w:r>
      <w:r>
        <w:t xml:space="preserve"> </w:t>
      </w:r>
      <w:hyperlink w:history="1" r:id="rId5vmsyvimpmhovglk9nh34">
        <w:r>
          <w:rPr>
            <w:color w:val="0563C1"/>
            <w:u w:val="single"/>
          </w:rPr>
          <w:t xml:space="preserve">https://www.roic.ai/news/hhs-expands-ai-sweep-to-curb-medicaid-fraud-and-waste-05-21-2026</w:t>
        </w:r>
      </w:hyperlink>
    </w:p>
    <w:p>
      <w:pPr>
        <w:spacing w:after="120" w:line="276"/>
        <w:ind w:left="720" w:hanging="720"/>
      </w:pPr>
      <w:r>
        <w:t xml:space="preserve">Solender, M. (2026, March 12). </w:t>
      </w:r>
      <w:r>
        <w:rPr>
          <w:i/>
          <w:iCs/>
        </w:rPr>
        <w:t xml:space="preserve">CMS’s two-pronged approach to crushing fraud, waste, abuse.</w:t>
      </w:r>
      <w:r>
        <w:t xml:space="preserve"> Federal News Network. </w:t>
      </w:r>
      <w:hyperlink w:history="1" r:id="rIdt8kqiamlvl1epb397wet1">
        <w:r>
          <w:rPr>
            <w:color w:val="0563C1"/>
            <w:u w:val="single"/>
          </w:rPr>
          <w:t xml:space="preserve">https://federalnewsnetwork.com/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o7mwxuqhougmb9fqwt-t" Type="http://schemas.openxmlformats.org/officeDocument/2006/relationships/hyperlink" Target="https://www.cotiviti.com/about" TargetMode="External"/><Relationship Id="rIdtlbqyfuofutve2rgfvere" Type="http://schemas.openxmlformats.org/officeDocument/2006/relationships/hyperlink" Target="https://blogs.sas.com/content/sascom/2025/11/17/agentic-ai-health-care-payment-integrity/" TargetMode="External"/><Relationship Id="rIdcnhtqhti8gnc2ibuzzeo4" Type="http://schemas.openxmlformats.org/officeDocument/2006/relationships/hyperlink" Target="https://www.elevancehealth.com/our-approach-to-health/digitally-enabled-healthcare/how-ai-helps-fight-fraud-waste-and-abuse" TargetMode="External"/><Relationship Id="rIdnp65qxgzsw9siim-8rkbs" Type="http://schemas.openxmlformats.org/officeDocument/2006/relationships/hyperlink" Target="https://www.icf.com/insights/health/healthcare-fraud-waste-abuse-ai" TargetMode="External"/><Relationship Id="rIde6cqwv3c6iffqjox-g34p" Type="http://schemas.openxmlformats.org/officeDocument/2006/relationships/hyperlink" Target="https://medium.com/@adnanmasood/the-healthcare-payers-algorithm-vi-ai-powered-fraud-waste-and-abuse-fwa-detection-208c64622c22" TargetMode="External"/><Relationship Id="rId5vmsyvimpmhovglk9nh34" Type="http://schemas.openxmlformats.org/officeDocument/2006/relationships/hyperlink" Target="https://www.roic.ai/news/hhs-expands-ai-sweep-to-curb-medicaid-fraud-and-waste-05-21-2026" TargetMode="External"/><Relationship Id="rIdt8kqiamlvl1epb397wet1" Type="http://schemas.openxmlformats.org/officeDocument/2006/relationships/hyperlink" Target="https://federalnewsnetwork.com/artificial-intelligence/2026/03/cmss-two-pronged-approach-to-crushing-fraud-waste-abus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2026-06-27T18:30:05.872Z</dcterms:created>
  <dcterms:modified xsi:type="dcterms:W3CDTF">2026-06-27T18:30:05.873Z</dcterms:modified>
</cp:coreProperties>
</file>

<file path=docProps/custom.xml><?xml version="1.0" encoding="utf-8"?>
<Properties xmlns="http://schemas.openxmlformats.org/officeDocument/2006/custom-properties" xmlns:vt="http://schemas.openxmlformats.org/officeDocument/2006/docPropsVTypes"/>
</file>