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4AC" w:rsidRPr="008E04AC" w:rsidRDefault="008E04AC" w:rsidP="008E04A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Here is the complete, end-to-end SDLC report. It synthesizes the advanced mathematical framework, the regulatory alignment, the SDTM data strategy, and the biostatistical validation into a single, cohesive document.</w:t>
      </w:r>
    </w:p>
    <w:p w:rsidR="008E04AC" w:rsidRPr="008E04AC" w:rsidRDefault="008E04AC" w:rsidP="008E04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This is exactly what you should host on your GitHub repository as the primary </w:t>
      </w:r>
      <w:r w:rsidRPr="008E04A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README.md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or submit as your final capstone documentation. It bridges the gap between a strong computer science foundation and deep clinical domain expertise.</w:t>
      </w:r>
    </w:p>
    <w:p w:rsidR="008E04AC" w:rsidRPr="008E04AC" w:rsidRDefault="008E04AC" w:rsidP="008E04A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5" style="width:0;height:1.5pt" o:hralign="center" o:hrstd="t" o:hrnoshade="t" o:hr="t" fillcolor="gray" stroked="f"/>
        </w:pict>
      </w:r>
    </w:p>
    <w:p w:rsidR="008E04AC" w:rsidRPr="008E04AC" w:rsidRDefault="008E04AC" w:rsidP="008E04AC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</w:rPr>
      </w:pPr>
      <w:r w:rsidRPr="008E04AC"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en-IN"/>
        </w:rPr>
        <w:t>📘</w:t>
      </w:r>
      <w:r w:rsidRPr="008E04A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</w:rPr>
        <w:t xml:space="preserve"> SOFTWARE DEVELOPMENT LIFE CYCLE (SDLC) REPORT</w:t>
      </w:r>
    </w:p>
    <w:p w:rsidR="008E04AC" w:rsidRPr="008E04AC" w:rsidRDefault="008E04AC" w:rsidP="008E04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Project Title: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Temporal Clinical Risk Intelligence Engine (TCRIE)</w:t>
      </w:r>
    </w:p>
    <w:p w:rsidR="008E04AC" w:rsidRPr="008E04AC" w:rsidRDefault="008E04AC" w:rsidP="008E04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Author: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Manu Mangalarapu</w:t>
      </w:r>
    </w:p>
    <w:p w:rsidR="008E04AC" w:rsidRPr="008E04AC" w:rsidRDefault="008E04AC" w:rsidP="008E04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Academic Context: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B.Tech AI &amp; Data Science (Class of 2026), VNR Vignanajyothi Institute of Engineering and Technology</w:t>
      </w:r>
    </w:p>
    <w:p w:rsidR="008E04AC" w:rsidRPr="008E04AC" w:rsidRDefault="008E04AC" w:rsidP="008E04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Domain Focus: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Predictive Risk-Based Quality Management (RBQM) &amp; Clinical Data Innovation</w:t>
      </w:r>
    </w:p>
    <w:p w:rsidR="008E04AC" w:rsidRPr="008E04AC" w:rsidRDefault="008E04AC" w:rsidP="008E04A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6" style="width:0;height:1.5pt" o:hralign="center" o:hrstd="t" o:hrnoshade="t" o:hr="t" fillcolor="gray" stroked="f"/>
        </w:pict>
      </w:r>
    </w:p>
    <w:p w:rsidR="008E04AC" w:rsidRPr="008E04AC" w:rsidRDefault="008E04AC" w:rsidP="008E04A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1️</w:t>
      </w:r>
      <w:r w:rsidRPr="008E04AC">
        <w:rPr>
          <w:rFonts w:ascii="Tahoma" w:eastAsia="Times New Roman" w:hAnsi="Tahoma" w:cs="Tahoma"/>
          <w:b/>
          <w:bCs/>
          <w:color w:val="1F1F1F"/>
          <w:sz w:val="36"/>
          <w:szCs w:val="36"/>
          <w:lang w:eastAsia="en-IN"/>
        </w:rPr>
        <w:t>⃣</w:t>
      </w:r>
      <w:r w:rsidRPr="008E04A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 xml:space="preserve"> SDLC PHASE 1 – PROJECT OVERVIEW &amp; REQUIREMENT ANALYSIS</w:t>
      </w:r>
    </w:p>
    <w:p w:rsidR="008E04AC" w:rsidRPr="008E04AC" w:rsidRDefault="008E04AC" w:rsidP="008E04A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1.1 Executive Background</w:t>
      </w:r>
    </w:p>
    <w:p w:rsidR="008E04AC" w:rsidRPr="008E04AC" w:rsidRDefault="008E04AC" w:rsidP="008E04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In modern clinical trials, data quality issues and site-level misconduct are often detected retrospectively during statistical programming. The industry implementation of </w:t>
      </w: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ICH E6(R3)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mandates a shift toward proactive Risk-Based Quality Management (RBQM). Concurrently, the January 2026 FDA/EMA joint guidelines on AI in drug development strictly require algorithmic traceability, demanding that AI tools in regulated settings be interpretable, robust, and free from "black-box" opacity.</w:t>
      </w:r>
    </w:p>
    <w:p w:rsidR="008E04AC" w:rsidRPr="008E04AC" w:rsidRDefault="008E04AC" w:rsidP="008E04A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1.2 Objective</w:t>
      </w:r>
    </w:p>
    <w:p w:rsidR="008E04AC" w:rsidRPr="008E04AC" w:rsidRDefault="008E04AC" w:rsidP="008E04AC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design and implement a modular, regulatory-compliant intelligence system that:</w:t>
      </w:r>
    </w:p>
    <w:p w:rsidR="008E04AC" w:rsidRPr="008E04AC" w:rsidRDefault="008E04AC" w:rsidP="008E04AC">
      <w:pPr>
        <w:numPr>
          <w:ilvl w:val="0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Ingests and standardizes multi-source CDISC clinical trial data (SDTM-inspired format).</w:t>
      </w:r>
    </w:p>
    <w:p w:rsidR="008E04AC" w:rsidRPr="008E04AC" w:rsidRDefault="008E04AC" w:rsidP="008E04AC">
      <w:pPr>
        <w:numPr>
          <w:ilvl w:val="0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Detects early signs of systemic site-level risks using a hybrid mathematical engine (Deterministic Rules + Statistical Drift Detection).</w:t>
      </w:r>
    </w:p>
    <w:p w:rsidR="008E04AC" w:rsidRPr="008E04AC" w:rsidRDefault="008E04AC" w:rsidP="008E04AC">
      <w:pPr>
        <w:numPr>
          <w:ilvl w:val="0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Operates under strict interpretability constraints, avoiding unexplainable deep learning models in favor of rigorous statistical mathematics.</w:t>
      </w:r>
    </w:p>
    <w:p w:rsidR="008E04AC" w:rsidRPr="008E04AC" w:rsidRDefault="008E04AC" w:rsidP="008E04AC">
      <w:pPr>
        <w:numPr>
          <w:ilvl w:val="0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Provides full audit traceability for every generated risk score to support clinical triage.</w:t>
      </w:r>
    </w:p>
    <w:p w:rsidR="008E04AC" w:rsidRPr="008E04AC" w:rsidRDefault="008E04AC" w:rsidP="008E04A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lastRenderedPageBreak/>
        <w:t>1.3 Requirements</w:t>
      </w:r>
    </w:p>
    <w:p w:rsidR="008E04AC" w:rsidRPr="008E04AC" w:rsidRDefault="008E04AC" w:rsidP="008E04AC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Functional: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* System must ingest </w:t>
      </w:r>
      <w:r w:rsidRPr="008E04A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.xpt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(SAS Transport) files representing DM, AE, and LB clinical domains.</w:t>
      </w:r>
    </w:p>
    <w:p w:rsidR="008E04AC" w:rsidRPr="008E04AC" w:rsidRDefault="008E04AC" w:rsidP="008E04AC">
      <w:pPr>
        <w:numPr>
          <w:ilvl w:val="1"/>
          <w:numId w:val="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System must calculate behavioral shifts in site reporting over time.</w:t>
      </w:r>
    </w:p>
    <w:p w:rsidR="008E04AC" w:rsidRPr="008E04AC" w:rsidRDefault="008E04AC" w:rsidP="008E04AC">
      <w:pPr>
        <w:numPr>
          <w:ilvl w:val="1"/>
          <w:numId w:val="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System must detect cross-domain correlations (e.g., rising enrollment coupled with plummeting lab variance).</w:t>
      </w:r>
    </w:p>
    <w:p w:rsidR="008E04AC" w:rsidRPr="008E04AC" w:rsidRDefault="008E04AC" w:rsidP="008E04AC">
      <w:pPr>
        <w:numPr>
          <w:ilvl w:val="1"/>
          <w:numId w:val="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System must fuse statistical anomalies and deterministic rule violations into a single, explainable 0-100 Site Risk Score via REST API.</w:t>
      </w:r>
    </w:p>
    <w:p w:rsidR="008E04AC" w:rsidRPr="008E04AC" w:rsidRDefault="008E04AC" w:rsidP="008E04AC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Non-Functional: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Ensure modularity, idempotency in data ingestion, configuration-driven logic, and millisecond-latency API responses via FastAPI.</w:t>
      </w:r>
    </w:p>
    <w:p w:rsidR="008E04AC" w:rsidRPr="008E04AC" w:rsidRDefault="008E04AC" w:rsidP="008E04AC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Constraints: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Must use open-source frameworks, maintain strict PHI data privacy (using anonymized datasets), and ensure execution reproducibility across environments.</w:t>
      </w:r>
    </w:p>
    <w:p w:rsidR="008E04AC" w:rsidRPr="008E04AC" w:rsidRDefault="008E04AC" w:rsidP="008E04A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7" style="width:0;height:1.5pt" o:hralign="center" o:hrstd="t" o:hrnoshade="t" o:hr="t" fillcolor="gray" stroked="f"/>
        </w:pict>
      </w:r>
    </w:p>
    <w:p w:rsidR="008E04AC" w:rsidRPr="008E04AC" w:rsidRDefault="008E04AC" w:rsidP="008E04A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2️</w:t>
      </w:r>
      <w:r w:rsidRPr="008E04AC">
        <w:rPr>
          <w:rFonts w:ascii="Tahoma" w:eastAsia="Times New Roman" w:hAnsi="Tahoma" w:cs="Tahoma"/>
          <w:b/>
          <w:bCs/>
          <w:color w:val="1F1F1F"/>
          <w:sz w:val="36"/>
          <w:szCs w:val="36"/>
          <w:lang w:eastAsia="en-IN"/>
        </w:rPr>
        <w:t>⃣</w:t>
      </w:r>
      <w:r w:rsidRPr="008E04A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 xml:space="preserve"> SDLC PHASE 2 – SYSTEM &amp; DATA ARCHITECTURE</w:t>
      </w:r>
    </w:p>
    <w:p w:rsidR="008E04AC" w:rsidRPr="008E04AC" w:rsidRDefault="008E04AC" w:rsidP="008E04A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2.1 Data Sourcing &amp; SDTM Compliance</w:t>
      </w:r>
      <w:bookmarkStart w:id="0" w:name="_GoBack"/>
      <w:bookmarkEnd w:id="0"/>
    </w:p>
    <w:p w:rsidR="008E04AC" w:rsidRPr="008E04AC" w:rsidRDefault="008E04AC" w:rsidP="008E04AC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ensure alignment with FDA submission standards, the system bypasses generic synthetic datasets.</w:t>
      </w:r>
    </w:p>
    <w:p w:rsidR="008E04AC" w:rsidRPr="008E04AC" w:rsidRDefault="008E04AC" w:rsidP="008E04AC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Primary Data Source: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open-source </w:t>
      </w: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CDISC Pilot Dataset (PhUSE repository)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8E04AC" w:rsidRPr="008E04AC" w:rsidRDefault="008E04AC" w:rsidP="008E04AC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Ingestion Format: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SAS Transport Files (</w:t>
      </w:r>
      <w:r w:rsidRPr="008E04A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.xpt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), mirroring real-world pharmaceutical Electronic Data Capture (EDC) exports.</w:t>
      </w:r>
    </w:p>
    <w:p w:rsidR="008E04AC" w:rsidRPr="008E04AC" w:rsidRDefault="008E04AC" w:rsidP="008E04AC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Target Domains: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pipeline maps three core clinical domains into a relational PostgreSQL matrix: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1889"/>
        <w:gridCol w:w="5872"/>
      </w:tblGrid>
      <w:tr w:rsidR="008E04AC" w:rsidRPr="008E04AC" w:rsidTr="008E04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04AC" w:rsidRPr="008E04AC" w:rsidRDefault="008E04AC" w:rsidP="008E04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E04A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04AC" w:rsidRPr="008E04AC" w:rsidRDefault="008E04AC" w:rsidP="008E04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E04A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04AC" w:rsidRPr="008E04AC" w:rsidRDefault="008E04AC" w:rsidP="008E04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E04A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Engine Utility</w:t>
            </w:r>
          </w:p>
        </w:tc>
      </w:tr>
      <w:tr w:rsidR="008E04AC" w:rsidRPr="008E04AC" w:rsidTr="008E04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04AC" w:rsidRPr="008E04AC" w:rsidRDefault="008E04AC" w:rsidP="008E04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E04A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04AC" w:rsidRPr="008E04AC" w:rsidRDefault="008E04AC" w:rsidP="008E04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E04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Demographics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04AC" w:rsidRPr="008E04AC" w:rsidRDefault="008E04AC" w:rsidP="008E04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E04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Tracks patient allocation and site enrollment velocity.</w:t>
            </w:r>
          </w:p>
        </w:tc>
      </w:tr>
      <w:tr w:rsidR="008E04AC" w:rsidRPr="008E04AC" w:rsidTr="008E04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04AC" w:rsidRPr="008E04AC" w:rsidRDefault="008E04AC" w:rsidP="008E04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E04A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04AC" w:rsidRPr="008E04AC" w:rsidRDefault="008E04AC" w:rsidP="008E04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E04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Adverse 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04AC" w:rsidRPr="008E04AC" w:rsidRDefault="008E04AC" w:rsidP="008E04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E04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Tracks safety signals and temporal reporting drift.</w:t>
            </w:r>
          </w:p>
        </w:tc>
      </w:tr>
      <w:tr w:rsidR="008E04AC" w:rsidRPr="008E04AC" w:rsidTr="008E04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04AC" w:rsidRPr="008E04AC" w:rsidRDefault="008E04AC" w:rsidP="008E04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E04A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04AC" w:rsidRPr="008E04AC" w:rsidRDefault="008E04AC" w:rsidP="008E04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E04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Lab 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04AC" w:rsidRPr="008E04AC" w:rsidRDefault="008E04AC" w:rsidP="008E04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E04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Tracks biomarker variance (e.g., ALT, AST) to detect anomalous data distributions.</w:t>
            </w:r>
          </w:p>
        </w:tc>
      </w:tr>
    </w:tbl>
    <w:p w:rsidR="008E04AC" w:rsidRPr="008E04AC" w:rsidRDefault="008E04AC" w:rsidP="008E04A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2.2 High-Level Architecture</w:t>
      </w:r>
    </w:p>
    <w:p w:rsidR="008E04AC" w:rsidRPr="008E04AC" w:rsidRDefault="008E04AC" w:rsidP="008E04AC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Ingestion Layer: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Python </w:t>
      </w:r>
      <w:r w:rsidRPr="008E04A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pandas.read_sas()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pipeline to parse legacy </w:t>
      </w:r>
      <w:r w:rsidRPr="008E04A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.xpt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files into structured DataFrames.</w:t>
      </w:r>
    </w:p>
    <w:p w:rsidR="008E04AC" w:rsidRPr="008E04AC" w:rsidRDefault="008E04AC" w:rsidP="008E04AC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Transformation Layer: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Aggregates subject-level SDTM data into a </w:t>
      </w: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Site-Level Feature Matrix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(e.g., computing </w:t>
      </w:r>
      <w:r w:rsidRPr="008E04A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AE_Reporting_Rate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</w:t>
      </w:r>
      <w:r w:rsidRPr="008E04A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Lab_Variance_Score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per </w:t>
      </w:r>
      <w:r w:rsidRPr="008E04A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SITEID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).</w:t>
      </w:r>
    </w:p>
    <w:p w:rsidR="008E04AC" w:rsidRPr="008E04AC" w:rsidRDefault="008E04AC" w:rsidP="008E04AC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Core Intelligence Engine: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Executes the mathematical models (CUSUM &amp; Mahalanobis) to calculate risk vectors.</w:t>
      </w:r>
    </w:p>
    <w:p w:rsidR="008E04AC" w:rsidRPr="008E04AC" w:rsidRDefault="008E04AC" w:rsidP="008E04AC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lastRenderedPageBreak/>
        <w:t>API &amp; UI Layer: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FastAPI backend serving an explainable JSON payload to a lightweight React/Plotly dashboard.</w:t>
      </w:r>
    </w:p>
    <w:p w:rsidR="008E04AC" w:rsidRPr="008E04AC" w:rsidRDefault="008E04AC" w:rsidP="008E04A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8" style="width:0;height:1.5pt" o:hralign="center" o:hrstd="t" o:hrnoshade="t" o:hr="t" fillcolor="gray" stroked="f"/>
        </w:pict>
      </w:r>
    </w:p>
    <w:p w:rsidR="008E04AC" w:rsidRPr="008E04AC" w:rsidRDefault="008E04AC" w:rsidP="008E04A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3️</w:t>
      </w:r>
      <w:r w:rsidRPr="008E04AC">
        <w:rPr>
          <w:rFonts w:ascii="Tahoma" w:eastAsia="Times New Roman" w:hAnsi="Tahoma" w:cs="Tahoma"/>
          <w:b/>
          <w:bCs/>
          <w:color w:val="1F1F1F"/>
          <w:sz w:val="36"/>
          <w:szCs w:val="36"/>
          <w:lang w:eastAsia="en-IN"/>
        </w:rPr>
        <w:t>⃣</w:t>
      </w:r>
      <w:r w:rsidRPr="008E04A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 xml:space="preserve"> SDLC PHASE 3 – THE MATHEMATICAL ENGINE DESIGN</w:t>
      </w:r>
    </w:p>
    <w:p w:rsidR="008E04AC" w:rsidRPr="008E04AC" w:rsidRDefault="008E04AC" w:rsidP="008E04A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The TCRIE avoids standard threshold checks, utilizing a three-tier hybrid mathematical architecture for superior interpretability.</w:t>
      </w:r>
    </w:p>
    <w:p w:rsidR="008E04AC" w:rsidRPr="008E04AC" w:rsidRDefault="008E04AC" w:rsidP="008E04A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3.1 Temporal Drift Detection (Tracking Behavioral Change)</w:t>
      </w:r>
    </w:p>
    <w:p w:rsidR="008E04AC" w:rsidRPr="008E04AC" w:rsidRDefault="008E04AC" w:rsidP="008E04A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Utilizes the Tabular CUSUM (Cumulative Sum) algorithm to detect subtle, persistent shifts in site behavior, such as a slow, continuous degradation in Adverse Event reporting.</w:t>
      </w:r>
    </w:p>
    <w:p w:rsidR="008E04AC" w:rsidRPr="008E04AC" w:rsidRDefault="008E04AC" w:rsidP="008E04A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$$S_t = \max(0, S_{t-1} + x_t - \mu_0 - k)$$</w:t>
      </w:r>
    </w:p>
    <w:p w:rsidR="008E04AC" w:rsidRPr="008E04AC" w:rsidRDefault="008E04AC" w:rsidP="008E04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Where $S_t$ is the cumulative drift score, $\mu_0$ is the baseline reporting mean, and $k$ is the allowable variance.</w:t>
      </w:r>
    </w:p>
    <w:p w:rsidR="008E04AC" w:rsidRPr="008E04AC" w:rsidRDefault="008E04AC" w:rsidP="008E04A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3.2 Cross-Domain Correlation (Multivariate Anomaly Detection)</w:t>
      </w:r>
    </w:p>
    <w:p w:rsidR="008E04AC" w:rsidRPr="008E04AC" w:rsidRDefault="008E04AC" w:rsidP="008E04A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Utilizes the Mahalanobis Distance to measure the multivariate distance of a site's feature vector from the overall trial's distribution, accounting for correlations between different clinical domains (e.g., detecting if a site's enrollment speed contradicts its query resolution time).</w:t>
      </w:r>
    </w:p>
    <w:p w:rsidR="008E04AC" w:rsidRPr="008E04AC" w:rsidRDefault="008E04AC" w:rsidP="008E04A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$$D_M(x) = \sqrt{(x - \mu)^T \Sigma^{-1} (x - \mu)}$$</w:t>
      </w:r>
    </w:p>
    <w:p w:rsidR="008E04AC" w:rsidRPr="008E04AC" w:rsidRDefault="008E04AC" w:rsidP="008E04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Where $x$ is the site's feature vector, $\mu$ is the trial's mean vector, and $\Sigma^{-1}$ is the inverse covariance matrix.</w:t>
      </w:r>
    </w:p>
    <w:p w:rsidR="008E04AC" w:rsidRPr="008E04AC" w:rsidRDefault="008E04AC" w:rsidP="008E04A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3.3 The Fused Risk Score</w:t>
      </w:r>
    </w:p>
    <w:p w:rsidR="008E04AC" w:rsidRPr="008E04AC" w:rsidRDefault="008E04AC" w:rsidP="008E04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 configurable aggregation of deterministic quality checks (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$Q_{score}$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 and the statistical anomaly scores, ensuring complete regulatory traceability.</w:t>
      </w:r>
    </w:p>
    <w:p w:rsidR="008E04AC" w:rsidRPr="008E04AC" w:rsidRDefault="008E04AC" w:rsidP="008E04A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$$R_{site} = w_1(Q_{score}) + w_2(f(S_t)) + w_3(g(D_M(x)))$$</w:t>
      </w:r>
    </w:p>
    <w:p w:rsidR="008E04AC" w:rsidRPr="008E04AC" w:rsidRDefault="008E04AC" w:rsidP="008E04A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9" style="width:0;height:1.5pt" o:hralign="center" o:hrstd="t" o:hrnoshade="t" o:hr="t" fillcolor="gray" stroked="f"/>
        </w:pict>
      </w:r>
    </w:p>
    <w:p w:rsidR="008E04AC" w:rsidRPr="008E04AC" w:rsidRDefault="008E04AC" w:rsidP="008E04A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4️</w:t>
      </w:r>
      <w:r w:rsidRPr="008E04AC">
        <w:rPr>
          <w:rFonts w:ascii="Tahoma" w:eastAsia="Times New Roman" w:hAnsi="Tahoma" w:cs="Tahoma"/>
          <w:b/>
          <w:bCs/>
          <w:color w:val="1F1F1F"/>
          <w:sz w:val="36"/>
          <w:szCs w:val="36"/>
          <w:lang w:eastAsia="en-IN"/>
        </w:rPr>
        <w:t>⃣</w:t>
      </w:r>
      <w:r w:rsidRPr="008E04A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 xml:space="preserve"> SDLC PHASE 4 – IMPLEMENTATION</w:t>
      </w:r>
    </w:p>
    <w:p w:rsidR="008E04AC" w:rsidRPr="008E04AC" w:rsidRDefault="008E04AC" w:rsidP="008E04A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4.1 Configuration-Driven Execution</w:t>
      </w:r>
    </w:p>
    <w:p w:rsidR="008E04AC" w:rsidRPr="008E04AC" w:rsidRDefault="008E04AC" w:rsidP="008E04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To ensure the system adapts to different trial protocols without altering the core codebase, all algorithmic thresholds (e.g., acceptable variance 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$k$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feature weights 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$w$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 are extracted into version-controlled JSON/YAML configuration files.</w:t>
      </w:r>
    </w:p>
    <w:p w:rsidR="008E04AC" w:rsidRPr="008E04AC" w:rsidRDefault="008E04AC" w:rsidP="008E04A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4.2 Modular Codebase Structure</w:t>
      </w:r>
    </w:p>
    <w:p w:rsidR="008E04AC" w:rsidRPr="008E04AC" w:rsidRDefault="008E04AC" w:rsidP="008E04A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lastRenderedPageBreak/>
        <w:t>Plaintext</w:t>
      </w:r>
    </w:p>
    <w:p w:rsidR="008E04AC" w:rsidRPr="008E04AC" w:rsidRDefault="008E04AC" w:rsidP="008E0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8E04A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tcrie-core/</w:t>
      </w:r>
    </w:p>
    <w:p w:rsidR="008E04AC" w:rsidRPr="008E04AC" w:rsidRDefault="008E04AC" w:rsidP="008E0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8E04A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│</w:t>
      </w:r>
    </w:p>
    <w:p w:rsidR="008E04AC" w:rsidRPr="008E04AC" w:rsidRDefault="008E04AC" w:rsidP="008E0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8E04A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├── app/</w:t>
      </w:r>
    </w:p>
    <w:p w:rsidR="008E04AC" w:rsidRPr="008E04AC" w:rsidRDefault="008E04AC" w:rsidP="008E0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8E04A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│   ├── ingestion/         (SAS .xpt parsers, initial load)</w:t>
      </w:r>
    </w:p>
    <w:p w:rsidR="008E04AC" w:rsidRPr="008E04AC" w:rsidRDefault="008E04AC" w:rsidP="008E0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8E04A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│   ├── transformer/       (SDTM domain mapping, Site-Level Matrix generation)</w:t>
      </w:r>
    </w:p>
    <w:p w:rsidR="008E04AC" w:rsidRPr="008E04AC" w:rsidRDefault="008E04AC" w:rsidP="008E0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8E04A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│   ├── intelligence/      (cusum.py, mahalanobis.py, aggregator.py)</w:t>
      </w:r>
    </w:p>
    <w:p w:rsidR="008E04AC" w:rsidRPr="008E04AC" w:rsidRDefault="008E04AC" w:rsidP="008E0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8E04A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│   ├── models/            (Pydantic schemas for API validation)</w:t>
      </w:r>
    </w:p>
    <w:p w:rsidR="008E04AC" w:rsidRPr="008E04AC" w:rsidRDefault="008E04AC" w:rsidP="008E0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8E04A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│</w:t>
      </w:r>
    </w:p>
    <w:p w:rsidR="008E04AC" w:rsidRPr="008E04AC" w:rsidRDefault="008E04AC" w:rsidP="008E0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8E04A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├── api/                   (FastAPI routes: /upload, /risk-report/{study_id})</w:t>
      </w:r>
    </w:p>
    <w:p w:rsidR="008E04AC" w:rsidRPr="008E04AC" w:rsidRDefault="008E04AC" w:rsidP="008E0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8E04A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├── config/                (study_thresholds.yaml)</w:t>
      </w:r>
    </w:p>
    <w:p w:rsidR="008E04AC" w:rsidRPr="008E04AC" w:rsidRDefault="008E04AC" w:rsidP="008E0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8E04A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├── tests/                 (Pytest biostatistical suite)</w:t>
      </w:r>
    </w:p>
    <w:p w:rsidR="008E04AC" w:rsidRPr="008E04AC" w:rsidRDefault="008E04AC" w:rsidP="008E0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8E04A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├── Dockerfile</w:t>
      </w:r>
    </w:p>
    <w:p w:rsidR="008E04AC" w:rsidRPr="008E04AC" w:rsidRDefault="008E04AC" w:rsidP="008E0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8E04A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├── requirements.txt</w:t>
      </w:r>
    </w:p>
    <w:p w:rsidR="008E04AC" w:rsidRPr="008E04AC" w:rsidRDefault="008E04AC" w:rsidP="008E04A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30" style="width:0;height:1.5pt" o:hralign="center" o:hrstd="t" o:hrnoshade="t" o:hr="t" fillcolor="gray" stroked="f"/>
        </w:pict>
      </w:r>
    </w:p>
    <w:p w:rsidR="008E04AC" w:rsidRPr="008E04AC" w:rsidRDefault="008E04AC" w:rsidP="008E04A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5️</w:t>
      </w:r>
      <w:r w:rsidRPr="008E04AC">
        <w:rPr>
          <w:rFonts w:ascii="Tahoma" w:eastAsia="Times New Roman" w:hAnsi="Tahoma" w:cs="Tahoma"/>
          <w:b/>
          <w:bCs/>
          <w:color w:val="1F1F1F"/>
          <w:sz w:val="36"/>
          <w:szCs w:val="36"/>
          <w:lang w:eastAsia="en-IN"/>
        </w:rPr>
        <w:t>⃣</w:t>
      </w:r>
      <w:r w:rsidRPr="008E04A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 xml:space="preserve"> SDLC PHASE 5 – BIOSTATISTICAL VALIDATION &amp; TESTING</w:t>
      </w:r>
    </w:p>
    <w:p w:rsidR="008E04AC" w:rsidRPr="008E04AC" w:rsidRDefault="008E04AC" w:rsidP="008E04A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Standard software unit testing is insufficient for statistical intelligence engines. The system's mathematical reliability is validated using </w:t>
      </w: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Plasmode Simulation (Spike-In Methodology)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, a standard biostatistical research technique for evaluating anomaly detectors on pre-cleaned data.</w:t>
      </w:r>
    </w:p>
    <w:p w:rsidR="008E04AC" w:rsidRPr="008E04AC" w:rsidRDefault="008E04AC" w:rsidP="008E04A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5.1 The Plasmode Simulation Protocol</w:t>
      </w:r>
    </w:p>
    <w:p w:rsidR="008E04AC" w:rsidRPr="008E04AC" w:rsidRDefault="008E04AC" w:rsidP="008E04AC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Step 1: Baseline Execution: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engine ingests the unaltered CDISC pilot dataset. The expected output is a clean trial with no sites breaching the critical risk threshold.</w:t>
      </w:r>
    </w:p>
    <w:p w:rsidR="008E04AC" w:rsidRPr="008E04AC" w:rsidRDefault="008E04AC" w:rsidP="008E04AC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Step 2: Targeted Spike-In (Fault Injection):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 automated Python script programmatically corrupts three specific sites to simulate real-world clinical deviations:</w:t>
      </w:r>
    </w:p>
    <w:p w:rsidR="008E04AC" w:rsidRPr="008E04AC" w:rsidRDefault="008E04AC" w:rsidP="008E04AC">
      <w:pPr>
        <w:numPr>
          <w:ilvl w:val="1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Site 014 (Simulated Negligence):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30% of Adverse Event records are programmatically suppressed over a 6-week window.</w:t>
      </w:r>
    </w:p>
    <w:p w:rsidR="008E04AC" w:rsidRPr="008E04AC" w:rsidRDefault="008E04AC" w:rsidP="008E04AC">
      <w:pPr>
        <w:numPr>
          <w:ilvl w:val="1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Site 022 (Simulated Fraud):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standard deviation of blood pressure lab results is artificially compressed by 85% to mimic human-fabricated, "too perfect" data.</w:t>
      </w:r>
    </w:p>
    <w:p w:rsidR="008E04AC" w:rsidRPr="008E04AC" w:rsidRDefault="008E04AC" w:rsidP="008E04AC">
      <w:pPr>
        <w:numPr>
          <w:ilvl w:val="1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Site 035 (Simulated Cross-Domain Anomaly):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Enrollment dates are spiked by 3x while query resolution times are simultaneously doubled.</w:t>
      </w:r>
    </w:p>
    <w:p w:rsidR="008E04AC" w:rsidRPr="008E04AC" w:rsidRDefault="008E04AC" w:rsidP="008E04AC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Step 3: Engine Validation: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TCRIE system processes the spiked dataset. The test passes </w:t>
      </w:r>
      <w:r w:rsidRPr="008E04A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only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if the Mahalanobis and CUSUM algorithms successfully isolate and flag Sites 014, 022, and 035 as "CRITICAL," providing the exact mathematical justification in the API payload.</w:t>
      </w:r>
    </w:p>
    <w:p w:rsidR="008E04AC" w:rsidRPr="008E04AC" w:rsidRDefault="008E04AC" w:rsidP="008E04A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5.2 Software Quality Assurance</w:t>
      </w:r>
    </w:p>
    <w:p w:rsidR="008E04AC" w:rsidRPr="008E04AC" w:rsidRDefault="008E04AC" w:rsidP="008E04AC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Performance Profiling: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Benchmarking pandas operations to ensure the engine processes heavy SDTM datasets within clinical operational SLAs.</w:t>
      </w:r>
    </w:p>
    <w:p w:rsidR="008E04AC" w:rsidRPr="008E04AC" w:rsidRDefault="008E04AC" w:rsidP="008E04AC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CI/CD Integration: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GitHub Actions configured for automated PEP8 linting, Pytest execution, and deterministic Docker image builds.</w:t>
      </w:r>
    </w:p>
    <w:p w:rsidR="008E04AC" w:rsidRPr="008E04AC" w:rsidRDefault="008E04AC" w:rsidP="008E04A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31" style="width:0;height:1.5pt" o:hralign="center" o:hrstd="t" o:hrnoshade="t" o:hr="t" fillcolor="gray" stroked="f"/>
        </w:pict>
      </w:r>
    </w:p>
    <w:p w:rsidR="008E04AC" w:rsidRPr="008E04AC" w:rsidRDefault="008E04AC" w:rsidP="008E04A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lastRenderedPageBreak/>
        <w:t>6️</w:t>
      </w:r>
      <w:r w:rsidRPr="008E04AC">
        <w:rPr>
          <w:rFonts w:ascii="Tahoma" w:eastAsia="Times New Roman" w:hAnsi="Tahoma" w:cs="Tahoma"/>
          <w:b/>
          <w:bCs/>
          <w:color w:val="1F1F1F"/>
          <w:sz w:val="36"/>
          <w:szCs w:val="36"/>
          <w:lang w:eastAsia="en-IN"/>
        </w:rPr>
        <w:t>⃣</w:t>
      </w:r>
      <w:r w:rsidRPr="008E04A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 xml:space="preserve"> SDLC PHASE 6 – DEPLOYMENT &amp; BUSINESS VALUE</w:t>
      </w:r>
    </w:p>
    <w:p w:rsidR="008E04AC" w:rsidRPr="008E04AC" w:rsidRDefault="008E04AC" w:rsidP="008E04A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6.1 Deliverables</w:t>
      </w:r>
    </w:p>
    <w:p w:rsidR="008E04AC" w:rsidRPr="008E04AC" w:rsidRDefault="008E04AC" w:rsidP="008E04AC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Explainable API Payload: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 JSON response that ranks high-risk sites and details the exact domain, metric, and algorithm that triggered the alert, ensuring FDA audit readiness.</w:t>
      </w:r>
    </w:p>
    <w:p w:rsidR="008E04AC" w:rsidRPr="008E04AC" w:rsidRDefault="008E04AC" w:rsidP="008E04AC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Risk Triage Dashboard: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 frontend UI visualizing the Site Risk scatter plot, temporal drift lines, and cross-domain radar charts.</w:t>
      </w:r>
    </w:p>
    <w:p w:rsidR="008E04AC" w:rsidRPr="008E04AC" w:rsidRDefault="008E04AC" w:rsidP="008E04A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6.2 Business Outcome (The "So What?")</w:t>
      </w:r>
    </w:p>
    <w:p w:rsidR="008E04AC" w:rsidRPr="008E04AC" w:rsidRDefault="008E04AC" w:rsidP="008E04A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By utilizing this Temporal Clinical Risk Intelligence Engine, clinical data teams can transition from highly expensive, manual 100% Source Data Verification (SDV) to targeted, statistical Risk-Based Quality Management. The system identifies systemic fraud and site negligence early, reducing monitoring travel costs and safeguarding trial integrity prior to regulatory submission.</w:t>
      </w:r>
    </w:p>
    <w:p w:rsidR="008E04AC" w:rsidRPr="008E04AC" w:rsidRDefault="008E04AC" w:rsidP="008E04A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32" style="width:0;height:1.5pt" o:hralign="center" o:hrstd="t" o:hrnoshade="t" o:hr="t" fillcolor="gray" stroked="f"/>
        </w:pict>
      </w:r>
    </w:p>
    <w:p w:rsidR="008E04AC" w:rsidRPr="008E04AC" w:rsidRDefault="008E04AC" w:rsidP="008E04A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7️</w:t>
      </w:r>
      <w:r w:rsidRPr="008E04AC">
        <w:rPr>
          <w:rFonts w:ascii="Tahoma" w:eastAsia="Times New Roman" w:hAnsi="Tahoma" w:cs="Tahoma"/>
          <w:b/>
          <w:bCs/>
          <w:color w:val="1F1F1F"/>
          <w:sz w:val="36"/>
          <w:szCs w:val="36"/>
          <w:lang w:eastAsia="en-IN"/>
        </w:rPr>
        <w:t>⃣</w:t>
      </w:r>
      <w:r w:rsidRPr="008E04A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 xml:space="preserve"> ACADEMIC &amp; INDUSTRY REFERENCES</w:t>
      </w:r>
    </w:p>
    <w:p w:rsidR="008E04AC" w:rsidRPr="008E04AC" w:rsidRDefault="008E04AC" w:rsidP="008E04AC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The mathematical and architectural foundations of the TCRIE system are grounded in peer-reviewed biostatistical research and current RBQM industry standards.</w:t>
      </w:r>
    </w:p>
    <w:p w:rsidR="008E04AC" w:rsidRPr="008E04AC" w:rsidRDefault="008E04AC" w:rsidP="008E04AC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Venet, D., et al. (2012).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8E04A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"A statistical approach to central monitoring of data quality in clinical trials."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Clinical Trials. (Foundation for unsupervised statistical monitoring).</w:t>
      </w:r>
    </w:p>
    <w:p w:rsidR="008E04AC" w:rsidRPr="008E04AC" w:rsidRDefault="008E04AC" w:rsidP="008E04AC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Buyse, M., et al. (2020).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8E04A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"Centralized statistical monitoring: Detecting fraud in clinical trials."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(Validates the use of Mahalanobis distance for multivariate outliers).</w:t>
      </w:r>
    </w:p>
    <w:p w:rsidR="008E04AC" w:rsidRPr="008E04AC" w:rsidRDefault="008E04AC" w:rsidP="008E04AC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ICH E6(R3) Guideline on Good Clinical Practice (GCP):</w:t>
      </w: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Mandates the shift toward proactive Risk-Based Quality Management (RBQM) in clinical trial oversight.</w:t>
      </w:r>
    </w:p>
    <w:p w:rsidR="00955EC9" w:rsidRPr="008E04AC" w:rsidRDefault="008E04AC" w:rsidP="008E04A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E04AC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33" style="width:0;height:1.5pt" o:hralign="center" o:hrstd="t" o:hrnoshade="t" o:hr="t" fillcolor="gray" stroked="f"/>
        </w:pict>
      </w:r>
    </w:p>
    <w:sectPr w:rsidR="00955EC9" w:rsidRPr="008E0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530D" w:rsidRDefault="0014530D" w:rsidP="00910587">
      <w:pPr>
        <w:spacing w:after="0" w:line="240" w:lineRule="auto"/>
      </w:pPr>
      <w:r>
        <w:separator/>
      </w:r>
    </w:p>
  </w:endnote>
  <w:endnote w:type="continuationSeparator" w:id="0">
    <w:p w:rsidR="0014530D" w:rsidRDefault="0014530D" w:rsidP="00910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530D" w:rsidRDefault="0014530D" w:rsidP="00910587">
      <w:pPr>
        <w:spacing w:after="0" w:line="240" w:lineRule="auto"/>
      </w:pPr>
      <w:r>
        <w:separator/>
      </w:r>
    </w:p>
  </w:footnote>
  <w:footnote w:type="continuationSeparator" w:id="0">
    <w:p w:rsidR="0014530D" w:rsidRDefault="0014530D" w:rsidP="009105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892A4B"/>
    <w:multiLevelType w:val="multilevel"/>
    <w:tmpl w:val="9386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20056"/>
    <w:multiLevelType w:val="multilevel"/>
    <w:tmpl w:val="32BC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A13C7"/>
    <w:multiLevelType w:val="multilevel"/>
    <w:tmpl w:val="C42A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A10EE"/>
    <w:multiLevelType w:val="multilevel"/>
    <w:tmpl w:val="558C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66375"/>
    <w:multiLevelType w:val="multilevel"/>
    <w:tmpl w:val="8654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74086"/>
    <w:multiLevelType w:val="multilevel"/>
    <w:tmpl w:val="2B081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94400"/>
    <w:multiLevelType w:val="multilevel"/>
    <w:tmpl w:val="C8E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A41B1"/>
    <w:multiLevelType w:val="multilevel"/>
    <w:tmpl w:val="E290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94861"/>
    <w:multiLevelType w:val="multilevel"/>
    <w:tmpl w:val="FC285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A435D1"/>
    <w:multiLevelType w:val="multilevel"/>
    <w:tmpl w:val="7D7A1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C307DD"/>
    <w:multiLevelType w:val="multilevel"/>
    <w:tmpl w:val="BEF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E21DE"/>
    <w:multiLevelType w:val="multilevel"/>
    <w:tmpl w:val="E1C4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00A5A"/>
    <w:multiLevelType w:val="multilevel"/>
    <w:tmpl w:val="804A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9278A"/>
    <w:multiLevelType w:val="multilevel"/>
    <w:tmpl w:val="4786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15215"/>
    <w:multiLevelType w:val="multilevel"/>
    <w:tmpl w:val="53B2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10"/>
  </w:num>
  <w:num w:numId="4">
    <w:abstractNumId w:val="14"/>
  </w:num>
  <w:num w:numId="5">
    <w:abstractNumId w:val="3"/>
  </w:num>
  <w:num w:numId="6">
    <w:abstractNumId w:val="6"/>
  </w:num>
  <w:num w:numId="7">
    <w:abstractNumId w:val="4"/>
  </w:num>
  <w:num w:numId="8">
    <w:abstractNumId w:val="1"/>
  </w:num>
  <w:num w:numId="9">
    <w:abstractNumId w:val="7"/>
  </w:num>
  <w:num w:numId="10">
    <w:abstractNumId w:val="12"/>
  </w:num>
  <w:num w:numId="11">
    <w:abstractNumId w:val="8"/>
  </w:num>
  <w:num w:numId="12">
    <w:abstractNumId w:val="0"/>
  </w:num>
  <w:num w:numId="13">
    <w:abstractNumId w:val="11"/>
  </w:num>
  <w:num w:numId="14">
    <w:abstractNumId w:val="5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D44"/>
    <w:rsid w:val="000E4731"/>
    <w:rsid w:val="0014530D"/>
    <w:rsid w:val="00155202"/>
    <w:rsid w:val="003D3D44"/>
    <w:rsid w:val="008A2ED4"/>
    <w:rsid w:val="008E04AC"/>
    <w:rsid w:val="00910587"/>
    <w:rsid w:val="00955EC9"/>
    <w:rsid w:val="00FA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A2B662-4F06-445C-B047-D2ADE7B7B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D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D3D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3D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D4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3D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3D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3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th-inline">
    <w:name w:val="math-inline"/>
    <w:basedOn w:val="DefaultParagraphFont"/>
    <w:rsid w:val="003D3D44"/>
  </w:style>
  <w:style w:type="character" w:customStyle="1" w:styleId="ng-tns-c239522828-27">
    <w:name w:val="ng-tns-c239522828-27"/>
    <w:basedOn w:val="DefaultParagraphFont"/>
    <w:rsid w:val="003D3D4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3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3D4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3D4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10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587"/>
  </w:style>
  <w:style w:type="paragraph" w:styleId="Footer">
    <w:name w:val="footer"/>
    <w:basedOn w:val="Normal"/>
    <w:link w:val="FooterChar"/>
    <w:uiPriority w:val="99"/>
    <w:unhideWhenUsed/>
    <w:rsid w:val="00910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587"/>
  </w:style>
  <w:style w:type="character" w:styleId="Strong">
    <w:name w:val="Strong"/>
    <w:basedOn w:val="DefaultParagraphFont"/>
    <w:uiPriority w:val="22"/>
    <w:qFormat/>
    <w:rsid w:val="008E04AC"/>
    <w:rPr>
      <w:b/>
      <w:bCs/>
    </w:rPr>
  </w:style>
  <w:style w:type="character" w:customStyle="1" w:styleId="ng-tns-c2203757349-123">
    <w:name w:val="ng-tns-c2203757349-123"/>
    <w:basedOn w:val="DefaultParagraphFont"/>
    <w:rsid w:val="008E0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14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1396</Words>
  <Characters>7961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2026-03-01T05:25:00Z</dcterms:created>
  <dcterms:modified xsi:type="dcterms:W3CDTF">2026-03-01T05:25:00Z</dcterms:modified>
</cp:coreProperties>
</file>