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60" w:before="0"/>
        <w:jc w:val="center"/>
      </w:pPr>
      <w:r>
        <w:rPr>
          <w:rFonts w:ascii="Arial" w:cs="Arial" w:eastAsia="Arial" w:hAnsi="Arial"/>
          <w:b/>
          <w:bCs/>
          <w:caps/>
          <w:color w:val="2E8B57"/>
          <w:sz w:val="22"/>
          <w:szCs w:val="22"/>
        </w:rPr>
        <w:t xml:space="preserve">PROJECT REPORT</w:t>
      </w:r>
    </w:p>
    <w:p>
      <w:pPr>
        <w:pBdr>
          <w:bottom w:val="single" w:color="1A5C38" w:sz="12" w:space="8"/>
        </w:pBdr>
        <w:spacing w:after="80" w:before="40"/>
        <w:jc w:val="center"/>
      </w:pPr>
      <w:r>
        <w:rPr>
          <w:rFonts w:ascii="Arial" w:cs="Arial" w:eastAsia="Arial" w:hAnsi="Arial"/>
          <w:b/>
          <w:bCs/>
          <w:color w:val="0D1F13"/>
          <w:sz w:val="56"/>
          <w:szCs w:val="56"/>
        </w:rPr>
        <w:t xml:space="preserve">NSE Precision Engine</w:t>
      </w:r>
    </w:p>
    <w:p>
      <w:pPr>
        <w:spacing w:after="40" w:before="100"/>
        <w:jc w:val="center"/>
      </w:pPr>
      <w:r>
        <w:rPr>
          <w:rFonts w:ascii="Arial" w:cs="Arial" w:eastAsia="Arial" w:hAnsi="Arial"/>
          <w:b/>
          <w:bCs/>
          <w:color w:val="1A5C38"/>
          <w:sz w:val="44"/>
          <w:szCs w:val="44"/>
        </w:rPr>
        <w:t xml:space="preserve">Quant Edge Terminal</w:t>
      </w:r>
    </w:p>
    <w:p>
      <w:pPr>
        <w:spacing w:after="0" w:before="160"/>
      </w:pPr>
      <w:r>
        <w:t xml:space="preserve"/>
      </w:r>
    </w:p>
    <w:p>
      <w:pPr>
        <w:spacing w:after="60" w:before="80"/>
        <w:jc w:val="center"/>
      </w:pPr>
      <w:r>
        <w:rPr>
          <w:rFonts w:ascii="Arial" w:cs="Arial" w:eastAsia="Arial" w:hAnsi="Arial"/>
          <w:color w:val="666666"/>
          <w:sz w:val="26"/>
          <w:szCs w:val="26"/>
        </w:rPr>
        <w:t xml:space="preserve">AI / ML Financial Analysis Web Application</w:t>
      </w:r>
    </w:p>
    <w:p>
      <w:pPr>
        <w:spacing w:after="0" w:before="600"/>
      </w:pPr>
      <w:r>
        <w:t xml:space="preserve"/>
      </w:r>
    </w:p>
    <w:p>
      <w:pPr>
        <w:jc w:val="center"/>
      </w:pPr>
      <w:r>
        <w:rPr>
          <w:rFonts w:ascii="Arial" w:cs="Arial" w:eastAsia="Arial" w:hAnsi="Arial"/>
          <w:color w:val="666666"/>
          <w:sz w:val="22"/>
          <w:szCs w:val="22"/>
        </w:rPr>
        <w:t xml:space="preserve">Full-Stack  ·  Real-Time Analytics  ·  Generative AI</w:t>
      </w:r>
    </w:p>
    <w:p>
      <w:pPr>
        <w:spacing w:after="0" w:before="80"/>
      </w:pPr>
      <w:r>
        <w:t xml:space="preserve"/>
      </w:r>
    </w:p>
    <w:p>
      <w:pPr>
        <w:jc w:val="center"/>
      </w:pPr>
      <w:r>
        <w:rPr>
          <w:rFonts w:ascii="Arial" w:cs="Arial" w:eastAsia="Arial" w:hAnsi="Arial"/>
          <w:color w:val="666666"/>
          <w:sz w:val="22"/>
          <w:szCs w:val="22"/>
        </w:rPr>
        <w:t xml:space="preserve">2025</w:t>
      </w:r>
    </w:p>
    <w:p>
      <w:r>
        <w:br w:type="page"/>
      </w:r>
    </w:p>
    <w:p>
      <w:pPr>
        <w:pStyle w:val="Heading1"/>
        <w:pBdr>
          <w:bottom w:val="single" w:color="2E8B57" w:sz="8" w:space="4"/>
        </w:pBdr>
        <w:spacing w:after="120" w:before="360"/>
      </w:pPr>
      <w:r>
        <w:rPr>
          <w:rFonts w:ascii="Arial" w:cs="Arial" w:eastAsia="Arial" w:hAnsi="Arial"/>
          <w:b/>
          <w:bCs/>
          <w:color w:val="1A5C38"/>
          <w:sz w:val="28"/>
          <w:szCs w:val="28"/>
        </w:rPr>
        <w:t xml:space="preserve">1. Executive Summary</w:t>
      </w:r>
    </w:p>
    <w:p>
      <w:pPr>
        <w:spacing w:after="100" w:before="80" w:line="300"/>
      </w:pPr>
      <w:r>
        <w:rPr>
          <w:rFonts w:ascii="Arial" w:cs="Arial" w:eastAsia="Arial" w:hAnsi="Arial"/>
          <w:b w:val="false"/>
          <w:bCs w:val="false"/>
          <w:color w:val="1A1A1A"/>
          <w:sz w:val="22"/>
          <w:szCs w:val="22"/>
        </w:rPr>
        <w:t xml:space="preserve">The Quant Edge Terminal is a high-fidelity quantitative financial dashboard engineered for institutional-grade market analysis. The application serves as an educational and theoretical tool that demonstrates the cohesive integration of traditional technical analysis, machine learning (ML) forecasting, and Generative Artificial Intelligence (AI). Built on a decoupled headless architecture, the software delivers real-time data processing and highly responsive user interactions, bridging the gap between algorithmic trading analytics and actionable human-readable insights.</w:t>
      </w:r>
    </w:p>
    <w:p>
      <w:pPr>
        <w:spacing w:after="0" w:before="160"/>
      </w:pPr>
      <w:r>
        <w:t xml:space="preserve"/>
      </w:r>
    </w:p>
    <w:p>
      <w:pPr>
        <w:pStyle w:val="Heading1"/>
        <w:pBdr>
          <w:bottom w:val="single" w:color="2E8B57" w:sz="8" w:space="4"/>
        </w:pBdr>
        <w:spacing w:after="120" w:before="360"/>
      </w:pPr>
      <w:r>
        <w:rPr>
          <w:rFonts w:ascii="Arial" w:cs="Arial" w:eastAsia="Arial" w:hAnsi="Arial"/>
          <w:b/>
          <w:bCs/>
          <w:color w:val="1A5C38"/>
          <w:sz w:val="28"/>
          <w:szCs w:val="28"/>
        </w:rPr>
        <w:t xml:space="preserve">2. Introduction</w:t>
      </w:r>
    </w:p>
    <w:p>
      <w:pPr>
        <w:spacing w:after="100" w:before="80" w:line="300"/>
      </w:pPr>
      <w:r>
        <w:rPr>
          <w:rFonts w:ascii="Arial" w:cs="Arial" w:eastAsia="Arial" w:hAnsi="Arial"/>
          <w:b w:val="false"/>
          <w:bCs w:val="false"/>
          <w:color w:val="1A1A1A"/>
          <w:sz w:val="22"/>
          <w:szCs w:val="22"/>
        </w:rPr>
        <w:t xml:space="preserve">Financial markets demand rapid and precise data interpretation. This project addresses the challenge of synthesizing vast quantitative signals into coherent, executable intelligence. By leveraging a Python-based asynchronous backend paired with a modern React frontend, the system accurately processes large market datasets, computes advanced mathematical indicator calculations, projects future price movements through machine learning, and translates complex market sentiment into executive-style intelligence briefs using Large Language Models (LLMs).</w:t>
      </w:r>
    </w:p>
    <w:p>
      <w:pPr>
        <w:spacing w:after="0" w:before="80"/>
      </w:pPr>
      <w:r>
        <w:t xml:space="preserve"/>
      </w:r>
    </w:p>
    <w:p>
      <w:pPr>
        <w:spacing w:after="100" w:before="80" w:line="300"/>
      </w:pPr>
      <w:r>
        <w:rPr>
          <w:rFonts w:ascii="Arial" w:cs="Arial" w:eastAsia="Arial" w:hAnsi="Arial"/>
          <w:b w:val="false"/>
          <w:bCs w:val="false"/>
          <w:color w:val="1A1A1A"/>
          <w:sz w:val="22"/>
          <w:szCs w:val="22"/>
        </w:rPr>
        <w:t xml:space="preserve">The terminal is designed not merely as a data display, but as an active analytical engine — one that aggregates multi-source signals into a single, confidence-weighted verdict accessible to both technical and non-technical users.</w:t>
      </w:r>
    </w:p>
    <w:p>
      <w:pPr>
        <w:spacing w:after="0" w:before="160"/>
      </w:pPr>
      <w:r>
        <w:t xml:space="preserve"/>
      </w:r>
    </w:p>
    <w:p>
      <w:pPr>
        <w:pStyle w:val="Heading1"/>
        <w:pBdr>
          <w:bottom w:val="single" w:color="2E8B57" w:sz="8" w:space="4"/>
        </w:pBdr>
        <w:spacing w:after="120" w:before="360"/>
      </w:pPr>
      <w:r>
        <w:rPr>
          <w:rFonts w:ascii="Arial" w:cs="Arial" w:eastAsia="Arial" w:hAnsi="Arial"/>
          <w:b/>
          <w:bCs/>
          <w:color w:val="1A5C38"/>
          <w:sz w:val="28"/>
          <w:szCs w:val="28"/>
        </w:rPr>
        <w:t xml:space="preserve">3. System Architecture</w:t>
      </w:r>
    </w:p>
    <w:p>
      <w:pPr>
        <w:spacing w:after="100" w:before="80" w:line="300"/>
      </w:pPr>
      <w:r>
        <w:rPr>
          <w:rFonts w:ascii="Arial" w:cs="Arial" w:eastAsia="Arial" w:hAnsi="Arial"/>
          <w:b w:val="false"/>
          <w:bCs w:val="false"/>
          <w:color w:val="1A1A1A"/>
          <w:sz w:val="22"/>
          <w:szCs w:val="22"/>
        </w:rPr>
        <w:t xml:space="preserve">The application is structured using a heavily decoupled 'Headless Architecture' to maximize performance and cleanly separate computational burdens from user interface rendering. This design philosophy enables independent scaling of the analytical engine and the dashboard layer.</w:t>
      </w:r>
    </w:p>
    <w:p>
      <w:pPr>
        <w:spacing w:after="0" w:before="80"/>
      </w:pPr>
      <w:r>
        <w:t xml:space="preserve"/>
      </w:r>
    </w:p>
    <w:p>
      <w:pPr>
        <w:pStyle w:val="Heading2"/>
        <w:spacing w:after="100" w:before="280"/>
      </w:pPr>
      <w:r>
        <w:rPr>
          <w:rFonts w:ascii="Arial" w:cs="Arial" w:eastAsia="Arial" w:hAnsi="Arial"/>
          <w:b/>
          <w:bCs/>
          <w:color w:val="1A5C38"/>
          <w:sz w:val="24"/>
          <w:szCs w:val="24"/>
        </w:rPr>
        <w:t xml:space="preserve">3.1  The AI Engine (Backend)</w:t>
      </w:r>
    </w:p>
    <w:p>
      <w:pPr>
        <w:spacing w:after="100" w:before="80" w:line="300"/>
      </w:pPr>
      <w:r>
        <w:rPr>
          <w:rFonts w:ascii="Arial" w:cs="Arial" w:eastAsia="Arial" w:hAnsi="Arial"/>
          <w:b w:val="false"/>
          <w:bCs w:val="false"/>
          <w:color w:val="1A1A1A"/>
          <w:sz w:val="22"/>
          <w:szCs w:val="22"/>
        </w:rPr>
        <w:t xml:space="preserve">Developed in Python using the FastAPI framework. This asynchronous server manages complex, compute-intensive operations — including NumPy matrix calculations, Scikit-Learn model training and inference, and Google Gemini API calls — without blocking the main thread or degrading UI responsiveness. Hosted via Uvicorn on port 8000.</w:t>
      </w:r>
    </w:p>
    <w:p>
      <w:pPr>
        <w:spacing w:after="0" w:before="60"/>
      </w:pPr>
      <w:r>
        <w:t xml:space="preserve"/>
      </w:r>
    </w:p>
    <w:p>
      <w:pPr>
        <w:pStyle w:val="Heading2"/>
        <w:spacing w:after="100" w:before="280"/>
      </w:pPr>
      <w:r>
        <w:rPr>
          <w:rFonts w:ascii="Arial" w:cs="Arial" w:eastAsia="Arial" w:hAnsi="Arial"/>
          <w:b/>
          <w:bCs/>
          <w:color w:val="1A5C38"/>
          <w:sz w:val="24"/>
          <w:szCs w:val="24"/>
        </w:rPr>
        <w:t xml:space="preserve">3.2  The Dashboard (Frontend)</w:t>
      </w:r>
    </w:p>
    <w:p>
      <w:pPr>
        <w:spacing w:after="100" w:before="80" w:line="300"/>
      </w:pPr>
      <w:r>
        <w:rPr>
          <w:rFonts w:ascii="Arial" w:cs="Arial" w:eastAsia="Arial" w:hAnsi="Arial"/>
          <w:b w:val="false"/>
          <w:bCs w:val="false"/>
          <w:color w:val="1A1A1A"/>
          <w:sz w:val="22"/>
          <w:szCs w:val="22"/>
        </w:rPr>
        <w:t xml:space="preserve">Developed using React (Vite) with Tailwind CSS v3. The design system follows the 'Obsidian Ledger' aesthetic: brutalist, zero-radius, high-data-density — purpose-built for professional traders and quantitative analysts who prioritize information over decoration. The frontend communicates with the backend exclusively through asynchronous API calls, enabling real-time streaming of predictions and market updates.</w:t>
      </w:r>
    </w:p>
    <w:p>
      <w:pPr>
        <w:spacing w:after="0" w:before="160"/>
      </w:pPr>
      <w:r>
        <w:t xml:space="preserve"/>
      </w:r>
    </w:p>
    <w:p>
      <w:pPr>
        <w:pStyle w:val="Heading1"/>
        <w:pBdr>
          <w:bottom w:val="single" w:color="2E8B57" w:sz="8" w:space="4"/>
        </w:pBdr>
        <w:spacing w:after="120" w:before="360"/>
      </w:pPr>
      <w:r>
        <w:rPr>
          <w:rFonts w:ascii="Arial" w:cs="Arial" w:eastAsia="Arial" w:hAnsi="Arial"/>
          <w:b/>
          <w:bCs/>
          <w:color w:val="1A5C38"/>
          <w:sz w:val="28"/>
          <w:szCs w:val="28"/>
        </w:rPr>
        <w:t xml:space="preserve">4. Core Features and Methodology</w:t>
      </w:r>
    </w:p>
    <w:p>
      <w:pPr>
        <w:pStyle w:val="Heading2"/>
        <w:spacing w:after="100" w:before="280"/>
      </w:pPr>
      <w:r>
        <w:rPr>
          <w:rFonts w:ascii="Arial" w:cs="Arial" w:eastAsia="Arial" w:hAnsi="Arial"/>
          <w:b/>
          <w:bCs/>
          <w:color w:val="1A5C38"/>
          <w:sz w:val="24"/>
          <w:szCs w:val="24"/>
        </w:rPr>
        <w:t xml:space="preserve">4.1  Real-Time Market Pulse</w:t>
      </w:r>
    </w:p>
    <w:p>
      <w:pPr>
        <w:spacing w:after="100" w:before="80" w:line="300"/>
      </w:pPr>
      <w:r>
        <w:rPr>
          <w:rFonts w:ascii="Arial" w:cs="Arial" w:eastAsia="Arial" w:hAnsi="Arial"/>
          <w:b w:val="false"/>
          <w:bCs w:val="false"/>
          <w:color w:val="1A1A1A"/>
          <w:sz w:val="22"/>
          <w:szCs w:val="22"/>
        </w:rPr>
        <w:t xml:space="preserve">The terminal incorporates a top-level macro monitoring bar that continuously tracks three critical market dimensions:</w:t>
      </w:r>
    </w:p>
    <w:p>
      <w:pPr>
        <w:pStyle w:val="ListParagraph"/>
        <w:numPr>
          <w:ilvl w:val="0"/>
          <w:numId w:val="2"/>
        </w:numPr>
        <w:spacing w:after="60" w:before="60"/>
      </w:pPr>
      <w:r>
        <w:rPr>
          <w:rFonts w:ascii="Arial" w:cs="Arial" w:eastAsia="Arial" w:hAnsi="Arial"/>
          <w:b/>
          <w:bCs/>
          <w:color w:val="1A1A1A"/>
          <w:sz w:val="22"/>
          <w:szCs w:val="22"/>
        </w:rPr>
        <w:t xml:space="preserve">Nifty 50: </w:t>
      </w:r>
      <w:r>
        <w:rPr>
          <w:rFonts w:ascii="Arial" w:cs="Arial" w:eastAsia="Arial" w:hAnsi="Arial"/>
          <w:color w:val="3A3A3A"/>
          <w:sz w:val="22"/>
          <w:szCs w:val="22"/>
        </w:rPr>
        <w:t xml:space="preserve">Live NIFTY 50 intraday price tracking with trend delta indicators.</w:t>
      </w:r>
    </w:p>
    <w:p>
      <w:pPr>
        <w:pStyle w:val="ListParagraph"/>
        <w:numPr>
          <w:ilvl w:val="0"/>
          <w:numId w:val="2"/>
        </w:numPr>
        <w:spacing w:after="60" w:before="60"/>
      </w:pPr>
      <w:r>
        <w:rPr>
          <w:rFonts w:ascii="Arial" w:cs="Arial" w:eastAsia="Arial" w:hAnsi="Arial"/>
          <w:b/>
          <w:bCs/>
          <w:color w:val="1A1A1A"/>
          <w:sz w:val="22"/>
          <w:szCs w:val="22"/>
        </w:rPr>
        <w:t xml:space="preserve">India VIX: </w:t>
      </w:r>
      <w:r>
        <w:rPr>
          <w:rFonts w:ascii="Arial" w:cs="Arial" w:eastAsia="Arial" w:hAnsi="Arial"/>
          <w:color w:val="3A3A3A"/>
          <w:sz w:val="22"/>
          <w:szCs w:val="22"/>
        </w:rPr>
        <w:t xml:space="preserve">India VIX real-time fear gauge for volatility monitoring and risk assessment.</w:t>
      </w:r>
    </w:p>
    <w:p>
      <w:pPr>
        <w:pStyle w:val="ListParagraph"/>
        <w:numPr>
          <w:ilvl w:val="0"/>
          <w:numId w:val="2"/>
        </w:numPr>
        <w:spacing w:after="60" w:before="60"/>
      </w:pPr>
      <w:r>
        <w:rPr>
          <w:rFonts w:ascii="Arial" w:cs="Arial" w:eastAsia="Arial" w:hAnsi="Arial"/>
          <w:b/>
          <w:bCs/>
          <w:color w:val="1A1A1A"/>
          <w:sz w:val="22"/>
          <w:szCs w:val="22"/>
        </w:rPr>
        <w:t xml:space="preserve">Traffic Light Algorithm: </w:t>
      </w:r>
      <w:r>
        <w:rPr>
          <w:rFonts w:ascii="Arial" w:cs="Arial" w:eastAsia="Arial" w:hAnsi="Arial"/>
          <w:color w:val="3A3A3A"/>
          <w:sz w:val="22"/>
          <w:szCs w:val="22"/>
        </w:rPr>
        <w:t xml:space="preserve">A proprietary macro-trend recommendation engine operating on volatility vs. price action to classify the prevailing market regime as Bullish, Bearish, or Neutral.</w:t>
      </w:r>
    </w:p>
    <w:p>
      <w:pPr>
        <w:spacing w:after="0" w:before="120"/>
      </w:pPr>
      <w:r>
        <w:t xml:space="preserve"/>
      </w:r>
    </w:p>
    <w:p>
      <w:pPr>
        <w:pStyle w:val="Heading2"/>
        <w:spacing w:after="100" w:before="280"/>
      </w:pPr>
      <w:r>
        <w:rPr>
          <w:rFonts w:ascii="Arial" w:cs="Arial" w:eastAsia="Arial" w:hAnsi="Arial"/>
          <w:b/>
          <w:bCs/>
          <w:color w:val="1A5C38"/>
          <w:sz w:val="24"/>
          <w:szCs w:val="24"/>
        </w:rPr>
        <w:t xml:space="preserve">4.2  Quantitative Stock Analysis Engine</w:t>
      </w:r>
    </w:p>
    <w:p>
      <w:pPr>
        <w:spacing w:after="100" w:before="80" w:line="300"/>
      </w:pPr>
      <w:r>
        <w:rPr>
          <w:rFonts w:ascii="Arial" w:cs="Arial" w:eastAsia="Arial" w:hAnsi="Arial"/>
          <w:b w:val="false"/>
          <w:bCs w:val="false"/>
          <w:color w:val="1A1A1A"/>
          <w:sz w:val="22"/>
          <w:szCs w:val="22"/>
        </w:rPr>
        <w:t xml:space="preserve">A dedicated processing engine fetches real-time and historical market data via yfinance to calculate a comprehensive suite of technical indicators:</w:t>
      </w:r>
    </w:p>
    <w:p>
      <w:pPr>
        <w:pStyle w:val="ListParagraph"/>
        <w:numPr>
          <w:ilvl w:val="0"/>
          <w:numId w:val="2"/>
        </w:numPr>
        <w:spacing w:after="60" w:before="60"/>
      </w:pPr>
      <w:r>
        <w:rPr>
          <w:rFonts w:ascii="Arial" w:cs="Arial" w:eastAsia="Arial" w:hAnsi="Arial"/>
          <w:b/>
          <w:bCs/>
          <w:color w:val="1A1A1A"/>
          <w:sz w:val="22"/>
          <w:szCs w:val="22"/>
        </w:rPr>
        <w:t xml:space="preserve">SMA: </w:t>
      </w:r>
      <w:r>
        <w:rPr>
          <w:rFonts w:ascii="Arial" w:cs="Arial" w:eastAsia="Arial" w:hAnsi="Arial"/>
          <w:color w:val="3A3A3A"/>
          <w:sz w:val="22"/>
          <w:szCs w:val="22"/>
        </w:rPr>
        <w:t xml:space="preserve">Simple Moving Average (SMA) — trend direction and momentum baseline.</w:t>
      </w:r>
    </w:p>
    <w:p>
      <w:pPr>
        <w:pStyle w:val="ListParagraph"/>
        <w:numPr>
          <w:ilvl w:val="0"/>
          <w:numId w:val="2"/>
        </w:numPr>
        <w:spacing w:after="60" w:before="60"/>
      </w:pPr>
      <w:r>
        <w:rPr>
          <w:rFonts w:ascii="Arial" w:cs="Arial" w:eastAsia="Arial" w:hAnsi="Arial"/>
          <w:b/>
          <w:bCs/>
          <w:color w:val="1A1A1A"/>
          <w:sz w:val="22"/>
          <w:szCs w:val="22"/>
        </w:rPr>
        <w:t xml:space="preserve">EMA: </w:t>
      </w:r>
      <w:r>
        <w:rPr>
          <w:rFonts w:ascii="Arial" w:cs="Arial" w:eastAsia="Arial" w:hAnsi="Arial"/>
          <w:color w:val="3A3A3A"/>
          <w:sz w:val="22"/>
          <w:szCs w:val="22"/>
        </w:rPr>
        <w:t xml:space="preserve">Exponential Moving Average (EMA) — recency-weighted trend signal.</w:t>
      </w:r>
    </w:p>
    <w:p>
      <w:pPr>
        <w:pStyle w:val="ListParagraph"/>
        <w:numPr>
          <w:ilvl w:val="0"/>
          <w:numId w:val="2"/>
        </w:numPr>
        <w:spacing w:after="60" w:before="60"/>
      </w:pPr>
      <w:r>
        <w:rPr>
          <w:rFonts w:ascii="Arial" w:cs="Arial" w:eastAsia="Arial" w:hAnsi="Arial"/>
          <w:b/>
          <w:bCs/>
          <w:color w:val="1A1A1A"/>
          <w:sz w:val="22"/>
          <w:szCs w:val="22"/>
        </w:rPr>
        <w:t xml:space="preserve">RSI: </w:t>
      </w:r>
      <w:r>
        <w:rPr>
          <w:rFonts w:ascii="Arial" w:cs="Arial" w:eastAsia="Arial" w:hAnsi="Arial"/>
          <w:color w:val="3A3A3A"/>
          <w:sz w:val="22"/>
          <w:szCs w:val="22"/>
        </w:rPr>
        <w:t xml:space="preserve">Relative Strength Index (RSI) — momentum oscillator for overbought/oversold detection.</w:t>
      </w:r>
    </w:p>
    <w:p>
      <w:pPr>
        <w:pStyle w:val="ListParagraph"/>
        <w:numPr>
          <w:ilvl w:val="0"/>
          <w:numId w:val="2"/>
        </w:numPr>
        <w:spacing w:after="60" w:before="60"/>
      </w:pPr>
      <w:r>
        <w:rPr>
          <w:rFonts w:ascii="Arial" w:cs="Arial" w:eastAsia="Arial" w:hAnsi="Arial"/>
          <w:b/>
          <w:bCs/>
          <w:color w:val="1A1A1A"/>
          <w:sz w:val="22"/>
          <w:szCs w:val="22"/>
        </w:rPr>
        <w:t xml:space="preserve">MACD: </w:t>
      </w:r>
      <w:r>
        <w:rPr>
          <w:rFonts w:ascii="Arial" w:cs="Arial" w:eastAsia="Arial" w:hAnsi="Arial"/>
          <w:color w:val="3A3A3A"/>
          <w:sz w:val="22"/>
          <w:szCs w:val="22"/>
        </w:rPr>
        <w:t xml:space="preserve">Moving Average Convergence Divergence (MACD) — trend-following momentum indicator.</w:t>
      </w:r>
    </w:p>
    <w:p>
      <w:pPr>
        <w:pStyle w:val="ListParagraph"/>
        <w:numPr>
          <w:ilvl w:val="0"/>
          <w:numId w:val="2"/>
        </w:numPr>
        <w:spacing w:after="60" w:before="60"/>
      </w:pPr>
      <w:r>
        <w:rPr>
          <w:rFonts w:ascii="Arial" w:cs="Arial" w:eastAsia="Arial" w:hAnsi="Arial"/>
          <w:b/>
          <w:bCs/>
          <w:color w:val="1A1A1A"/>
          <w:sz w:val="22"/>
          <w:szCs w:val="22"/>
        </w:rPr>
        <w:t xml:space="preserve">Bollinger Bands: </w:t>
      </w:r>
      <w:r>
        <w:rPr>
          <w:rFonts w:ascii="Arial" w:cs="Arial" w:eastAsia="Arial" w:hAnsi="Arial"/>
          <w:color w:val="3A3A3A"/>
          <w:sz w:val="22"/>
          <w:szCs w:val="22"/>
        </w:rPr>
        <w:t xml:space="preserve">Bollinger Bands — volatility envelope for breakout and mean-reversion signals.</w:t>
      </w:r>
    </w:p>
    <w:p>
      <w:pPr>
        <w:spacing w:after="0" w:before="80"/>
      </w:pPr>
      <w:r>
        <w:t xml:space="preserve"/>
      </w:r>
    </w:p>
    <w:p>
      <w:pPr>
        <w:spacing w:after="100" w:before="80" w:line="300"/>
      </w:pPr>
      <w:r>
        <w:rPr>
          <w:rFonts w:ascii="Arial" w:cs="Arial" w:eastAsia="Arial" w:hAnsi="Arial"/>
          <w:b w:val="false"/>
          <w:bCs w:val="false"/>
          <w:color w:val="1A1A1A"/>
          <w:sz w:val="22"/>
          <w:szCs w:val="22"/>
        </w:rPr>
        <w:t xml:space="preserve">The Confluence Verdict Engine aggregates the combined algorithmic strength of all five indicators to generate instantaneous Buy, Sell, or Wait probability scores. Charting is rendered via the Recharts library, handling thousands of intraday data points with dynamic historical overlays and smooth real-time updates.</w:t>
      </w:r>
    </w:p>
    <w:p>
      <w:pPr>
        <w:spacing w:after="0" w:before="120"/>
      </w:pPr>
      <w:r>
        <w:t xml:space="preserve"/>
      </w:r>
    </w:p>
    <w:p>
      <w:pPr>
        <w:pStyle w:val="Heading2"/>
        <w:spacing w:after="100" w:before="280"/>
      </w:pPr>
      <w:r>
        <w:rPr>
          <w:rFonts w:ascii="Arial" w:cs="Arial" w:eastAsia="Arial" w:hAnsi="Arial"/>
          <w:b/>
          <w:bCs/>
          <w:color w:val="1A5C38"/>
          <w:sz w:val="24"/>
          <w:szCs w:val="24"/>
        </w:rPr>
        <w:t xml:space="preserve">4.3  Machine Learning Price Projection</w:t>
      </w:r>
    </w:p>
    <w:p>
      <w:pPr>
        <w:spacing w:after="100" w:before="80" w:line="300"/>
      </w:pPr>
      <w:r>
        <w:rPr>
          <w:rFonts w:ascii="Arial" w:cs="Arial" w:eastAsia="Arial" w:hAnsi="Arial"/>
          <w:b w:val="false"/>
          <w:bCs w:val="false"/>
          <w:color w:val="1A1A1A"/>
          <w:sz w:val="22"/>
          <w:szCs w:val="22"/>
        </w:rPr>
        <w:t xml:space="preserve">The system moves beyond historical pattern analysis by implementing forward-looking predictive analytics:</w:t>
      </w:r>
    </w:p>
    <w:p>
      <w:pPr>
        <w:pStyle w:val="ListParagraph"/>
        <w:numPr>
          <w:ilvl w:val="0"/>
          <w:numId w:val="2"/>
        </w:numPr>
        <w:spacing w:after="60" w:before="60"/>
      </w:pPr>
      <w:r>
        <w:rPr>
          <w:rFonts w:ascii="Arial" w:cs="Arial" w:eastAsia="Arial" w:hAnsi="Arial"/>
          <w:b/>
          <w:bCs/>
          <w:color w:val="1A1A1A"/>
          <w:sz w:val="22"/>
          <w:szCs w:val="22"/>
        </w:rPr>
        <w:t xml:space="preserve">Model: </w:t>
      </w:r>
      <w:r>
        <w:rPr>
          <w:rFonts w:ascii="Arial" w:cs="Arial" w:eastAsia="Arial" w:hAnsi="Arial"/>
          <w:color w:val="3A3A3A"/>
          <w:sz w:val="22"/>
          <w:szCs w:val="22"/>
        </w:rPr>
        <w:t xml:space="preserve">Random Forest Regressor (Scikit-Learn) — an ensemble model selected for its robustness against overfitting on financial time series.</w:t>
      </w:r>
    </w:p>
    <w:p>
      <w:pPr>
        <w:pStyle w:val="ListParagraph"/>
        <w:numPr>
          <w:ilvl w:val="0"/>
          <w:numId w:val="2"/>
        </w:numPr>
        <w:spacing w:after="60" w:before="60"/>
      </w:pPr>
      <w:r>
        <w:rPr>
          <w:rFonts w:ascii="Arial" w:cs="Arial" w:eastAsia="Arial" w:hAnsi="Arial"/>
          <w:b/>
          <w:bCs/>
          <w:color w:val="1A1A1A"/>
          <w:sz w:val="22"/>
          <w:szCs w:val="22"/>
        </w:rPr>
        <w:t xml:space="preserve">Methodology: </w:t>
      </w:r>
      <w:r>
        <w:rPr>
          <w:rFonts w:ascii="Arial" w:cs="Arial" w:eastAsia="Arial" w:hAnsi="Arial"/>
          <w:color w:val="3A3A3A"/>
          <w:sz w:val="22"/>
          <w:szCs w:val="22"/>
        </w:rPr>
        <w:t xml:space="preserve">Training is performed entirely on-the-fly using discrete live ticker data, constructing a multi-lag feature model without any pre-training or cached model state.</w:t>
      </w:r>
    </w:p>
    <w:p>
      <w:pPr>
        <w:pStyle w:val="ListParagraph"/>
        <w:numPr>
          <w:ilvl w:val="0"/>
          <w:numId w:val="2"/>
        </w:numPr>
        <w:spacing w:after="60" w:before="60"/>
      </w:pPr>
      <w:r>
        <w:rPr>
          <w:rFonts w:ascii="Arial" w:cs="Arial" w:eastAsia="Arial" w:hAnsi="Arial"/>
          <w:b/>
          <w:bCs/>
          <w:color w:val="1A1A1A"/>
          <w:sz w:val="22"/>
          <w:szCs w:val="22"/>
        </w:rPr>
        <w:t xml:space="preserve">Output: </w:t>
      </w:r>
      <w:r>
        <w:rPr>
          <w:rFonts w:ascii="Arial" w:cs="Arial" w:eastAsia="Arial" w:hAnsi="Arial"/>
          <w:color w:val="3A3A3A"/>
          <w:sz w:val="22"/>
          <w:szCs w:val="22"/>
        </w:rPr>
        <w:t xml:space="preserve">Outputs a 30-day predictive future price path with standard deviation confidence bands, visualized inline within the charting engine.</w:t>
      </w:r>
    </w:p>
    <w:p>
      <w:pPr>
        <w:spacing w:after="0" w:before="80"/>
      </w:pPr>
      <w:r>
        <w:t xml:space="preserve"/>
      </w:r>
    </w:p>
    <w:p>
      <w:pPr>
        <w:spacing w:after="100" w:before="80" w:line="300"/>
      </w:pPr>
      <w:r>
        <w:rPr>
          <w:rFonts w:ascii="Arial" w:cs="Arial" w:eastAsia="Arial" w:hAnsi="Arial"/>
          <w:b w:val="false"/>
          <w:bCs w:val="false"/>
          <w:color w:val="1A1A1A"/>
          <w:sz w:val="22"/>
          <w:szCs w:val="22"/>
        </w:rPr>
        <w:t xml:space="preserve">This on-demand training approach ensures that every projection is specific to the current market state of the queried ticker, rather than a generalized pre-trained estimate.</w:t>
      </w:r>
    </w:p>
    <w:p>
      <w:pPr>
        <w:spacing w:after="0" w:before="120"/>
      </w:pPr>
      <w:r>
        <w:t xml:space="preserve"/>
      </w:r>
    </w:p>
    <w:p>
      <w:pPr>
        <w:pStyle w:val="Heading2"/>
        <w:spacing w:after="100" w:before="280"/>
      </w:pPr>
      <w:r>
        <w:rPr>
          <w:rFonts w:ascii="Arial" w:cs="Arial" w:eastAsia="Arial" w:hAnsi="Arial"/>
          <w:b/>
          <w:bCs/>
          <w:color w:val="1A5C38"/>
          <w:sz w:val="24"/>
          <w:szCs w:val="24"/>
        </w:rPr>
        <w:t xml:space="preserve">4.4  Generative AI Intelligence Briefs</w:t>
      </w:r>
    </w:p>
    <w:p>
      <w:pPr>
        <w:spacing w:after="100" w:before="80" w:line="300"/>
      </w:pPr>
      <w:r>
        <w:rPr>
          <w:rFonts w:ascii="Arial" w:cs="Arial" w:eastAsia="Arial" w:hAnsi="Arial"/>
          <w:b w:val="false"/>
          <w:bCs w:val="false"/>
          <w:color w:val="1A1A1A"/>
          <w:sz w:val="22"/>
          <w:szCs w:val="22"/>
        </w:rPr>
        <w:t xml:space="preserve">Using the Google Gemini API, the platform produces human-readable, institutional-quality market intelligence:</w:t>
      </w:r>
    </w:p>
    <w:p>
      <w:pPr>
        <w:pStyle w:val="ListParagraph"/>
        <w:numPr>
          <w:ilvl w:val="0"/>
          <w:numId w:val="2"/>
        </w:numPr>
        <w:spacing w:after="60" w:before="60"/>
      </w:pPr>
      <w:r>
        <w:rPr>
          <w:rFonts w:ascii="Arial" w:cs="Arial" w:eastAsia="Arial" w:hAnsi="Arial"/>
          <w:color w:val="3A3A3A"/>
          <w:sz w:val="22"/>
          <w:szCs w:val="22"/>
        </w:rPr>
        <w:t xml:space="preserve">Thousands of indicator signals, price action events, and NewsSentiment API data are consolidated into a structured analytical prompt engineered for executive-level output quality.</w:t>
      </w:r>
    </w:p>
    <w:p>
      <w:pPr>
        <w:pStyle w:val="ListParagraph"/>
        <w:numPr>
          <w:ilvl w:val="0"/>
          <w:numId w:val="2"/>
        </w:numPr>
        <w:spacing w:after="60" w:before="60"/>
      </w:pPr>
      <w:r>
        <w:rPr>
          <w:rFonts w:ascii="Arial" w:cs="Arial" w:eastAsia="Arial" w:hAnsi="Arial"/>
          <w:color w:val="3A3A3A"/>
          <w:sz w:val="22"/>
          <w:szCs w:val="22"/>
        </w:rPr>
        <w:t xml:space="preserve">The model outputs a 3-paragraph 'Wall Street' intelligence brief summarizing fundamental shifts, technical confluence patterns, and near-term risk/reward profile.</w:t>
      </w:r>
    </w:p>
    <w:p>
      <w:pPr>
        <w:pStyle w:val="ListParagraph"/>
        <w:numPr>
          <w:ilvl w:val="0"/>
          <w:numId w:val="2"/>
        </w:numPr>
        <w:spacing w:after="60" w:before="60"/>
      </w:pPr>
      <w:r>
        <w:rPr>
          <w:rFonts w:ascii="Arial" w:cs="Arial" w:eastAsia="Arial" w:hAnsi="Arial"/>
          <w:color w:val="3A3A3A"/>
          <w:sz w:val="22"/>
          <w:szCs w:val="22"/>
        </w:rPr>
        <w:t xml:space="preserve">Reports are streamed in real-time to the dashboard, updating as new data is processed.</w:t>
      </w:r>
    </w:p>
    <w:p>
      <w:pPr>
        <w:spacing w:after="0" w:before="160"/>
      </w:pPr>
      <w:r>
        <w:t xml:space="preserve"/>
      </w:r>
    </w:p>
    <w:p>
      <w:pPr>
        <w:pStyle w:val="Heading1"/>
        <w:pBdr>
          <w:bottom w:val="single" w:color="2E8B57" w:sz="8" w:space="4"/>
        </w:pBdr>
        <w:spacing w:after="120" w:before="360"/>
      </w:pPr>
      <w:r>
        <w:rPr>
          <w:rFonts w:ascii="Arial" w:cs="Arial" w:eastAsia="Arial" w:hAnsi="Arial"/>
          <w:b/>
          <w:bCs/>
          <w:color w:val="1A5C38"/>
          <w:sz w:val="28"/>
          <w:szCs w:val="28"/>
        </w:rPr>
        <w:t xml:space="preserve">5. Technology Stack</w:t>
      </w:r>
    </w:p>
    <w:p>
      <w:pPr>
        <w:spacing w:after="100" w:before="80" w:line="300"/>
      </w:pPr>
      <w:r>
        <w:rPr>
          <w:rFonts w:ascii="Arial" w:cs="Arial" w:eastAsia="Arial" w:hAnsi="Arial"/>
          <w:b w:val="false"/>
          <w:bCs w:val="false"/>
          <w:color w:val="1A1A1A"/>
          <w:sz w:val="22"/>
          <w:szCs w:val="22"/>
        </w:rPr>
        <w:t xml:space="preserve">The full technology stack is summarized in the table below. Each layer was selected to maximize performance, developer velocity, and production-grade reliability.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DDD1" w:sz="1"/>
              <w:left w:val="single" w:color="C8DDD1" w:sz="1"/>
              <w:bottom w:val="single" w:color="C8DDD1" w:sz="1"/>
              <w:right w:val="single" w:color="C8DDD1" w:sz="1"/>
            </w:tcBorders>
            <w:shd w:fill="1A5C38"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7160"/>
            <w:tcBorders>
              <w:top w:val="single" w:color="C8DDD1" w:sz="1"/>
              <w:left w:val="single" w:color="C8DDD1" w:sz="1"/>
              <w:bottom w:val="single" w:color="C8DDD1" w:sz="1"/>
              <w:right w:val="single" w:color="C8DDD1" w:sz="1"/>
            </w:tcBorders>
            <w:shd w:fill="1A5C38" w:val="clear"/>
            <w:tcMar>
              <w:top w:type="dxa" w:w="100"/>
              <w:left w:type="dxa" w:w="160"/>
              <w:bottom w:type="dxa" w:w="100"/>
              <w:right w:type="dxa" w:w="160"/>
            </w:tcMar>
          </w:tcPr>
          <w:p>
            <w:r>
              <w:rPr>
                <w:rFonts w:ascii="Arial" w:cs="Arial" w:eastAsia="Arial" w:hAnsi="Arial"/>
                <w:b/>
                <w:bCs/>
                <w:color w:val="FFFFFF"/>
                <w:sz w:val="20"/>
                <w:szCs w:val="20"/>
              </w:rPr>
              <w:t xml:space="preserve">Technologies</w:t>
            </w:r>
          </w:p>
        </w:tc>
      </w:tr>
      <w:tr>
        <w:tc>
          <w:tcPr>
            <w:tcW w:type="dxa" w:w="2200"/>
            <w:tcBorders>
              <w:top w:val="single" w:color="C8DDD1" w:sz="1"/>
              <w:left w:val="single" w:color="C8DDD1" w:sz="1"/>
              <w:bottom w:val="single" w:color="C8DDD1" w:sz="1"/>
              <w:right w:val="single" w:color="C8DDD1" w:sz="1"/>
            </w:tcBorders>
            <w:shd w:fill="E8F5EE" w:val="clear"/>
            <w:tcMar>
              <w:top w:type="dxa" w:w="80"/>
              <w:left w:type="dxa" w:w="160"/>
              <w:bottom w:type="dxa" w:w="80"/>
              <w:right w:type="dxa" w:w="160"/>
            </w:tcMar>
          </w:tcPr>
          <w:p>
            <w:r>
              <w:rPr>
                <w:rFonts w:ascii="Arial" w:cs="Arial" w:eastAsia="Arial" w:hAnsi="Arial"/>
                <w:b/>
                <w:bCs/>
                <w:color w:val="1A5C38"/>
                <w:sz w:val="20"/>
                <w:szCs w:val="20"/>
              </w:rPr>
              <w:t xml:space="preserve">Backend</w:t>
            </w:r>
          </w:p>
        </w:tc>
        <w:tc>
          <w:tcPr>
            <w:tcW w:type="dxa" w:w="7160"/>
            <w:tcBorders>
              <w:top w:val="single" w:color="C8DDD1" w:sz="1"/>
              <w:left w:val="single" w:color="C8DDD1" w:sz="1"/>
              <w:bottom w:val="single" w:color="C8DDD1" w:sz="1"/>
              <w:right w:val="single" w:color="C8DDD1" w:sz="1"/>
            </w:tcBorders>
            <w:shd w:fill="E8F5EE" w:val="clear"/>
            <w:tcMar>
              <w:top w:type="dxa" w:w="80"/>
              <w:left w:type="dxa" w:w="160"/>
              <w:bottom w:type="dxa" w:w="80"/>
              <w:right w:type="dxa" w:w="160"/>
            </w:tcMar>
          </w:tcPr>
          <w:p>
            <w:r>
              <w:rPr>
                <w:rFonts w:ascii="Arial" w:cs="Arial" w:eastAsia="Arial" w:hAnsi="Arial"/>
                <w:color w:val="3A3A3A"/>
                <w:sz w:val="20"/>
                <w:szCs w:val="20"/>
              </w:rPr>
              <w:t xml:space="preserve">Python 3.x, FastAPI, Uvicorn, Pandas, NumPy, Scikit-Learn, yfinance</w:t>
            </w:r>
          </w:p>
        </w:tc>
      </w:tr>
      <w:tr>
        <w:tc>
          <w:tcPr>
            <w:tcW w:type="dxa" w:w="2200"/>
            <w:tcBorders>
              <w:top w:val="single" w:color="C8DDD1" w:sz="1"/>
              <w:left w:val="single" w:color="C8DDD1" w:sz="1"/>
              <w:bottom w:val="single" w:color="C8DDD1" w:sz="1"/>
              <w:right w:val="single" w:color="C8DDD1" w:sz="1"/>
            </w:tcBorders>
            <w:shd w:fill="FFFFFF" w:val="clear"/>
            <w:tcMar>
              <w:top w:type="dxa" w:w="80"/>
              <w:left w:type="dxa" w:w="160"/>
              <w:bottom w:type="dxa" w:w="80"/>
              <w:right w:type="dxa" w:w="160"/>
            </w:tcMar>
          </w:tcPr>
          <w:p>
            <w:r>
              <w:rPr>
                <w:rFonts w:ascii="Arial" w:cs="Arial" w:eastAsia="Arial" w:hAnsi="Arial"/>
                <w:b/>
                <w:bCs/>
                <w:color w:val="1A5C38"/>
                <w:sz w:val="20"/>
                <w:szCs w:val="20"/>
              </w:rPr>
              <w:t xml:space="preserve">Frontend</w:t>
            </w:r>
          </w:p>
        </w:tc>
        <w:tc>
          <w:tcPr>
            <w:tcW w:type="dxa" w:w="7160"/>
            <w:tcBorders>
              <w:top w:val="single" w:color="C8DDD1" w:sz="1"/>
              <w:left w:val="single" w:color="C8DDD1" w:sz="1"/>
              <w:bottom w:val="single" w:color="C8DDD1" w:sz="1"/>
              <w:right w:val="single" w:color="C8DDD1" w:sz="1"/>
            </w:tcBorders>
            <w:shd w:fill="FFFFFF" w:val="clear"/>
            <w:tcMar>
              <w:top w:type="dxa" w:w="80"/>
              <w:left w:type="dxa" w:w="160"/>
              <w:bottom w:type="dxa" w:w="80"/>
              <w:right w:type="dxa" w:w="160"/>
            </w:tcMar>
          </w:tcPr>
          <w:p>
            <w:r>
              <w:rPr>
                <w:rFonts w:ascii="Arial" w:cs="Arial" w:eastAsia="Arial" w:hAnsi="Arial"/>
                <w:color w:val="3A3A3A"/>
                <w:sz w:val="20"/>
                <w:szCs w:val="20"/>
              </w:rPr>
              <w:t xml:space="preserve">JavaScript, React (Vite), TailwindCSS v3, Recharts</w:t>
            </w:r>
          </w:p>
        </w:tc>
      </w:tr>
      <w:tr>
        <w:tc>
          <w:tcPr>
            <w:tcW w:type="dxa" w:w="2200"/>
            <w:tcBorders>
              <w:top w:val="single" w:color="C8DDD1" w:sz="1"/>
              <w:left w:val="single" w:color="C8DDD1" w:sz="1"/>
              <w:bottom w:val="single" w:color="C8DDD1" w:sz="1"/>
              <w:right w:val="single" w:color="C8DDD1" w:sz="1"/>
            </w:tcBorders>
            <w:shd w:fill="E8F5EE" w:val="clear"/>
            <w:tcMar>
              <w:top w:type="dxa" w:w="80"/>
              <w:left w:type="dxa" w:w="160"/>
              <w:bottom w:type="dxa" w:w="80"/>
              <w:right w:type="dxa" w:w="160"/>
            </w:tcMar>
          </w:tcPr>
          <w:p>
            <w:r>
              <w:rPr>
                <w:rFonts w:ascii="Arial" w:cs="Arial" w:eastAsia="Arial" w:hAnsi="Arial"/>
                <w:b/>
                <w:bCs/>
                <w:color w:val="1A5C38"/>
                <w:sz w:val="20"/>
                <w:szCs w:val="20"/>
              </w:rPr>
              <w:t xml:space="preserve">AI / ML</w:t>
            </w:r>
          </w:p>
        </w:tc>
        <w:tc>
          <w:tcPr>
            <w:tcW w:type="dxa" w:w="7160"/>
            <w:tcBorders>
              <w:top w:val="single" w:color="C8DDD1" w:sz="1"/>
              <w:left w:val="single" w:color="C8DDD1" w:sz="1"/>
              <w:bottom w:val="single" w:color="C8DDD1" w:sz="1"/>
              <w:right w:val="single" w:color="C8DDD1" w:sz="1"/>
            </w:tcBorders>
            <w:shd w:fill="E8F5EE" w:val="clear"/>
            <w:tcMar>
              <w:top w:type="dxa" w:w="80"/>
              <w:left w:type="dxa" w:w="160"/>
              <w:bottom w:type="dxa" w:w="80"/>
              <w:right w:type="dxa" w:w="160"/>
            </w:tcMar>
          </w:tcPr>
          <w:p>
            <w:r>
              <w:rPr>
                <w:rFonts w:ascii="Arial" w:cs="Arial" w:eastAsia="Arial" w:hAnsi="Arial"/>
                <w:color w:val="3A3A3A"/>
                <w:sz w:val="20"/>
                <w:szCs w:val="20"/>
              </w:rPr>
              <w:t xml:space="preserve">Google Gemini LLM API, Scikit-Learn Random Forest Regressor</w:t>
            </w:r>
          </w:p>
        </w:tc>
      </w:tr>
      <w:tr>
        <w:tc>
          <w:tcPr>
            <w:tcW w:type="dxa" w:w="2200"/>
            <w:tcBorders>
              <w:top w:val="single" w:color="C8DDD1" w:sz="1"/>
              <w:left w:val="single" w:color="C8DDD1" w:sz="1"/>
              <w:bottom w:val="single" w:color="C8DDD1" w:sz="1"/>
              <w:right w:val="single" w:color="C8DDD1" w:sz="1"/>
            </w:tcBorders>
            <w:shd w:fill="FFFFFF" w:val="clear"/>
            <w:tcMar>
              <w:top w:type="dxa" w:w="80"/>
              <w:left w:type="dxa" w:w="160"/>
              <w:bottom w:type="dxa" w:w="80"/>
              <w:right w:type="dxa" w:w="160"/>
            </w:tcMar>
          </w:tcPr>
          <w:p>
            <w:r>
              <w:rPr>
                <w:rFonts w:ascii="Arial" w:cs="Arial" w:eastAsia="Arial" w:hAnsi="Arial"/>
                <w:b/>
                <w:bCs/>
                <w:color w:val="1A5C38"/>
                <w:sz w:val="20"/>
                <w:szCs w:val="20"/>
              </w:rPr>
              <w:t xml:space="preserve">Data</w:t>
            </w:r>
          </w:p>
        </w:tc>
        <w:tc>
          <w:tcPr>
            <w:tcW w:type="dxa" w:w="7160"/>
            <w:tcBorders>
              <w:top w:val="single" w:color="C8DDD1" w:sz="1"/>
              <w:left w:val="single" w:color="C8DDD1" w:sz="1"/>
              <w:bottom w:val="single" w:color="C8DDD1" w:sz="1"/>
              <w:right w:val="single" w:color="C8DDD1" w:sz="1"/>
            </w:tcBorders>
            <w:shd w:fill="FFFFFF" w:val="clear"/>
            <w:tcMar>
              <w:top w:type="dxa" w:w="80"/>
              <w:left w:type="dxa" w:w="160"/>
              <w:bottom w:type="dxa" w:w="80"/>
              <w:right w:type="dxa" w:w="160"/>
            </w:tcMar>
          </w:tcPr>
          <w:p>
            <w:r>
              <w:rPr>
                <w:rFonts w:ascii="Arial" w:cs="Arial" w:eastAsia="Arial" w:hAnsi="Arial"/>
                <w:color w:val="3A3A3A"/>
                <w:sz w:val="20"/>
                <w:szCs w:val="20"/>
              </w:rPr>
              <w:t xml:space="preserve">yfinance (market data), NewsSentiment API (news feed)</w:t>
            </w:r>
          </w:p>
        </w:tc>
      </w:tr>
      <w:tr>
        <w:tc>
          <w:tcPr>
            <w:tcW w:type="dxa" w:w="2200"/>
            <w:tcBorders>
              <w:top w:val="single" w:color="C8DDD1" w:sz="1"/>
              <w:left w:val="single" w:color="C8DDD1" w:sz="1"/>
              <w:bottom w:val="single" w:color="C8DDD1" w:sz="1"/>
              <w:right w:val="single" w:color="C8DDD1" w:sz="1"/>
            </w:tcBorders>
            <w:shd w:fill="E8F5EE" w:val="clear"/>
            <w:tcMar>
              <w:top w:type="dxa" w:w="80"/>
              <w:left w:type="dxa" w:w="160"/>
              <w:bottom w:type="dxa" w:w="80"/>
              <w:right w:type="dxa" w:w="160"/>
            </w:tcMar>
          </w:tcPr>
          <w:p>
            <w:r>
              <w:rPr>
                <w:rFonts w:ascii="Arial" w:cs="Arial" w:eastAsia="Arial" w:hAnsi="Arial"/>
                <w:b/>
                <w:bCs/>
                <w:color w:val="1A5C38"/>
                <w:sz w:val="20"/>
                <w:szCs w:val="20"/>
              </w:rPr>
              <w:t xml:space="preserve">Dev Environment</w:t>
            </w:r>
          </w:p>
        </w:tc>
        <w:tc>
          <w:tcPr>
            <w:tcW w:type="dxa" w:w="7160"/>
            <w:tcBorders>
              <w:top w:val="single" w:color="C8DDD1" w:sz="1"/>
              <w:left w:val="single" w:color="C8DDD1" w:sz="1"/>
              <w:bottom w:val="single" w:color="C8DDD1" w:sz="1"/>
              <w:right w:val="single" w:color="C8DDD1" w:sz="1"/>
            </w:tcBorders>
            <w:shd w:fill="E8F5EE" w:val="clear"/>
            <w:tcMar>
              <w:top w:type="dxa" w:w="80"/>
              <w:left w:type="dxa" w:w="160"/>
              <w:bottom w:type="dxa" w:w="80"/>
              <w:right w:type="dxa" w:w="160"/>
            </w:tcMar>
          </w:tcPr>
          <w:p>
            <w:r>
              <w:rPr>
                <w:rFonts w:ascii="Arial" w:cs="Arial" w:eastAsia="Arial" w:hAnsi="Arial"/>
                <w:color w:val="3A3A3A"/>
                <w:sz w:val="20"/>
                <w:szCs w:val="20"/>
              </w:rPr>
              <w:t xml:space="preserve">Dual localhost — uvicorn :8000 (backend), vite :5173 (frontend)</w:t>
            </w:r>
          </w:p>
        </w:tc>
      </w:tr>
    </w:tbl>
    <w:p>
      <w:pPr>
        <w:spacing w:after="0" w:before="160"/>
      </w:pPr>
      <w:r>
        <w:t xml:space="preserve"/>
      </w:r>
    </w:p>
    <w:p>
      <w:pPr>
        <w:pStyle w:val="Heading1"/>
        <w:pBdr>
          <w:bottom w:val="single" w:color="2E8B57" w:sz="8" w:space="4"/>
        </w:pBdr>
        <w:spacing w:after="120" w:before="360"/>
      </w:pPr>
      <w:r>
        <w:rPr>
          <w:rFonts w:ascii="Arial" w:cs="Arial" w:eastAsia="Arial" w:hAnsi="Arial"/>
          <w:b/>
          <w:bCs/>
          <w:color w:val="1A5C38"/>
          <w:sz w:val="28"/>
          <w:szCs w:val="28"/>
        </w:rPr>
        <w:t xml:space="preserve">6. Implementation and Execution</w:t>
      </w:r>
    </w:p>
    <w:p>
      <w:pPr>
        <w:spacing w:after="100" w:before="80" w:line="300"/>
      </w:pPr>
      <w:r>
        <w:rPr>
          <w:rFonts w:ascii="Arial" w:cs="Arial" w:eastAsia="Arial" w:hAnsi="Arial"/>
          <w:b w:val="false"/>
          <w:bCs w:val="false"/>
          <w:color w:val="1A1A1A"/>
          <w:sz w:val="22"/>
          <w:szCs w:val="22"/>
        </w:rPr>
        <w:t xml:space="preserve">Due to the decoupled architecture, the environment runs as two concurrent processes connected via localhost routing:</w:t>
      </w:r>
    </w:p>
    <w:p>
      <w:pPr>
        <w:spacing w:after="0" w:before="8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Backend (Port 8000): </w:t>
      </w:r>
      <w:r>
        <w:rPr>
          <w:rFonts w:ascii="Arial" w:cs="Arial" w:eastAsia="Arial" w:hAnsi="Arial"/>
          <w:color w:val="3A3A3A"/>
          <w:sz w:val="22"/>
          <w:szCs w:val="22"/>
        </w:rPr>
        <w:t xml:space="preserve">The Python FastAPI backend is initialized via uvicorn and served on port 8000. All computation-heavy tasks — indicator calculation, ML training, and AI inference — execute asynchronously within this process.</w:t>
      </w:r>
    </w:p>
    <w:p>
      <w:pPr>
        <w:pStyle w:val="ListParagraph"/>
        <w:numPr>
          <w:ilvl w:val="0"/>
          <w:numId w:val="2"/>
        </w:numPr>
        <w:spacing w:after="60" w:before="60"/>
      </w:pPr>
      <w:r>
        <w:rPr>
          <w:rFonts w:ascii="Arial" w:cs="Arial" w:eastAsia="Arial" w:hAnsi="Arial"/>
          <w:b/>
          <w:bCs/>
          <w:color w:val="1A1A1A"/>
          <w:sz w:val="22"/>
          <w:szCs w:val="22"/>
        </w:rPr>
        <w:t xml:space="preserve">Frontend (Port 5173): </w:t>
      </w:r>
      <w:r>
        <w:rPr>
          <w:rFonts w:ascii="Arial" w:cs="Arial" w:eastAsia="Arial" w:hAnsi="Arial"/>
          <w:color w:val="3A3A3A"/>
          <w:sz w:val="22"/>
          <w:szCs w:val="22"/>
        </w:rPr>
        <w:t xml:space="preserve">The React application is built and hot-reloaded via Vite's development server, launching on port 5173. The frontend renders UI state updates in real-time as async API responses are received from the backend.</w:t>
      </w:r>
    </w:p>
    <w:p>
      <w:pPr>
        <w:spacing w:after="0" w:before="80"/>
      </w:pPr>
      <w:r>
        <w:t xml:space="preserve"/>
      </w:r>
    </w:p>
    <w:p>
      <w:pPr>
        <w:spacing w:after="100" w:before="80" w:line="300"/>
      </w:pPr>
      <w:r>
        <w:rPr>
          <w:rFonts w:ascii="Arial" w:cs="Arial" w:eastAsia="Arial" w:hAnsi="Arial"/>
          <w:b w:val="false"/>
          <w:bCs w:val="false"/>
          <w:color w:val="1A1A1A"/>
          <w:sz w:val="22"/>
          <w:szCs w:val="22"/>
        </w:rPr>
        <w:t xml:space="preserve">The frontend makes fully asynchronous HTTP requests into the FastAPI endpoints. This non-blocking architecture allows ML model training (which may take several seconds for large tickers) to complete without freezing the interface — keeping the dashboard fully interactive at all times.</w:t>
      </w:r>
    </w:p>
    <w:p>
      <w:pPr>
        <w:spacing w:after="0" w:before="160"/>
      </w:pPr>
      <w:r>
        <w:t xml:space="preserve"/>
      </w:r>
    </w:p>
    <w:p>
      <w:pPr>
        <w:pStyle w:val="Heading1"/>
        <w:pBdr>
          <w:bottom w:val="single" w:color="2E8B57" w:sz="8" w:space="4"/>
        </w:pBdr>
        <w:spacing w:after="120" w:before="360"/>
      </w:pPr>
      <w:r>
        <w:rPr>
          <w:rFonts w:ascii="Arial" w:cs="Arial" w:eastAsia="Arial" w:hAnsi="Arial"/>
          <w:b/>
          <w:bCs/>
          <w:color w:val="1A5C38"/>
          <w:sz w:val="28"/>
          <w:szCs w:val="28"/>
        </w:rPr>
        <w:t xml:space="preserve">7. Conclusion</w:t>
      </w:r>
    </w:p>
    <w:p>
      <w:pPr>
        <w:spacing w:after="100" w:before="80" w:line="300"/>
      </w:pPr>
      <w:r>
        <w:rPr>
          <w:rFonts w:ascii="Arial" w:cs="Arial" w:eastAsia="Arial" w:hAnsi="Arial"/>
          <w:b w:val="false"/>
          <w:bCs w:val="false"/>
          <w:color w:val="1A1A1A"/>
          <w:sz w:val="22"/>
          <w:szCs w:val="22"/>
        </w:rPr>
        <w:t xml:space="preserve">The Quant Edge Terminal successfully demonstrates the cohesive blending of three distinct disciplines: full-stack web development, traditional algorithmic technical analysis, and modern artificial intelligence. The project validates that computationally intensive operations — including Random Forest model training executed dynamically against live market data — can be cleanly abstracted through asynchronous API routes to power a highly reactive, professional-grade interface.</w:t>
      </w:r>
    </w:p>
    <w:p>
      <w:pPr>
        <w:spacing w:after="0" w:before="80"/>
      </w:pPr>
      <w:r>
        <w:t xml:space="preserve"/>
      </w:r>
    </w:p>
    <w:p>
      <w:pPr>
        <w:spacing w:after="100" w:before="80" w:line="300"/>
      </w:pPr>
      <w:r>
        <w:rPr>
          <w:rFonts w:ascii="Arial" w:cs="Arial" w:eastAsia="Arial" w:hAnsi="Arial"/>
          <w:b w:val="false"/>
          <w:bCs w:val="false"/>
          <w:color w:val="1A1A1A"/>
          <w:sz w:val="22"/>
          <w:szCs w:val="22"/>
        </w:rPr>
        <w:t xml:space="preserve">The architecture establishes a scalable blueprint for production deployment: the AI Engine can be containerized and scaled independently of the frontend dashboard, enabling future enhancements such as multi-ticker parallel analysis, persistent model caching, and integration with broker execution APIs.</w:t>
      </w:r>
    </w:p>
    <w:p>
      <w:pPr>
        <w:spacing w:after="0" w:before="200"/>
      </w:pPr>
      <w:r>
        <w:t xml:space="preserve"/>
      </w:r>
    </w:p>
    <w:p>
      <w:pPr>
        <w:pBdr>
          <w:top w:val="single" w:color="1A5C38" w:sz="8" w:space="6"/>
        </w:pBdr>
        <w:spacing w:after="80" w:before="200"/>
      </w:pPr>
      <w:r>
        <w:rPr>
          <w:rFonts w:ascii="Arial" w:cs="Arial" w:eastAsia="Arial" w:hAnsi="Arial"/>
          <w:b/>
          <w:bCs/>
          <w:color w:val="1A5C38"/>
          <w:sz w:val="22"/>
          <w:szCs w:val="22"/>
        </w:rPr>
        <w:t xml:space="preserve">8. Disclaimer</w:t>
      </w:r>
    </w:p>
    <w:p>
      <w:pPr>
        <w:spacing w:after="160" w:before="60"/>
      </w:pPr>
      <w:r>
        <w:rPr>
          <w:rFonts w:ascii="Arial" w:cs="Arial" w:eastAsia="Arial" w:hAnsi="Arial"/>
          <w:color w:val="666666"/>
          <w:sz w:val="20"/>
          <w:szCs w:val="20"/>
        </w:rPr>
        <w:t xml:space="preserve">This software is built for educational and theoretical demonstration purposes only. It does NOT constitute professional financial advice, investment recommendations, or trading signals. All data, analysis, and projections produced by this system are for illustrative and research purposes exclusively. Past performance and model projections are not indicative of future results. Always perform independent due diligence and consult a qualified financial professional before engaging in capital markets.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C38" w:sz="6" w:space="4"/>
      </w:pBdr>
      <w:tabs>
        <w:tab w:val="right" w:pos="9026"/>
      </w:tabs>
      <w:spacing w:after="0" w:before="160"/>
    </w:pPr>
    <w:r>
      <w:rPr>
        <w:rFonts w:ascii="Arial" w:cs="Arial" w:eastAsia="Arial" w:hAnsi="Arial"/>
        <w:color w:val="666666"/>
        <w:sz w:val="18"/>
        <w:szCs w:val="18"/>
      </w:rPr>
      <w:t xml:space="preserve">Confidential — Educational Use Only</w:t>
    </w:r>
    <w:r>
      <w:rPr>
        <w:rFonts w:ascii="Arial" w:cs="Arial" w:eastAsia="Arial" w:hAnsi="Arial"/>
        <w:color w:val="666666"/>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38" w:sz="6" w:space="4"/>
      </w:pBdr>
      <w:tabs>
        <w:tab w:val="right" w:pos="9026"/>
      </w:tabs>
      <w:spacing w:after="160" w:before="0"/>
    </w:pPr>
    <w:r>
      <w:rPr>
        <w:rFonts w:ascii="Arial" w:cs="Arial" w:eastAsia="Arial" w:hAnsi="Arial"/>
        <w:b/>
        <w:bCs/>
        <w:caps/>
        <w:color w:val="1A5C38"/>
        <w:sz w:val="18"/>
        <w:szCs w:val="18"/>
      </w:rPr>
      <w:t xml:space="preserve">QUANT EDGE TERMINAL</w:t>
    </w:r>
    <w:r>
      <w:rPr>
        <w:rFonts w:ascii="Arial" w:cs="Arial" w:eastAsia="Arial" w:hAnsi="Arial"/>
        <w:color w:val="666666"/>
        <w:sz w:val="18"/>
        <w:szCs w:val="18"/>
      </w:rPr>
      <w:t xml:space="preserve">	NSE Precision Engine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C38"/>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A5C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2026-04-09T18:35:28.648Z</dcterms:created>
  <dcterms:modified xsi:type="dcterms:W3CDTF">2026-04-09T18:35:28.649Z</dcterms:modified>
</cp:coreProperties>
</file>

<file path=docProps/custom.xml><?xml version="1.0" encoding="utf-8"?>
<Properties xmlns="http://schemas.openxmlformats.org/officeDocument/2006/custom-properties" xmlns:vt="http://schemas.openxmlformats.org/officeDocument/2006/docPropsVTypes"/>
</file>