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52E9E" w14:textId="77777777" w:rsidR="00EA7C9E" w:rsidRDefault="0068040D">
      <w:pPr>
        <w:pStyle w:val="Title"/>
        <w:spacing w:after="200"/>
      </w:pPr>
      <w:r>
        <w:rPr>
          <w:rFonts w:ascii="Calibri" w:eastAsia="Calibri" w:hAnsi="Calibri" w:cs="Calibri"/>
          <w:color w:val="17365D"/>
          <w:sz w:val="40"/>
          <w:szCs w:val="40"/>
        </w:rPr>
        <w:t>GSAI Physical Assets Data</w:t>
      </w:r>
    </w:p>
    <w:p w14:paraId="2BEA33F3" w14:textId="77777777" w:rsidR="00EA7C9E" w:rsidRDefault="0068040D">
      <w:pPr>
        <w:spacing w:after="160"/>
      </w:pPr>
      <w:r>
        <w:rPr>
          <w:rFonts w:ascii="Arial" w:eastAsia="Arial" w:hAnsi="Arial" w:cs="Arial"/>
          <w:i/>
          <w:iCs/>
          <w:sz w:val="22"/>
          <w:szCs w:val="22"/>
        </w:rPr>
        <w:t>Methodology Framework</w:t>
      </w:r>
    </w:p>
    <w:p w14:paraId="52D7AEDE" w14:textId="77777777" w:rsidR="00EA7C9E" w:rsidRDefault="0068040D">
      <w:pPr>
        <w:spacing w:before="200" w:after="240"/>
      </w:pPr>
      <w:r>
        <w:rPr>
          <w:rFonts w:ascii="Calibri" w:eastAsia="Calibri" w:hAnsi="Calibri" w:cs="Calibri"/>
          <w:b/>
          <w:bCs/>
          <w:color w:val="365F91"/>
          <w:sz w:val="30"/>
          <w:szCs w:val="30"/>
        </w:rPr>
        <w:t>Module 3 — Asset Location Collection Methodology</w:t>
      </w:r>
    </w:p>
    <w:tbl>
      <w:tblPr>
        <w:tblW w:w="93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1000"/>
        <w:gridCol w:w="2600"/>
        <w:gridCol w:w="1300"/>
        <w:gridCol w:w="2950"/>
      </w:tblGrid>
      <w:tr w:rsidR="00EA7C9E" w14:paraId="333BB957" w14:textId="77777777" w:rsidTr="18CA0F2E">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75C6054" w14:textId="77777777" w:rsidR="00EA7C9E" w:rsidRDefault="0068040D">
            <w:r>
              <w:rPr>
                <w:rFonts w:ascii="Arial" w:eastAsia="Arial" w:hAnsi="Arial" w:cs="Arial"/>
                <w:b/>
                <w:bCs/>
                <w:color w:val="FFFFFF"/>
                <w:sz w:val="17"/>
                <w:szCs w:val="17"/>
              </w:rPr>
              <w:t>Date</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DE83CA5" w14:textId="77777777" w:rsidR="00EA7C9E" w:rsidRDefault="0068040D">
            <w:r>
              <w:rPr>
                <w:rFonts w:ascii="Arial" w:eastAsia="Arial" w:hAnsi="Arial" w:cs="Arial"/>
                <w:b/>
                <w:bCs/>
                <w:color w:val="FFFFFF"/>
                <w:sz w:val="17"/>
                <w:szCs w:val="17"/>
              </w:rPr>
              <w:t>Version</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16B86BF" w14:textId="77777777" w:rsidR="00EA7C9E" w:rsidRDefault="0068040D">
            <w:r>
              <w:rPr>
                <w:rFonts w:ascii="Arial" w:eastAsia="Arial" w:hAnsi="Arial" w:cs="Arial"/>
                <w:b/>
                <w:bCs/>
                <w:color w:val="FFFFFF"/>
                <w:sz w:val="17"/>
                <w:szCs w:val="17"/>
              </w:rPr>
              <w:t>Author</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51D0A28" w14:textId="77777777" w:rsidR="00EA7C9E" w:rsidRDefault="0068040D">
            <w:r>
              <w:rPr>
                <w:rFonts w:ascii="Arial" w:eastAsia="Arial" w:hAnsi="Arial" w:cs="Arial"/>
                <w:b/>
                <w:bCs/>
                <w:color w:val="FFFFFF"/>
                <w:sz w:val="17"/>
                <w:szCs w:val="17"/>
              </w:rPr>
              <w:t>Reviewer</w:t>
            </w:r>
          </w:p>
        </w:tc>
        <w:tc>
          <w:tcPr>
            <w:tcW w:w="29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61B5FED" w14:textId="77777777" w:rsidR="00EA7C9E" w:rsidRDefault="0068040D">
            <w:r>
              <w:rPr>
                <w:rFonts w:ascii="Arial" w:eastAsia="Arial" w:hAnsi="Arial" w:cs="Arial"/>
                <w:b/>
                <w:bCs/>
                <w:color w:val="FFFFFF"/>
                <w:sz w:val="17"/>
                <w:szCs w:val="17"/>
              </w:rPr>
              <w:t>Revision Details</w:t>
            </w:r>
          </w:p>
        </w:tc>
      </w:tr>
      <w:tr w:rsidR="00EA7C9E" w14:paraId="57C84E17" w14:textId="77777777" w:rsidTr="18CA0F2E">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541FD36" w14:textId="77777777" w:rsidR="00EA7C9E" w:rsidRDefault="0068040D">
            <w:r>
              <w:rPr>
                <w:rFonts w:ascii="Arial" w:eastAsia="Arial" w:hAnsi="Arial" w:cs="Arial"/>
                <w:color w:val="000000"/>
                <w:sz w:val="17"/>
                <w:szCs w:val="17"/>
              </w:rPr>
              <w:t>June 2026</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F9BBE19" w14:textId="77777777" w:rsidR="00EA7C9E" w:rsidRDefault="0068040D">
            <w:r>
              <w:rPr>
                <w:rFonts w:ascii="Arial" w:eastAsia="Arial" w:hAnsi="Arial" w:cs="Arial"/>
                <w:color w:val="000000"/>
                <w:sz w:val="17"/>
                <w:szCs w:val="17"/>
              </w:rPr>
              <w:t>1.0</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4D88D20" w14:textId="77777777" w:rsidR="00EA7C9E" w:rsidRDefault="0068040D">
            <w:r>
              <w:rPr>
                <w:rFonts w:ascii="Arial" w:eastAsia="Arial" w:hAnsi="Arial" w:cs="Arial"/>
                <w:color w:val="000000"/>
                <w:sz w:val="17"/>
                <w:szCs w:val="17"/>
              </w:rPr>
              <w:t>Sheinna Claro and Bianca Villarosa</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2AAE41E" w14:textId="77777777" w:rsidR="00EA7C9E" w:rsidRDefault="00EA7C9E"/>
        </w:tc>
        <w:tc>
          <w:tcPr>
            <w:tcW w:w="2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0FE5324" w14:textId="77777777" w:rsidR="00EA7C9E" w:rsidRDefault="0068040D">
            <w:r>
              <w:rPr>
                <w:rFonts w:ascii="Arial" w:eastAsia="Arial" w:hAnsi="Arial" w:cs="Arial"/>
                <w:color w:val="000000"/>
                <w:sz w:val="17"/>
                <w:szCs w:val="17"/>
              </w:rPr>
              <w:t>Initial draft</w:t>
            </w:r>
          </w:p>
        </w:tc>
      </w:tr>
      <w:tr w:rsidR="00EA7C9E" w14:paraId="64843B13" w14:textId="77777777" w:rsidTr="18CA0F2E">
        <w:tc>
          <w:tcPr>
            <w:tcW w:w="15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3A68A32B" w14:textId="77777777" w:rsidR="00EA7C9E" w:rsidRDefault="0068040D">
            <w:r>
              <w:rPr>
                <w:rFonts w:ascii="Arial" w:eastAsia="Arial" w:hAnsi="Arial" w:cs="Arial"/>
                <w:color w:val="000000"/>
                <w:sz w:val="17"/>
                <w:szCs w:val="17"/>
              </w:rPr>
              <w:t>June 2026</w:t>
            </w:r>
          </w:p>
        </w:tc>
        <w:tc>
          <w:tcPr>
            <w:tcW w:w="10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5B488827" w14:textId="77777777" w:rsidR="00EA7C9E" w:rsidRDefault="0068040D">
            <w:r>
              <w:rPr>
                <w:rFonts w:ascii="Arial" w:eastAsia="Arial" w:hAnsi="Arial" w:cs="Arial"/>
                <w:color w:val="000000"/>
                <w:sz w:val="17"/>
                <w:szCs w:val="17"/>
              </w:rPr>
              <w:t>1.1</w:t>
            </w:r>
          </w:p>
        </w:tc>
        <w:tc>
          <w:tcPr>
            <w:tcW w:w="26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089C30B7" w14:textId="77777777" w:rsidR="00EA7C9E" w:rsidRDefault="0068040D">
            <w:r>
              <w:rPr>
                <w:rFonts w:ascii="Arial" w:eastAsia="Arial" w:hAnsi="Arial" w:cs="Arial"/>
                <w:color w:val="000000"/>
                <w:sz w:val="17"/>
                <w:szCs w:val="17"/>
              </w:rPr>
              <w:t>Sheinna Claro and Bianca Villarosa</w:t>
            </w:r>
          </w:p>
        </w:tc>
        <w:tc>
          <w:tcPr>
            <w:tcW w:w="13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6B058936" w14:textId="77777777" w:rsidR="00EA7C9E" w:rsidRDefault="00EA7C9E"/>
        </w:tc>
        <w:tc>
          <w:tcPr>
            <w:tcW w:w="295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4E6DC751" w14:textId="77777777" w:rsidR="00EA7C9E" w:rsidRDefault="0068040D">
            <w:r>
              <w:rPr>
                <w:rFonts w:ascii="Arial" w:eastAsia="Arial" w:hAnsi="Arial" w:cs="Arial"/>
                <w:color w:val="000000"/>
                <w:sz w:val="17"/>
                <w:szCs w:val="17"/>
              </w:rPr>
              <w:t>Initial draft edits</w:t>
            </w:r>
          </w:p>
        </w:tc>
      </w:tr>
      <w:tr w:rsidR="00EA7C9E" w14:paraId="14853BB4" w14:textId="77777777" w:rsidTr="18CA0F2E">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FDB4123" w14:textId="77777777" w:rsidR="00EA7C9E" w:rsidRDefault="0068040D">
            <w:r>
              <w:rPr>
                <w:rFonts w:ascii="Arial" w:eastAsia="Arial" w:hAnsi="Arial" w:cs="Arial"/>
                <w:color w:val="000000"/>
                <w:sz w:val="17"/>
                <w:szCs w:val="17"/>
              </w:rPr>
              <w:t>July 2026</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95EB182" w14:textId="77777777" w:rsidR="00EA7C9E" w:rsidRDefault="0068040D">
            <w:r>
              <w:rPr>
                <w:rFonts w:ascii="Arial" w:eastAsia="Arial" w:hAnsi="Arial" w:cs="Arial"/>
                <w:color w:val="000000"/>
                <w:sz w:val="17"/>
                <w:szCs w:val="17"/>
              </w:rPr>
              <w:t>2.0</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0CCA13E" w14:textId="77777777" w:rsidR="00EA7C9E" w:rsidRDefault="0068040D">
            <w:r>
              <w:rPr>
                <w:rFonts w:ascii="Arial" w:eastAsia="Arial" w:hAnsi="Arial" w:cs="Arial"/>
                <w:color w:val="000000"/>
                <w:sz w:val="17"/>
                <w:szCs w:val="17"/>
              </w:rPr>
              <w:t>Sheinna Claro and Bianca Villarosa</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5529945" w14:textId="77777777" w:rsidR="00EA7C9E" w:rsidRDefault="00EA7C9E"/>
        </w:tc>
        <w:tc>
          <w:tcPr>
            <w:tcW w:w="2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CCECC6D" w14:textId="77777777" w:rsidR="00EA7C9E" w:rsidRDefault="0068040D">
            <w:r>
              <w:rPr>
                <w:rFonts w:ascii="Arial" w:eastAsia="Arial" w:hAnsi="Arial" w:cs="Arial"/>
                <w:color w:val="000000"/>
                <w:sz w:val="17"/>
                <w:szCs w:val="17"/>
              </w:rPr>
              <w:t>Full rewrite of the collection-level routing architecture to the N1–N7 Collection Decision Tree (v5 flowchart/decision table). “Collect Both” retired; the Q0–Q3 / P1Y-P1N / R1–R4 / E0 framework from v1.1 is fully replaced. Multi-child same-URL collision (formerly N7a/O8) confirmed out of scope for M3. Several items initially left open and flagged explicitly (§3.5).</w:t>
            </w:r>
          </w:p>
        </w:tc>
      </w:tr>
      <w:tr w:rsidR="00EA7C9E" w14:paraId="744CC5BF" w14:textId="77777777" w:rsidTr="18CA0F2E">
        <w:tc>
          <w:tcPr>
            <w:tcW w:w="15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56503484" w14:textId="77777777" w:rsidR="00EA7C9E" w:rsidRDefault="0068040D">
            <w:r>
              <w:rPr>
                <w:rFonts w:ascii="Arial" w:eastAsia="Arial" w:hAnsi="Arial" w:cs="Arial"/>
                <w:color w:val="000000"/>
                <w:sz w:val="17"/>
                <w:szCs w:val="17"/>
              </w:rPr>
              <w:t>July 2026</w:t>
            </w:r>
          </w:p>
        </w:tc>
        <w:tc>
          <w:tcPr>
            <w:tcW w:w="10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5DFB9AC5" w14:textId="77777777" w:rsidR="00EA7C9E" w:rsidRDefault="0068040D">
            <w:r>
              <w:rPr>
                <w:rFonts w:ascii="Arial" w:eastAsia="Arial" w:hAnsi="Arial" w:cs="Arial"/>
                <w:color w:val="000000"/>
                <w:sz w:val="17"/>
                <w:szCs w:val="17"/>
              </w:rPr>
              <w:t>2.1</w:t>
            </w:r>
          </w:p>
        </w:tc>
        <w:tc>
          <w:tcPr>
            <w:tcW w:w="26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186D6A36" w14:textId="77777777" w:rsidR="00EA7C9E" w:rsidRDefault="0068040D">
            <w:r>
              <w:rPr>
                <w:rFonts w:ascii="Arial" w:eastAsia="Arial" w:hAnsi="Arial" w:cs="Arial"/>
                <w:color w:val="000000"/>
                <w:sz w:val="17"/>
                <w:szCs w:val="17"/>
              </w:rPr>
              <w:t>Sheinna Claro and Bianca Villarosa</w:t>
            </w:r>
          </w:p>
        </w:tc>
        <w:tc>
          <w:tcPr>
            <w:tcW w:w="13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389049A6" w14:textId="77777777" w:rsidR="00EA7C9E" w:rsidRDefault="00EA7C9E"/>
        </w:tc>
        <w:tc>
          <w:tcPr>
            <w:tcW w:w="295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12662958" w14:textId="77777777" w:rsidR="00EA7C9E" w:rsidRDefault="18CA0F2E">
            <w:r w:rsidRPr="18CA0F2E">
              <w:rPr>
                <w:rFonts w:ascii="Arial" w:eastAsia="Arial" w:hAnsi="Arial" w:cs="Arial"/>
                <w:color w:val="000000"/>
                <w:sz w:val="17"/>
                <w:szCs w:val="17"/>
              </w:rPr>
              <w:t>Reconciled against a separately-tracked v2.2 draft. Confirmed and closed three of the four §3.5 open items: (1) RULE N3's O2 fallback now has a fully specified failure path; (2) the Child Scope Gate (child-level Fin Co/SPV/IHC skip) is added as confirmed, operative logic; (3) rated-child status (child_univ_source) is confirmed NOT to be a routing factor — a rated child with a non-matching hostname is skipped exactly like any other child, with no override or enrichment. The prior draft's alternate N7 design (collect every child regardless of domain match, skip only on shared-URL ties, with a rated-child loop-back) was considered and explicitly NOT adopted — domain-mismatch → Skip is retained by deliberate methodology-owner decision, to avoid overwhelming analyst review with additional subsidiary collection. Multi-child same-URL collision remains out of scope (unchanged).</w:t>
            </w:r>
          </w:p>
        </w:tc>
      </w:tr>
      <w:tr w:rsidR="00EA7C9E" w14:paraId="23BFE48F" w14:textId="77777777" w:rsidTr="18CA0F2E">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04B13BE" w14:textId="77777777" w:rsidR="00EA7C9E" w:rsidRDefault="0068040D">
            <w:r>
              <w:rPr>
                <w:rFonts w:ascii="Arial" w:eastAsia="Arial" w:hAnsi="Arial" w:cs="Arial"/>
                <w:color w:val="000000"/>
                <w:sz w:val="17"/>
                <w:szCs w:val="17"/>
              </w:rPr>
              <w:t>July 2026</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B413478" w14:textId="77777777" w:rsidR="00EA7C9E" w:rsidRDefault="0068040D">
            <w:r>
              <w:rPr>
                <w:rFonts w:ascii="Arial" w:eastAsia="Arial" w:hAnsi="Arial" w:cs="Arial"/>
                <w:color w:val="000000"/>
                <w:sz w:val="17"/>
                <w:szCs w:val="17"/>
              </w:rPr>
              <w:t>2.2</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F86AE45" w14:textId="77777777" w:rsidR="00EA7C9E" w:rsidRDefault="0068040D">
            <w:r>
              <w:rPr>
                <w:rFonts w:ascii="Arial" w:eastAsia="Arial" w:hAnsi="Arial" w:cs="Arial"/>
                <w:color w:val="000000"/>
                <w:sz w:val="17"/>
                <w:szCs w:val="17"/>
              </w:rPr>
              <w:t>Sheinna Claro and Bianca Villarosa</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CD85C44" w14:textId="77777777" w:rsidR="00EA7C9E" w:rsidRDefault="00EA7C9E"/>
        </w:tc>
        <w:tc>
          <w:tcPr>
            <w:tcW w:w="2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3587651" w14:textId="77777777" w:rsidR="00EA7C9E" w:rsidRDefault="18CA0F2E">
            <w:r w:rsidRPr="18CA0F2E">
              <w:rPr>
                <w:rFonts w:ascii="Arial" w:eastAsia="Arial" w:hAnsi="Arial" w:cs="Arial"/>
                <w:color w:val="000000"/>
                <w:sz w:val="17"/>
                <w:szCs w:val="17"/>
              </w:rPr>
              <w:t xml:space="preserve">Full internal QA pass. Fixed a document-generation defect that had silently dropped body text from five call-out/table elements (§6.1 Core Collection Principle, §8 Agent Instructions, §5.2 page_type row including Ken's open comment, and all three §3.5 confirmation boxes) — all now render correctly. Reconciled stale cross-references left over from the 2.1 edit that still pointed at superseded Candidate C1/C3 language (§2.2, §3.3, §7.3, §10.1, </w:t>
            </w:r>
            <w:r w:rsidRPr="18CA0F2E">
              <w:rPr>
                <w:rFonts w:ascii="Arial" w:eastAsia="Arial" w:hAnsi="Arial" w:cs="Arial"/>
                <w:color w:val="000000"/>
                <w:sz w:val="17"/>
                <w:szCs w:val="17"/>
              </w:rPr>
              <w:lastRenderedPageBreak/>
              <w:t>§10.2, §11.4). Resolved an inconsistency in the Child Scope Gate: confirmed it is deliberately narrower than N2 — an Other Corporate child is let through to N5, unlike an Other Corporate Input Issuer at N2. Added a distinct relationship_type value (skip_child_nonoperating) for Child Scope Gate skips, and updated RULE N4 / the Application Procedure to reference the Child Scope Gate step explicitly.</w:t>
            </w:r>
          </w:p>
        </w:tc>
      </w:tr>
      <w:tr w:rsidR="00EA7C9E" w14:paraId="0C7E07F3" w14:textId="77777777" w:rsidTr="18CA0F2E">
        <w:tc>
          <w:tcPr>
            <w:tcW w:w="15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13B0016B" w14:textId="77777777" w:rsidR="00EA7C9E" w:rsidRDefault="0068040D">
            <w:r>
              <w:rPr>
                <w:rFonts w:ascii="Arial" w:eastAsia="Arial" w:hAnsi="Arial" w:cs="Arial"/>
                <w:color w:val="000000"/>
                <w:sz w:val="17"/>
                <w:szCs w:val="17"/>
              </w:rPr>
              <w:lastRenderedPageBreak/>
              <w:t>July 2026</w:t>
            </w:r>
          </w:p>
        </w:tc>
        <w:tc>
          <w:tcPr>
            <w:tcW w:w="10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62331393" w14:textId="77777777" w:rsidR="00EA7C9E" w:rsidRDefault="0068040D">
            <w:r>
              <w:rPr>
                <w:rFonts w:ascii="Arial" w:eastAsia="Arial" w:hAnsi="Arial" w:cs="Arial"/>
                <w:color w:val="000000"/>
                <w:sz w:val="17"/>
                <w:szCs w:val="17"/>
              </w:rPr>
              <w:t>2.3</w:t>
            </w:r>
          </w:p>
        </w:tc>
        <w:tc>
          <w:tcPr>
            <w:tcW w:w="26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5C82E6F6" w14:textId="77777777" w:rsidR="00EA7C9E" w:rsidRDefault="0068040D">
            <w:r>
              <w:rPr>
                <w:rFonts w:ascii="Arial" w:eastAsia="Arial" w:hAnsi="Arial" w:cs="Arial"/>
                <w:color w:val="000000"/>
                <w:sz w:val="17"/>
                <w:szCs w:val="17"/>
              </w:rPr>
              <w:t>Sheinna Claro and Bianca Villarosa</w:t>
            </w:r>
          </w:p>
        </w:tc>
        <w:tc>
          <w:tcPr>
            <w:tcW w:w="13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24E34F2C" w14:textId="77777777" w:rsidR="00EA7C9E" w:rsidRDefault="00EA7C9E"/>
        </w:tc>
        <w:tc>
          <w:tcPr>
            <w:tcW w:w="295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3F6122BA" w14:textId="77777777" w:rsidR="00EA7C9E" w:rsidRDefault="18CA0F2E">
            <w:r w:rsidRPr="18CA0F2E">
              <w:rPr>
                <w:rFonts w:ascii="Arial" w:eastAsia="Arial" w:hAnsi="Arial" w:cs="Arial"/>
                <w:color w:val="000000"/>
                <w:sz w:val="17"/>
                <w:szCs w:val="17"/>
              </w:rPr>
              <w:t>Reversed the 2.0 decision to exclude multi-child, same-URL collisions as out of scope. Per methodology-owner review of the updated Decision Table, N7a and O8 are reinstated as confirmed, operative nodes: when 2+ children at the same hierarchy level share the exact same URL with no way to disambiguate ownership, the shared URL is now collected separately under EACH child's own Issuer ID (O8) — not the parent, and not the retired ‘Collect Both’ outcome. Updated §3.1–§3.5, the decision-tree diagram, the IHG edge case (§9), the deduplication rule (§7.2), the relationship_type schema (§7.1), and the quick-reference/rule-index/glossary sections (§10–§11) accordingly. The expanded Scotiabank benchmark case (S16, 6 subsidiaries) was reviewed and intentionally NOT incorporated at the methodology owner's direction — the existing §9 edge case (S4, 2 subsidiaries) stands as originally written.</w:t>
            </w:r>
          </w:p>
        </w:tc>
      </w:tr>
      <w:tr w:rsidR="0091796C" w14:paraId="060E65DF" w14:textId="77777777">
        <w:tc>
          <w:tcPr>
            <w:tcW w:w="1500" w:type="dxa"/>
          </w:tcPr>
          <w:p w14:paraId="5A03A89A" w14:textId="77777777" w:rsidR="0091796C" w:rsidRDefault="00EE56CC">
            <w:r>
              <w:rPr>
                <w:rFonts w:ascii="Arial" w:hAnsi="Arial"/>
                <w:sz w:val="17"/>
              </w:rPr>
              <w:t>August 2026</w:t>
            </w:r>
          </w:p>
        </w:tc>
        <w:tc>
          <w:tcPr>
            <w:tcW w:w="1000" w:type="dxa"/>
          </w:tcPr>
          <w:p w14:paraId="5968060B" w14:textId="77777777" w:rsidR="0091796C" w:rsidRDefault="00EE56CC">
            <w:r>
              <w:rPr>
                <w:rFonts w:ascii="Arial" w:hAnsi="Arial"/>
                <w:sz w:val="17"/>
              </w:rPr>
              <w:t>2.4</w:t>
            </w:r>
          </w:p>
        </w:tc>
        <w:tc>
          <w:tcPr>
            <w:tcW w:w="2600" w:type="dxa"/>
          </w:tcPr>
          <w:p w14:paraId="06BCB5A2" w14:textId="77777777" w:rsidR="0091796C" w:rsidRDefault="00EE56CC">
            <w:r>
              <w:rPr>
                <w:rFonts w:ascii="Arial" w:hAnsi="Arial"/>
                <w:sz w:val="17"/>
              </w:rPr>
              <w:t>Sheinna Claro and Bianca Villarosa</w:t>
            </w:r>
          </w:p>
        </w:tc>
        <w:tc>
          <w:tcPr>
            <w:tcW w:w="1300" w:type="dxa"/>
          </w:tcPr>
          <w:p w14:paraId="1090AEF8" w14:textId="77777777" w:rsidR="0091796C" w:rsidRDefault="0091796C"/>
        </w:tc>
        <w:tc>
          <w:tcPr>
            <w:tcW w:w="2950" w:type="dxa"/>
          </w:tcPr>
          <w:p w14:paraId="19950C87" w14:textId="77777777" w:rsidR="0091796C" w:rsidRDefault="00EE56CC">
            <w:r>
              <w:rPr>
                <w:rFonts w:ascii="Arial" w:hAnsi="Arial"/>
                <w:sz w:val="17"/>
              </w:rPr>
              <w:t>Widened RULE N2 to admit Other Corporate alongside Operating Company (Yes → N3), aligning the Input-Issuer-level gate with the Child Scope Gate's existing criterion — the two gates now use identical subtype logic (only Financing Company/SPV/IHC are screened out, at either level). Removed the now-obsolete “narrower than N2” framing from §2.2, §3.2, §3.5, §10.2, §11.3, and the decision-tree diagram. Standardized O3 and O4 wording to “Collect Input Issuer ID at its own URL” per the §3.3 identical-wording note. Reissued Figure 1 and the standalone flowchart/decision-table exports (flowchart_draft_v6.pdf; M3_Flowchart_Decision_Table_and_Live_Diagram_v15.xlsx) to bring them into alignment with this document, including the Child Scope Gate and N7a/O8 nodes that had previously only been confirmed in text.</w:t>
            </w:r>
          </w:p>
        </w:tc>
      </w:tr>
      <w:tr w:rsidR="0091796C" w14:paraId="1611B7C3" w14:textId="77777777">
        <w:tc>
          <w:tcPr>
            <w:tcW w:w="1500" w:type="dxa"/>
          </w:tcPr>
          <w:p w14:paraId="7166D2C8" w14:textId="77777777" w:rsidR="0091796C" w:rsidRDefault="00EE56CC">
            <w:r>
              <w:rPr>
                <w:rFonts w:ascii="Arial" w:hAnsi="Arial"/>
                <w:sz w:val="17"/>
              </w:rPr>
              <w:lastRenderedPageBreak/>
              <w:t>August 2026</w:t>
            </w:r>
          </w:p>
        </w:tc>
        <w:tc>
          <w:tcPr>
            <w:tcW w:w="1000" w:type="dxa"/>
          </w:tcPr>
          <w:p w14:paraId="10B13A65" w14:textId="77777777" w:rsidR="0091796C" w:rsidRDefault="00EE56CC">
            <w:r>
              <w:rPr>
                <w:rFonts w:ascii="Arial" w:hAnsi="Arial"/>
                <w:sz w:val="17"/>
              </w:rPr>
              <w:t>2.5</w:t>
            </w:r>
          </w:p>
        </w:tc>
        <w:tc>
          <w:tcPr>
            <w:tcW w:w="2600" w:type="dxa"/>
          </w:tcPr>
          <w:p w14:paraId="7A19F25B" w14:textId="77777777" w:rsidR="0091796C" w:rsidRDefault="00EE56CC">
            <w:r>
              <w:rPr>
                <w:rFonts w:ascii="Arial" w:hAnsi="Arial"/>
                <w:sz w:val="17"/>
              </w:rPr>
              <w:t>Sheinna Claro and Bianca Villarosa</w:t>
            </w:r>
          </w:p>
        </w:tc>
        <w:tc>
          <w:tcPr>
            <w:tcW w:w="1300" w:type="dxa"/>
          </w:tcPr>
          <w:p w14:paraId="507379B4" w14:textId="77777777" w:rsidR="0091796C" w:rsidRDefault="0091796C"/>
        </w:tc>
        <w:tc>
          <w:tcPr>
            <w:tcW w:w="2950" w:type="dxa"/>
          </w:tcPr>
          <w:p w14:paraId="7910D6EA" w14:textId="77777777" w:rsidR="0091796C" w:rsidRDefault="00EE56CC">
            <w:r>
              <w:rPr>
                <w:rFonts w:ascii="Arial" w:hAnsi="Arial"/>
                <w:sz w:val="17"/>
              </w:rPr>
              <w:t>Reworded N2's question from an explicit subtype list (“Is Input Issuer's MSCI sub-type OpCo or Other Corporate?”) to the generic “Is Input Issuer's MSCI type and subtype in scope for collection?”, with the specific criteria (OpCo/Other Corporate = Yes; Fin Co/SPV/IHC = No) retained as a parenthetical rather than the question stem. No change to underlying routing logic — this is a terminology change only, applied to §1.2, §2.2, §3.1 (Figure 1), §3.2 (RULE N2 title), §10.2, and §11.3. Reissued Figure 1 and the standalone flowchart/decision-table exports (flowchart_draft_v7.pdf; M3_Flowchart_Decision_Table_and_Live_Diagram_v16.xlsx) to match.</w:t>
            </w:r>
          </w:p>
        </w:tc>
      </w:tr>
      <w:tr w:rsidR="0091796C" w14:paraId="0F67B9FD" w14:textId="77777777">
        <w:tc>
          <w:tcPr>
            <w:tcW w:w="1500" w:type="dxa"/>
          </w:tcPr>
          <w:p w14:paraId="40C364EB" w14:textId="77777777" w:rsidR="0091796C" w:rsidRDefault="00EE56CC">
            <w:r>
              <w:rPr>
                <w:rFonts w:ascii="Arial" w:hAnsi="Arial"/>
                <w:sz w:val="17"/>
              </w:rPr>
              <w:t>August 2026</w:t>
            </w:r>
          </w:p>
        </w:tc>
        <w:tc>
          <w:tcPr>
            <w:tcW w:w="1000" w:type="dxa"/>
          </w:tcPr>
          <w:p w14:paraId="2303643D" w14:textId="77777777" w:rsidR="0091796C" w:rsidRDefault="00EE56CC">
            <w:r>
              <w:rPr>
                <w:rFonts w:ascii="Arial" w:hAnsi="Arial"/>
                <w:sz w:val="17"/>
              </w:rPr>
              <w:t>2.6</w:t>
            </w:r>
          </w:p>
        </w:tc>
        <w:tc>
          <w:tcPr>
            <w:tcW w:w="2600" w:type="dxa"/>
          </w:tcPr>
          <w:p w14:paraId="54293BF8" w14:textId="77777777" w:rsidR="0091796C" w:rsidRDefault="00EE56CC">
            <w:r>
              <w:rPr>
                <w:rFonts w:ascii="Arial" w:hAnsi="Arial"/>
                <w:sz w:val="17"/>
              </w:rPr>
              <w:t>Sheinna Claro and Bianca Villarosa</w:t>
            </w:r>
          </w:p>
        </w:tc>
        <w:tc>
          <w:tcPr>
            <w:tcW w:w="1300" w:type="dxa"/>
          </w:tcPr>
          <w:p w14:paraId="4CEE81B1" w14:textId="77777777" w:rsidR="0091796C" w:rsidRDefault="0091796C"/>
        </w:tc>
        <w:tc>
          <w:tcPr>
            <w:tcW w:w="2950" w:type="dxa"/>
          </w:tcPr>
          <w:p w14:paraId="74F25304" w14:textId="77777777" w:rsidR="0091796C" w:rsidRDefault="00EE56CC">
            <w:r>
              <w:rPr>
                <w:rFonts w:ascii="Arial" w:hAnsi="Arial"/>
                <w:sz w:val="17"/>
              </w:rPr>
              <w:t>Removed the “(OpCo / Other Corporate = Yes; Fin Co / SPV / IHC = No)” parenthetical from N2's shorthand appearances (§1.2 already had none; §3.1 Figure 1, §3.2 rule-index shorthand, and §11.3 routing-code glossary) since the scope of in-scope types/subtypes has recently been revised once already (v2.4) and is expected to keep evolving — hardcoding the specific subtype list in every shorthand reference to N2 meant each future scope change had to be propagated to multiple call sites. The specific criteria remain fully stated in the two places that are meant to be authoritative for them: the §2.2 narrative and the RULE N2 body (§3.2). Reissued Figure 1 and the standalone flowchart/decision-table exports (flowchart_draft_v8.pdf; M3_Flowchart_Decision_Table_and_Live_Diagram_v17.xlsx) to match. No change to routing logic.</w:t>
            </w:r>
          </w:p>
        </w:tc>
      </w:tr>
      <w:tr w:rsidR="0091796C" w14:paraId="375B10B8" w14:textId="77777777">
        <w:tc>
          <w:tcPr>
            <w:tcW w:w="1500" w:type="dxa"/>
          </w:tcPr>
          <w:p w14:paraId="1956EA5E" w14:textId="77777777" w:rsidR="0091796C" w:rsidRDefault="00EE56CC">
            <w:r>
              <w:rPr>
                <w:highlight w:val="yellow"/>
              </w:rPr>
              <w:t>August 2026</w:t>
            </w:r>
          </w:p>
        </w:tc>
        <w:tc>
          <w:tcPr>
            <w:tcW w:w="1000" w:type="dxa"/>
          </w:tcPr>
          <w:p w14:paraId="3669C841" w14:textId="77777777" w:rsidR="0091796C" w:rsidRDefault="00EE56CC">
            <w:r>
              <w:rPr>
                <w:highlight w:val="yellow"/>
              </w:rPr>
              <w:t>3.0</w:t>
            </w:r>
          </w:p>
        </w:tc>
        <w:tc>
          <w:tcPr>
            <w:tcW w:w="2600" w:type="dxa"/>
          </w:tcPr>
          <w:p w14:paraId="1334309F" w14:textId="77777777" w:rsidR="0091796C" w:rsidRDefault="00EE56CC">
            <w:r>
              <w:rPr>
                <w:highlight w:val="yellow"/>
              </w:rPr>
              <w:t>Sheinna Claro and Bianca Villarosa</w:t>
            </w:r>
          </w:p>
        </w:tc>
        <w:tc>
          <w:tcPr>
            <w:tcW w:w="1300" w:type="dxa"/>
          </w:tcPr>
          <w:p w14:paraId="5439F06B" w14:textId="77777777" w:rsidR="0091796C" w:rsidRDefault="0091796C"/>
        </w:tc>
        <w:tc>
          <w:tcPr>
            <w:tcW w:w="2950" w:type="dxa"/>
          </w:tcPr>
          <w:p w14:paraId="4DC91C9A" w14:textId="77777777" w:rsidR="0091796C" w:rsidRDefault="00EE56CC">
            <w:r>
              <w:rPr>
                <w:highlight w:val="yellow"/>
              </w:rPr>
              <w:t xml:space="preserve">M1/M3 alignment pass, plus a structural relocation of the child subtype gate. (1) N2 and the child subtype gate now admit Group Holding Company, Investment Holding Company, and Management Company as in-scope, per M1 §2.5/Appendix D — only Financing Company and SPV (Debt Securitization/Other) resolve to O1/O9; §2.2, RULE N2, the §2.2 entity-subtype table, and the 11.1 glossary updated accordingly. (2) The child subtype gate (formerly the “Child Scope Gate,” which ran before N5) is relocated to run AFTER N7a, renumbered N8, and reworded to match N2's generic style (“Is Child Issuer's MSCI type and subtype in scope for collection?”); N8 gates only the single child surviving N7a's </w:t>
            </w:r>
            <w:r>
              <w:rPr>
                <w:highlight w:val="yellow"/>
              </w:rPr>
              <w:lastRenderedPageBreak/>
              <w:t>disambiguation, not siblings resolved to O8. N8's No branch introduces new outcome O9 (“Collect Input Issuer ID at its own URL”, folding the child into the Input Issuer's own collection) rather than reusing O4, for audit-trail parity with the existing O3/O4 pattern. Figure 1, the Decision Table, Outcomes (§3.3), the Decision Rule Matrix (§3.4), the Application Procedure (§8), Edge Cases (§9), and the Quick Reference/Rule Index/Glossary (§10–§11) are all updated to N1–N8/O1–O9. (3) RULE 6.5 rewritten to use the MSCI Entity Classification SOP's Control (&gt;50% voting rights, strict) / Participation (≤ 50%) ownership definitions in place of the prior ≥ 50%/“associate stake” (20–49%) tiering, and to adopt the fuller parent-child determination source list (SEC 10-K/10-Q/DEF 14A/8-K, 20-F/40-F, prospectuses, Exhibit 21/8.1, annual/interim reports, stock exchange filings, press releases, entity websites, registration/regulatory authorities, SEDAR, and internal filings) plus the “reported as subsidiary/majority-owned/indirect subsidiary, regardless of stated %” rule. (4) Boundary Declaration (§1.2) clarifies that royalty/streaming interests are filtered at M1 for on-demand issuer lists and never reach M3's BAU hierarchy tree — no new M3 routing logic added by design. (5) New Rules 6.9 (movable assets) and 6.10 (unconfirmed construction) added, mirroring M1's exclusion table (§3.4); §6.2 asset-scope table and Edge Cases (§9) updated to match. Because the diff base for this highlighting pass is the 06/22/2026 version last presented to the group — and the entire N1–N8/O1–O9 architecture (§3) postdates that version — Section 3 is highlighted in full; other sections are highlighted only where changed in this revision.</w:t>
            </w:r>
          </w:p>
        </w:tc>
      </w:tr>
      <w:tr w:rsidR="0091796C" w14:paraId="0C0BA4B1" w14:textId="77777777">
        <w:tc>
          <w:tcPr>
            <w:tcW w:w="1500" w:type="dxa"/>
          </w:tcPr>
          <w:p w14:paraId="029171C2" w14:textId="77777777" w:rsidR="0091796C" w:rsidRDefault="00EE56CC">
            <w:r>
              <w:rPr>
                <w:highlight w:val="yellow"/>
              </w:rPr>
              <w:lastRenderedPageBreak/>
              <w:t>August 2026</w:t>
            </w:r>
          </w:p>
        </w:tc>
        <w:tc>
          <w:tcPr>
            <w:tcW w:w="1000" w:type="dxa"/>
          </w:tcPr>
          <w:p w14:paraId="20C5DBF2" w14:textId="77777777" w:rsidR="0091796C" w:rsidRDefault="00EE56CC">
            <w:r>
              <w:rPr>
                <w:highlight w:val="yellow"/>
              </w:rPr>
              <w:t>3.1</w:t>
            </w:r>
          </w:p>
        </w:tc>
        <w:tc>
          <w:tcPr>
            <w:tcW w:w="2600" w:type="dxa"/>
          </w:tcPr>
          <w:p w14:paraId="61939CCB" w14:textId="77777777" w:rsidR="0091796C" w:rsidRDefault="00EE56CC">
            <w:r>
              <w:rPr>
                <w:highlight w:val="yellow"/>
              </w:rPr>
              <w:t>Sheinna Claro and Bianca Villarosa</w:t>
            </w:r>
          </w:p>
        </w:tc>
        <w:tc>
          <w:tcPr>
            <w:tcW w:w="1300" w:type="dxa"/>
          </w:tcPr>
          <w:p w14:paraId="76F30C55" w14:textId="77777777" w:rsidR="0091796C" w:rsidRDefault="0091796C"/>
        </w:tc>
        <w:tc>
          <w:tcPr>
            <w:tcW w:w="2950" w:type="dxa"/>
          </w:tcPr>
          <w:p w14:paraId="652D0AFE" w14:textId="77777777" w:rsidR="0091796C" w:rsidRDefault="00EE56CC">
            <w:r>
              <w:rPr>
                <w:highlight w:val="yellow"/>
              </w:rPr>
              <w:t xml:space="preserve">M2/M3 handoff alignment. RULE §7.1's all_sources Output Contract </w:t>
            </w:r>
            <w:r>
              <w:rPr>
                <w:highlight w:val="yellow"/>
              </w:rPr>
              <w:lastRenderedPageBreak/>
              <w:t>is rewritten so the schema uses M2 §12.1's exact 12 column names (URL, Domain, URL entity/site, Is_Subsidiary, Relationship type, Relationship to parent, Legitimate proof, Source_Tier, Content_Type, Page_Number, Page_Type, Notes) instead of a differently-named 12-field list (url, page_type, source_tier, estimated_count, relationship_type, content_type, last_verified, issuer_id, is_subsidiary, filing_date, language, confidence_score) that shared the “12-column” label with M2 but did not match it field-for-field. M3's routing-specific detail (Issuer ID attribution, outcome codes, ownership relationship, and audit metadata previously carried in separate estimated_count/last_verified/filing_date/language/confidence_score fields) is remapped onto M2's column names, with audit metadata consolidated into Notes. No change to the N1–N8/O1–O9 routing logic.</w:t>
            </w:r>
          </w:p>
        </w:tc>
      </w:tr>
    </w:tbl>
    <w:p w14:paraId="3B9D3557" w14:textId="77777777" w:rsidR="00EA7C9E" w:rsidRDefault="00EA7C9E">
      <w:pPr>
        <w:spacing w:after="100"/>
      </w:pPr>
    </w:p>
    <w:tbl>
      <w:tblPr>
        <w:tblW w:w="93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6950"/>
      </w:tblGrid>
      <w:tr w:rsidR="00EA7C9E" w14:paraId="4CAE6F26"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91423EC" w14:textId="77777777" w:rsidR="00EA7C9E" w:rsidRDefault="0068040D">
            <w:r>
              <w:rPr>
                <w:rFonts w:ascii="Arial" w:eastAsia="Arial" w:hAnsi="Arial" w:cs="Arial"/>
                <w:b/>
                <w:bCs/>
                <w:color w:val="FFFFFF"/>
                <w:sz w:val="17"/>
                <w:szCs w:val="17"/>
              </w:rPr>
              <w:t>Field</w:t>
            </w:r>
          </w:p>
        </w:tc>
        <w:tc>
          <w:tcPr>
            <w:tcW w:w="69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4B2DBFE" w14:textId="77777777" w:rsidR="00EA7C9E" w:rsidRDefault="0068040D">
            <w:r>
              <w:rPr>
                <w:rFonts w:ascii="Arial" w:eastAsia="Arial" w:hAnsi="Arial" w:cs="Arial"/>
                <w:b/>
                <w:bCs/>
                <w:color w:val="FFFFFF"/>
                <w:sz w:val="17"/>
                <w:szCs w:val="17"/>
              </w:rPr>
              <w:t>Value</w:t>
            </w:r>
          </w:p>
        </w:tc>
      </w:tr>
      <w:tr w:rsidR="00EA7C9E" w14:paraId="1C759633"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AEAD068" w14:textId="77777777" w:rsidR="00EA7C9E" w:rsidRDefault="0068040D">
            <w:r>
              <w:rPr>
                <w:rFonts w:ascii="Arial" w:eastAsia="Arial" w:hAnsi="Arial" w:cs="Arial"/>
                <w:color w:val="000000"/>
                <w:sz w:val="17"/>
                <w:szCs w:val="17"/>
              </w:rPr>
              <w:t>Module ID</w:t>
            </w:r>
          </w:p>
        </w:tc>
        <w:tc>
          <w:tcPr>
            <w:tcW w:w="6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D4A0A2F" w14:textId="77777777" w:rsidR="00EA7C9E" w:rsidRDefault="0068040D">
            <w:r>
              <w:rPr>
                <w:rFonts w:ascii="Arial" w:eastAsia="Arial" w:hAnsi="Arial" w:cs="Arial"/>
                <w:color w:val="000000"/>
                <w:sz w:val="17"/>
                <w:szCs w:val="17"/>
              </w:rPr>
              <w:t>M3 — Asset Location Collection Methodology</w:t>
            </w:r>
          </w:p>
        </w:tc>
      </w:tr>
      <w:tr w:rsidR="00EA7C9E" w14:paraId="6FD4016C" w14:textId="77777777">
        <w:tc>
          <w:tcPr>
            <w:tcW w:w="24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660FF65F" w14:textId="77777777" w:rsidR="00EA7C9E" w:rsidRDefault="0068040D">
            <w:r>
              <w:rPr>
                <w:rFonts w:ascii="Arial" w:eastAsia="Arial" w:hAnsi="Arial" w:cs="Arial"/>
                <w:color w:val="000000"/>
                <w:sz w:val="17"/>
                <w:szCs w:val="17"/>
              </w:rPr>
              <w:t>Module Type</w:t>
            </w:r>
          </w:p>
        </w:tc>
        <w:tc>
          <w:tcPr>
            <w:tcW w:w="695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0D6B7E2B" w14:textId="77777777" w:rsidR="00EA7C9E" w:rsidRDefault="0068040D">
            <w:r>
              <w:rPr>
                <w:rFonts w:ascii="Arial" w:eastAsia="Arial" w:hAnsi="Arial" w:cs="Arial"/>
                <w:color w:val="000000"/>
                <w:sz w:val="17"/>
                <w:szCs w:val="17"/>
              </w:rPr>
              <w:t>Execution layer — collection-level routing and URL evidence</w:t>
            </w:r>
          </w:p>
        </w:tc>
      </w:tr>
      <w:tr w:rsidR="00EA7C9E" w14:paraId="5D6CB783"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3478937" w14:textId="77777777" w:rsidR="00EA7C9E" w:rsidRDefault="0068040D">
            <w:r>
              <w:rPr>
                <w:rFonts w:ascii="Arial" w:eastAsia="Arial" w:hAnsi="Arial" w:cs="Arial"/>
                <w:color w:val="000000"/>
                <w:sz w:val="17"/>
                <w:szCs w:val="17"/>
              </w:rPr>
              <w:t>Status</w:t>
            </w:r>
          </w:p>
        </w:tc>
        <w:tc>
          <w:tcPr>
            <w:tcW w:w="6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A67DBEB" w14:textId="77777777" w:rsidR="00EA7C9E" w:rsidRDefault="0068040D">
            <w:r>
              <w:rPr>
                <w:rFonts w:ascii="Arial" w:eastAsia="Arial" w:hAnsi="Arial" w:cs="Arial"/>
                <w:color w:val="000000"/>
                <w:sz w:val="17"/>
                <w:szCs w:val="17"/>
              </w:rPr>
              <w:t>Draft — for review</w:t>
            </w:r>
          </w:p>
        </w:tc>
      </w:tr>
      <w:tr w:rsidR="00EA7C9E" w14:paraId="1CADFBB8" w14:textId="77777777">
        <w:tc>
          <w:tcPr>
            <w:tcW w:w="24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2EC90112" w14:textId="77777777" w:rsidR="00EA7C9E" w:rsidRDefault="0068040D">
            <w:r>
              <w:rPr>
                <w:rFonts w:ascii="Arial" w:eastAsia="Arial" w:hAnsi="Arial" w:cs="Arial"/>
                <w:color w:val="000000"/>
                <w:sz w:val="17"/>
                <w:szCs w:val="17"/>
              </w:rPr>
              <w:t>Version</w:t>
            </w:r>
          </w:p>
        </w:tc>
        <w:tc>
          <w:tcPr>
            <w:tcW w:w="695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703AD944" w14:textId="77777777" w:rsidR="00EA7C9E" w:rsidRDefault="0068040D">
            <w:r>
              <w:rPr>
                <w:highlight w:val="yellow"/>
              </w:rPr>
              <w:t>3.1</w:t>
            </w:r>
          </w:p>
        </w:tc>
      </w:tr>
      <w:tr w:rsidR="00EA7C9E" w14:paraId="46246772"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99E789D" w14:textId="77777777" w:rsidR="00EA7C9E" w:rsidRDefault="0068040D">
            <w:r>
              <w:rPr>
                <w:rFonts w:ascii="Arial" w:eastAsia="Arial" w:hAnsi="Arial" w:cs="Arial"/>
                <w:color w:val="000000"/>
                <w:sz w:val="17"/>
                <w:szCs w:val="17"/>
              </w:rPr>
              <w:t>Input From</w:t>
            </w:r>
          </w:p>
        </w:tc>
        <w:tc>
          <w:tcPr>
            <w:tcW w:w="6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F8616C6" w14:textId="77777777" w:rsidR="00EA7C9E" w:rsidRDefault="0068040D">
            <w:r>
              <w:rPr>
                <w:rFonts w:ascii="Arial" w:eastAsia="Arial" w:hAnsi="Arial" w:cs="Arial"/>
                <w:color w:val="000000"/>
                <w:sz w:val="17"/>
                <w:szCs w:val="17"/>
              </w:rPr>
              <w:t>M1 (Asset Universe), M2 (Completeness), issuer hierarchy data (child_issuer_w_subtype.csv), MSCI Entity Classification Methodology &amp; SOP</w:t>
            </w:r>
          </w:p>
        </w:tc>
      </w:tr>
      <w:tr w:rsidR="00EA7C9E" w14:paraId="348649E1" w14:textId="77777777">
        <w:tc>
          <w:tcPr>
            <w:tcW w:w="24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7DA15F1F" w14:textId="77777777" w:rsidR="00EA7C9E" w:rsidRDefault="0068040D">
            <w:r>
              <w:rPr>
                <w:rFonts w:ascii="Arial" w:eastAsia="Arial" w:hAnsi="Arial" w:cs="Arial"/>
                <w:color w:val="000000"/>
                <w:sz w:val="17"/>
                <w:szCs w:val="17"/>
              </w:rPr>
              <w:t>Output To</w:t>
            </w:r>
          </w:p>
        </w:tc>
        <w:tc>
          <w:tcPr>
            <w:tcW w:w="695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32CB18E1" w14:textId="77777777" w:rsidR="00EA7C9E" w:rsidRDefault="0068040D">
            <w:r>
              <w:rPr>
                <w:rFonts w:ascii="Arial" w:eastAsia="Arial" w:hAnsi="Arial" w:cs="Arial"/>
                <w:color w:val="000000"/>
                <w:sz w:val="17"/>
                <w:szCs w:val="17"/>
              </w:rPr>
              <w:t>M4 (Geospatial Enrichment), M5 (QA Methodology), M6 (Feedback &amp; CI)</w:t>
            </w:r>
          </w:p>
        </w:tc>
      </w:tr>
      <w:tr w:rsidR="00EA7C9E" w14:paraId="68758C4D"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ECD03EC" w14:textId="77777777" w:rsidR="00EA7C9E" w:rsidRDefault="0068040D">
            <w:r>
              <w:rPr>
                <w:rFonts w:ascii="Arial" w:eastAsia="Arial" w:hAnsi="Arial" w:cs="Arial"/>
                <w:color w:val="000000"/>
                <w:sz w:val="17"/>
                <w:szCs w:val="17"/>
              </w:rPr>
              <w:t>Primary Basis</w:t>
            </w:r>
          </w:p>
        </w:tc>
        <w:tc>
          <w:tcPr>
            <w:tcW w:w="6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A1C3DA4" w14:textId="77777777" w:rsidR="00EA7C9E" w:rsidRDefault="0068040D">
            <w:r>
              <w:rPr>
                <w:rFonts w:ascii="Arial" w:eastAsia="Arial" w:hAnsi="Arial" w:cs="Arial"/>
                <w:color w:val="000000"/>
                <w:sz w:val="17"/>
                <w:szCs w:val="17"/>
              </w:rPr>
              <w:t>M3 Collection Decision Tree — Decision Table + Live Flowchart (source: M3_Flowchart_Decision_Table_and_Live_Diagram_v17.xlsx; flowchart_draft_v8.pdf)</w:t>
            </w:r>
          </w:p>
        </w:tc>
      </w:tr>
      <w:tr w:rsidR="00EA7C9E" w14:paraId="7EEF7850" w14:textId="77777777">
        <w:tc>
          <w:tcPr>
            <w:tcW w:w="24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00944A02" w14:textId="77777777" w:rsidR="00EA7C9E" w:rsidRDefault="0068040D">
            <w:r>
              <w:rPr>
                <w:rFonts w:ascii="Arial" w:eastAsia="Arial" w:hAnsi="Arial" w:cs="Arial"/>
                <w:color w:val="000000"/>
                <w:sz w:val="17"/>
                <w:szCs w:val="17"/>
              </w:rPr>
              <w:t>Information Classification</w:t>
            </w:r>
          </w:p>
        </w:tc>
        <w:tc>
          <w:tcPr>
            <w:tcW w:w="695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53E7CEA5" w14:textId="77777777" w:rsidR="00EA7C9E" w:rsidRDefault="0068040D">
            <w:r>
              <w:rPr>
                <w:rFonts w:ascii="Arial" w:eastAsia="Arial" w:hAnsi="Arial" w:cs="Arial"/>
                <w:color w:val="000000"/>
                <w:sz w:val="17"/>
                <w:szCs w:val="17"/>
              </w:rPr>
              <w:t>GENERAL</w:t>
            </w:r>
          </w:p>
        </w:tc>
      </w:tr>
    </w:tbl>
    <w:p w14:paraId="43E7A1B4" w14:textId="77777777" w:rsidR="00EA7C9E" w:rsidRDefault="00EA7C9E">
      <w:pPr>
        <w:spacing w:after="100"/>
      </w:pPr>
    </w:p>
    <w:tbl>
      <w:tblPr>
        <w:tblW w:w="93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50"/>
      </w:tblGrid>
      <w:tr w:rsidR="00EA7C9E" w14:paraId="378B7EAC" w14:textId="77777777" w:rsidTr="18CA0F2E">
        <w:tc>
          <w:tcPr>
            <w:tcW w:w="9350" w:type="dxa"/>
            <w:tcBorders>
              <w:top w:val="single" w:sz="4" w:space="0" w:color="9DB8D9"/>
              <w:left w:val="single" w:sz="4" w:space="0" w:color="9DB8D9"/>
              <w:bottom w:val="single" w:sz="4" w:space="0" w:color="9DB8D9"/>
              <w:right w:val="single" w:sz="4" w:space="0" w:color="9DB8D9"/>
            </w:tcBorders>
            <w:shd w:val="clear" w:color="auto" w:fill="EEF3FA"/>
            <w:tcMar>
              <w:top w:w="140" w:type="dxa"/>
              <w:left w:w="160" w:type="dxa"/>
              <w:bottom w:w="140" w:type="dxa"/>
              <w:right w:w="160" w:type="dxa"/>
            </w:tcMar>
          </w:tcPr>
          <w:p w14:paraId="28334DFC" w14:textId="77777777" w:rsidR="00EA7C9E" w:rsidRDefault="0068040D">
            <w:pPr>
              <w:spacing w:after="80"/>
            </w:pPr>
            <w:r>
              <w:rPr>
                <w:b/>
                <w:highlight w:val="yellow"/>
              </w:rPr>
              <w:t>MODULE ABSTRACT</w:t>
            </w:r>
          </w:p>
          <w:p w14:paraId="53437CFC" w14:textId="77777777" w:rsidR="0091796C" w:rsidRDefault="00EE56CC">
            <w:r>
              <w:rPr>
                <w:highlight w:val="yellow"/>
              </w:rPr>
              <w:t>This module defines how collection agents decide whether asset-location collection is performed at the Input Issuer level, the child level, or not at all. The operative basis is the M3 Collection Decision Tree: a sequential path of nodes (N1–N8, plus N7a) applied to every issuer row, resolving to one of eight outcomes (O1–O6, O8–O9). The tree first gates the Input Issuer on entity type and URL availability (N2–N3); for issuers with children, it then evaluates each child in turn on Issuer ID availability, URL availability, and URL match against the Input Issuer (N5–N7a), before finally gating the surviving child on subtype (N8, relocated after N7a).</w:t>
            </w:r>
          </w:p>
          <w:p w14:paraId="5F1EB17A" w14:textId="77777777" w:rsidR="0091796C" w:rsidRDefault="00EE56CC">
            <w:r>
              <w:rPr>
                <w:highlight w:val="yellow"/>
              </w:rPr>
              <w:t xml:space="preserve">There is no outcome that collects an Input Issuer and a child as two simultaneous, independent passes — the “Collect Both” outcome used in v1.1 has been retired. Every row resolves to exactly one collection point (O3, O4, O6, O8, or O9), or to Skip (O1, O5) / an active enrichment step (O2). A child whose URL does not hostname-match the Input Issuer is skipped by deliberate methodology-owner decision — including </w:t>
            </w:r>
            <w:r>
              <w:rPr>
                <w:highlight w:val="yellow"/>
              </w:rPr>
              <w:lastRenderedPageBreak/>
              <w:t>independently-rated children, for whom rated status is confirmed NOT to be a routing factor — to keep the volume of collected subsidiary evidence manageable for downstream analyst review. Where 2+ children at the same hierarchy level share the exact same URL with no way to disambiguate ownership, the shared URL is collected separately under each child's own Issuer ID (O8) — confirmed logic, not an out-of-scope exclusion (§3.5). The module also states the source-discovery, inclusion, exclusion, and handoff rules needed to collect owned or controlled asset locations without duplicating entities already covered elsewhere in the hierarchy.</w:t>
            </w:r>
          </w:p>
        </w:tc>
      </w:tr>
    </w:tbl>
    <w:p w14:paraId="7D874ECB" w14:textId="77777777" w:rsidR="00EA7C9E" w:rsidRDefault="00EA7C9E">
      <w:pPr>
        <w:spacing w:after="100"/>
      </w:pPr>
    </w:p>
    <w:p w14:paraId="4AE6B86F" w14:textId="77777777" w:rsidR="00EA7C9E" w:rsidRDefault="0068040D">
      <w:pPr>
        <w:pStyle w:val="Heading1"/>
        <w:spacing w:before="360" w:after="160"/>
      </w:pPr>
      <w:r>
        <w:rPr>
          <w:rFonts w:ascii="Calibri" w:eastAsia="Calibri" w:hAnsi="Calibri" w:cs="Calibri"/>
          <w:b/>
          <w:bCs/>
          <w:color w:val="365F91"/>
          <w:sz w:val="28"/>
          <w:szCs w:val="28"/>
        </w:rPr>
        <w:t>1. Purpose and Scope</w:t>
      </w:r>
    </w:p>
    <w:p w14:paraId="103E4960" w14:textId="77777777" w:rsidR="00EA7C9E" w:rsidRDefault="0068040D">
      <w:pPr>
        <w:pStyle w:val="Heading2"/>
        <w:spacing w:before="260" w:after="120"/>
      </w:pPr>
      <w:r>
        <w:rPr>
          <w:rFonts w:ascii="Calibri" w:eastAsia="Calibri" w:hAnsi="Calibri" w:cs="Calibri"/>
          <w:b/>
          <w:bCs/>
          <w:color w:val="4F81BD"/>
          <w:sz w:val="24"/>
          <w:szCs w:val="24"/>
        </w:rPr>
        <w:t>1.1 Why This Module Exists</w:t>
      </w:r>
    </w:p>
    <w:p w14:paraId="4091B38E" w14:textId="77777777" w:rsidR="00EA7C9E" w:rsidRDefault="0068040D">
      <w:pPr>
        <w:spacing w:after="160"/>
      </w:pPr>
      <w:r>
        <w:rPr>
          <w:rFonts w:ascii="Arial" w:eastAsia="Arial" w:hAnsi="Arial" w:cs="Arial"/>
          <w:sz w:val="18"/>
          <w:szCs w:val="18"/>
        </w:rPr>
        <w:t>The Physical Assets pipeline must decide where to collect evidence before it can extract locations. The same corporate group can contain an operating issuer, financing entities, holding companies, subsidiaries with independent MSCI universe coverage, and child entities with no known public URL. If every entity in the hierarchy is scraped indiscriminately, the output over-collects duplicate evidence for well-covered entities and under-collects entities that have no obvious anchor URL.</w:t>
      </w:r>
    </w:p>
    <w:p w14:paraId="30A21399" w14:textId="77777777" w:rsidR="00EA7C9E" w:rsidRDefault="0068040D">
      <w:pPr>
        <w:spacing w:after="160"/>
      </w:pPr>
      <w:r>
        <w:rPr>
          <w:rFonts w:ascii="Arial" w:eastAsia="Arial" w:hAnsi="Arial" w:cs="Arial"/>
          <w:sz w:val="18"/>
          <w:szCs w:val="18"/>
        </w:rPr>
        <w:t>M3 resolves this by converting the issuer hierarchy into a small, sequential decision tree — the Collection Decision Tree (§3) — that every issuer row and every child row passes through once. Each outcome is a routing decision, not an asset classification decision; asset classification remains governed by M1/M2 taxonomy and the extraction methodology.</w:t>
      </w:r>
    </w:p>
    <w:p w14:paraId="54D69339" w14:textId="77777777" w:rsidR="00EA7C9E" w:rsidRDefault="0068040D">
      <w:pPr>
        <w:pStyle w:val="Heading2"/>
        <w:spacing w:before="260" w:after="120"/>
      </w:pPr>
      <w:r>
        <w:rPr>
          <w:rFonts w:ascii="Calibri" w:eastAsia="Calibri" w:hAnsi="Calibri" w:cs="Calibri"/>
          <w:b/>
          <w:bCs/>
          <w:color w:val="4F81BD"/>
          <w:sz w:val="24"/>
          <w:szCs w:val="24"/>
        </w:rPr>
        <w:t>1.2 What This Module Covers</w:t>
      </w:r>
    </w:p>
    <w:p w14:paraId="46DAC5DA" w14:textId="77777777" w:rsidR="00EA7C9E" w:rsidRDefault="0068040D">
      <w:pPr>
        <w:spacing w:after="160"/>
      </w:pPr>
      <w:r>
        <w:rPr>
          <w:rFonts w:ascii="Arial" w:eastAsia="Arial" w:hAnsi="Arial" w:cs="Arial"/>
          <w:sz w:val="18"/>
          <w:szCs w:val="18"/>
        </w:rPr>
        <w:t>This module covers the operational decisions required before any URL-based asset location collection begins. Specifically, it defines:</w:t>
      </w:r>
    </w:p>
    <w:tbl>
      <w:tblPr>
        <w:tblW w:w="93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6750"/>
      </w:tblGrid>
      <w:tr w:rsidR="00EA7C9E" w14:paraId="0134C5EE" w14:textId="77777777" w:rsidTr="18CA0F2E">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1E5155C" w14:textId="77777777" w:rsidR="00EA7C9E" w:rsidRDefault="0068040D">
            <w:r>
              <w:rPr>
                <w:rFonts w:ascii="Arial" w:eastAsia="Arial" w:hAnsi="Arial" w:cs="Arial"/>
                <w:b/>
                <w:bCs/>
                <w:color w:val="FFFFFF"/>
                <w:sz w:val="17"/>
                <w:szCs w:val="17"/>
              </w:rPr>
              <w:t>Scope area</w:t>
            </w:r>
          </w:p>
        </w:tc>
        <w:tc>
          <w:tcPr>
            <w:tcW w:w="67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C714A1B" w14:textId="77777777" w:rsidR="00EA7C9E" w:rsidRDefault="0068040D">
            <w:r>
              <w:rPr>
                <w:rFonts w:ascii="Arial" w:eastAsia="Arial" w:hAnsi="Arial" w:cs="Arial"/>
                <w:b/>
                <w:bCs/>
                <w:color w:val="FFFFFF"/>
                <w:sz w:val="17"/>
                <w:szCs w:val="17"/>
              </w:rPr>
              <w:t>What this module defines</w:t>
            </w:r>
          </w:p>
        </w:tc>
      </w:tr>
      <w:tr w:rsidR="00EA7C9E" w14:paraId="2225A8A5" w14:textId="77777777" w:rsidTr="18CA0F2E">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099DFF3" w14:textId="77777777" w:rsidR="00EA7C9E" w:rsidRDefault="0068040D">
            <w:r>
              <w:t>N1–N4 — Input Issuer gate</w:t>
            </w:r>
          </w:p>
        </w:tc>
        <w:tc>
          <w:tcPr>
            <w:tcW w:w="6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A3158BB" w14:textId="77777777" w:rsidR="00EA7C9E" w:rsidRDefault="18CA0F2E">
            <w:r>
              <w:t>Whether the Input Issuer itself is a valid collection anchor: is its MSCI type and subtype in scope for collection (N2)? does it have its own URL (N3)? does it have children to evaluate (N4)?</w:t>
            </w:r>
          </w:p>
        </w:tc>
      </w:tr>
      <w:tr w:rsidR="00EA7C9E" w14:paraId="172E12EE" w14:textId="77777777" w:rsidTr="18CA0F2E">
        <w:tc>
          <w:tcPr>
            <w:tcW w:w="26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19C389F3" w14:textId="77777777" w:rsidR="00EA7C9E" w:rsidRDefault="0068040D">
            <w:r>
              <w:rPr>
                <w:highlight w:val="yellow"/>
              </w:rPr>
              <w:t>N5–N8 — Child evaluation</w:t>
            </w:r>
          </w:p>
        </w:tc>
        <w:tc>
          <w:tcPr>
            <w:tcW w:w="675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7D8FF81B" w14:textId="77777777" w:rsidR="00EA7C9E" w:rsidRDefault="0068040D">
            <w:r>
              <w:rPr>
                <w:highlight w:val="yellow"/>
              </w:rPr>
              <w:t>For each child of an in-scope Input Issuer: does it have its own Issuer ID (N5)? does it have its own URL (N6)? does that URL match the Input Issuer's URL at the hostname level (N7)? if 2+ children share that exact URL, are they individually distinguishable (N7a)? is the child's own MSCI type and subtype in scope for collection (N8, relocated after N7a)?</w:t>
            </w:r>
          </w:p>
        </w:tc>
      </w:tr>
      <w:tr w:rsidR="00EA7C9E" w14:paraId="26FE4352" w14:textId="77777777" w:rsidTr="18CA0F2E">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D98F652" w14:textId="77777777" w:rsidR="00EA7C9E" w:rsidRDefault="0068040D">
            <w:r>
              <w:rPr>
                <w:highlight w:val="yellow"/>
              </w:rPr>
              <w:t>O1–O6, O8–O9 — Outcome assignment</w:t>
            </w:r>
          </w:p>
        </w:tc>
        <w:tc>
          <w:tcPr>
            <w:tcW w:w="6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02E9B07" w14:textId="77777777" w:rsidR="00EA7C9E" w:rsidRDefault="0068040D">
            <w:r>
              <w:rPr>
                <w:highlight w:val="yellow"/>
              </w:rPr>
              <w:t>Every row resolves to exactly one of eight outcomes: Skip collection (O1), Enrich URL via M2 (O2), Collect at the Input Issuer's own URL (O3, O4, or O9), Skip collecting the child Issuer ID (O5), Collect at the child's own Issuer ID (O6), or Collect separately under each child's own Issuer ID when 2+ children share a URL (O8).</w:t>
            </w:r>
          </w:p>
        </w:tc>
      </w:tr>
      <w:tr w:rsidR="00EA7C9E" w14:paraId="30111C3B" w14:textId="77777777" w:rsidTr="18CA0F2E">
        <w:tc>
          <w:tcPr>
            <w:tcW w:w="26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03696A39" w14:textId="77777777" w:rsidR="00EA7C9E" w:rsidRDefault="0068040D">
            <w:r>
              <w:rPr>
                <w:highlight w:val="yellow"/>
              </w:rPr>
              <w:t>§3.5 — Confirmed decisions</w:t>
            </w:r>
          </w:p>
        </w:tc>
        <w:tc>
          <w:tcPr>
            <w:tcW w:w="675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7E1CC07B" w14:textId="77777777" w:rsidR="00EA7C9E" w:rsidRDefault="0068040D">
            <w:r>
              <w:rPr>
                <w:highlight w:val="yellow"/>
              </w:rPr>
              <w:t>Traceable record of how the rated-child treatment, N8 (formerly the Child Scope Gate, relocated after N7a), the O2-fallback failure path, and multi-child same-URL handling (N7a/O8) were confirmed.</w:t>
            </w:r>
          </w:p>
        </w:tc>
      </w:tr>
    </w:tbl>
    <w:p w14:paraId="1B74CC7E" w14:textId="77777777" w:rsidR="00EA7C9E" w:rsidRDefault="00EA7C9E">
      <w:pPr>
        <w:spacing w:after="100"/>
      </w:pPr>
    </w:p>
    <w:p w14:paraId="6AD5B511" w14:textId="77777777" w:rsidR="00EA7C9E" w:rsidRDefault="0068040D">
      <w:pPr>
        <w:spacing w:after="160"/>
      </w:pPr>
      <w:r>
        <w:rPr>
          <w:rFonts w:ascii="Arial" w:eastAsia="Arial" w:hAnsi="Arial" w:cs="Arial"/>
          <w:sz w:val="18"/>
          <w:szCs w:val="18"/>
        </w:rPr>
        <w:t>Operational scope covered by this module beyond the decision tree itself:</w:t>
      </w:r>
    </w:p>
    <w:tbl>
      <w:tblPr>
        <w:tblW w:w="93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6750"/>
      </w:tblGrid>
      <w:tr w:rsidR="00EA7C9E" w14:paraId="1ECA8C10" w14:textId="77777777" w:rsidTr="18CA0F2E">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3904F54" w14:textId="77777777" w:rsidR="00EA7C9E" w:rsidRDefault="0068040D">
            <w:r>
              <w:rPr>
                <w:rFonts w:ascii="Arial" w:eastAsia="Arial" w:hAnsi="Arial" w:cs="Arial"/>
                <w:b/>
                <w:bCs/>
                <w:color w:val="FFFFFF"/>
                <w:sz w:val="17"/>
                <w:szCs w:val="17"/>
              </w:rPr>
              <w:t>Operational Rule</w:t>
            </w:r>
          </w:p>
        </w:tc>
        <w:tc>
          <w:tcPr>
            <w:tcW w:w="67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240109F" w14:textId="77777777" w:rsidR="00EA7C9E" w:rsidRDefault="0068040D">
            <w:r>
              <w:rPr>
                <w:rFonts w:ascii="Arial" w:eastAsia="Arial" w:hAnsi="Arial" w:cs="Arial"/>
                <w:b/>
                <w:bCs/>
                <w:color w:val="FFFFFF"/>
                <w:sz w:val="17"/>
                <w:szCs w:val="17"/>
              </w:rPr>
              <w:t>What this module defines</w:t>
            </w:r>
          </w:p>
        </w:tc>
      </w:tr>
      <w:tr w:rsidR="00EA7C9E" w14:paraId="5CB876BE" w14:textId="77777777" w:rsidTr="18CA0F2E">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B6C15A8" w14:textId="77777777" w:rsidR="00EA7C9E" w:rsidRDefault="0068040D">
            <w:r>
              <w:rPr>
                <w:rFonts w:ascii="Arial" w:eastAsia="Arial" w:hAnsi="Arial" w:cs="Arial"/>
                <w:color w:val="000000"/>
                <w:sz w:val="17"/>
                <w:szCs w:val="17"/>
              </w:rPr>
              <w:t>Source discovery and page-type logging</w:t>
            </w:r>
          </w:p>
        </w:tc>
        <w:tc>
          <w:tcPr>
            <w:tcW w:w="6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C87B1AF" w14:textId="77777777" w:rsidR="00EA7C9E" w:rsidRDefault="18CA0F2E">
            <w:r w:rsidRPr="18CA0F2E">
              <w:rPr>
                <w:rFonts w:ascii="Arial" w:eastAsia="Arial" w:hAnsi="Arial" w:cs="Arial"/>
                <w:color w:val="000000"/>
                <w:sz w:val="17"/>
                <w:szCs w:val="17"/>
              </w:rPr>
              <w:t>Which sources are valid for a routed collection and how to apply M2 source confidence tiers.</w:t>
            </w:r>
          </w:p>
        </w:tc>
      </w:tr>
      <w:tr w:rsidR="00EA7C9E" w14:paraId="774D4A17" w14:textId="77777777" w:rsidTr="18CA0F2E">
        <w:tc>
          <w:tcPr>
            <w:tcW w:w="26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2BB02DA4" w14:textId="77777777" w:rsidR="00EA7C9E" w:rsidRDefault="0068040D">
            <w:r>
              <w:rPr>
                <w:rFonts w:ascii="Arial" w:eastAsia="Arial" w:hAnsi="Arial" w:cs="Arial"/>
                <w:color w:val="000000"/>
                <w:sz w:val="17"/>
                <w:szCs w:val="17"/>
              </w:rPr>
              <w:t>Asset inclusion and exclusion rules</w:t>
            </w:r>
          </w:p>
        </w:tc>
        <w:tc>
          <w:tcPr>
            <w:tcW w:w="675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20D3C585" w14:textId="77777777" w:rsidR="00EA7C9E" w:rsidRDefault="18CA0F2E">
            <w:r w:rsidRPr="18CA0F2E">
              <w:rPr>
                <w:rFonts w:ascii="Arial" w:eastAsia="Arial" w:hAnsi="Arial" w:cs="Arial"/>
                <w:color w:val="000000"/>
                <w:sz w:val="17"/>
                <w:szCs w:val="17"/>
              </w:rPr>
              <w:t>In scope: owned, operated, leased, or controlled locations. Excluded: franchise stores, dealer/distributor networks, brokerage listings, mortgage-only holdings, non-point linear assets.</w:t>
            </w:r>
          </w:p>
        </w:tc>
      </w:tr>
      <w:tr w:rsidR="00EA7C9E" w14:paraId="5D672092" w14:textId="77777777" w:rsidTr="18CA0F2E">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B205F32" w14:textId="77777777" w:rsidR="00EA7C9E" w:rsidRDefault="0068040D">
            <w:r>
              <w:rPr>
                <w:rFonts w:ascii="Arial" w:eastAsia="Arial" w:hAnsi="Arial" w:cs="Arial"/>
                <w:color w:val="000000"/>
                <w:sz w:val="17"/>
                <w:szCs w:val="17"/>
              </w:rPr>
              <w:t>Deduplication, count reconciliation, and Completeness QA handoff</w:t>
            </w:r>
          </w:p>
        </w:tc>
        <w:tc>
          <w:tcPr>
            <w:tcW w:w="6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3F0F155" w14:textId="77777777" w:rsidR="00EA7C9E" w:rsidRDefault="18CA0F2E">
            <w:r w:rsidRPr="18CA0F2E">
              <w:rPr>
                <w:rFonts w:ascii="Arial" w:eastAsia="Arial" w:hAnsi="Arial" w:cs="Arial"/>
                <w:color w:val="000000"/>
                <w:sz w:val="17"/>
                <w:szCs w:val="17"/>
              </w:rPr>
              <w:t>How to prepare and validate the all_sources output before passing it to downstream Extraction.</w:t>
            </w:r>
          </w:p>
        </w:tc>
      </w:tr>
    </w:tbl>
    <w:p w14:paraId="585960F2" w14:textId="77777777" w:rsidR="00EA7C9E" w:rsidRDefault="00EA7C9E">
      <w:pPr>
        <w:spacing w:after="100"/>
      </w:pPr>
    </w:p>
    <w:p w14:paraId="77E910EE" w14:textId="77777777" w:rsidR="00EA7C9E" w:rsidRDefault="0068040D">
      <w:pPr>
        <w:spacing w:after="160"/>
      </w:pPr>
      <w:r>
        <w:rPr>
          <w:rFonts w:ascii="Arial" w:eastAsia="Arial" w:hAnsi="Arial" w:cs="Arial"/>
          <w:sz w:val="18"/>
          <w:szCs w:val="18"/>
        </w:rPr>
        <w:t>Geocoding, extraction, post-ingestion QA, and feedback loop management are out of scope and governed by M4–M6.</w:t>
      </w:r>
    </w:p>
    <w:tbl>
      <w:tblPr>
        <w:tblW w:w="93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50"/>
      </w:tblGrid>
      <w:tr w:rsidR="00EA7C9E" w14:paraId="3261EC05" w14:textId="77777777" w:rsidTr="18CA0F2E">
        <w:tc>
          <w:tcPr>
            <w:tcW w:w="9350" w:type="dxa"/>
            <w:tcBorders>
              <w:top w:val="single" w:sz="4" w:space="0" w:color="9DB8D9"/>
              <w:left w:val="single" w:sz="4" w:space="0" w:color="9DB8D9"/>
              <w:bottom w:val="single" w:sz="4" w:space="0" w:color="9DB8D9"/>
              <w:right w:val="single" w:sz="4" w:space="0" w:color="9DB8D9"/>
            </w:tcBorders>
            <w:shd w:val="clear" w:color="auto" w:fill="EEF3FA"/>
            <w:tcMar>
              <w:top w:w="140" w:type="dxa"/>
              <w:left w:w="160" w:type="dxa"/>
              <w:bottom w:w="140" w:type="dxa"/>
              <w:right w:w="160" w:type="dxa"/>
            </w:tcMar>
          </w:tcPr>
          <w:p w14:paraId="433B85AE" w14:textId="77777777" w:rsidR="00EA7C9E" w:rsidRDefault="0068040D">
            <w:pPr>
              <w:spacing w:after="80"/>
            </w:pPr>
            <w:r>
              <w:rPr>
                <w:rFonts w:ascii="Calibri" w:eastAsia="Calibri" w:hAnsi="Calibri" w:cs="Calibri"/>
                <w:b/>
                <w:bCs/>
                <w:color w:val="1F3864"/>
                <w:sz w:val="18"/>
                <w:szCs w:val="18"/>
              </w:rPr>
              <w:t>BOUNDARY DECLARATION</w:t>
            </w:r>
          </w:p>
          <w:p w14:paraId="5D842A91" w14:textId="77777777" w:rsidR="00EA7C9E" w:rsidRDefault="18CA0F2E">
            <w:pPr>
              <w:spacing w:after="100"/>
            </w:pPr>
            <w:r w:rsidRPr="18CA0F2E">
              <w:rPr>
                <w:rFonts w:ascii="Arial" w:eastAsia="Arial" w:hAnsi="Arial" w:cs="Arial"/>
                <w:sz w:val="18"/>
                <w:szCs w:val="18"/>
              </w:rPr>
              <w:t>This document extends M1 and M2. It does not redefine the physical asset universe, the GICS-derived property taxonomy, relevance weights, source confidence tiers, geocoding methodology, or post-ingestion QA. It only operationalizes collection-level routing and the asset-location collection checks required before the merged all_sources output is handed to Completeness QA and Extraction.</w:t>
            </w:r>
            <w:r>
              <w:rPr>
                <w:highlight w:val="yellow"/>
              </w:rPr>
              <w:t xml:space="preserve"> Royalty and streaming interests (M1 §2.3) are scoped and filtered at M1's universe-definition stage, for on-demand, client-supplied issuer lists — they do not reach M3's hierarchy-based Collection Decision Tree for BAU (MSCI-covered) issuer rows. M3's routing logic (§3) therefore has no dedicated path for royalty/streaming interests; this is confirmed as intentional, not a gap.</w:t>
            </w:r>
          </w:p>
        </w:tc>
      </w:tr>
    </w:tbl>
    <w:p w14:paraId="71A85281" w14:textId="77777777" w:rsidR="00EA7C9E" w:rsidRDefault="00EA7C9E">
      <w:pPr>
        <w:spacing w:after="100"/>
      </w:pPr>
    </w:p>
    <w:tbl>
      <w:tblPr>
        <w:tblW w:w="93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675"/>
        <w:gridCol w:w="4675"/>
      </w:tblGrid>
      <w:tr w:rsidR="00EA7C9E" w14:paraId="0054FF5F" w14:textId="77777777">
        <w:trPr>
          <w:tblHeader/>
        </w:trPr>
        <w:tc>
          <w:tcPr>
            <w:tcW w:w="467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1722522" w14:textId="77777777" w:rsidR="00EA7C9E" w:rsidRDefault="0068040D">
            <w:r>
              <w:rPr>
                <w:rFonts w:ascii="Arial" w:eastAsia="Arial" w:hAnsi="Arial" w:cs="Arial"/>
                <w:b/>
                <w:bCs/>
                <w:color w:val="FFFFFF"/>
                <w:sz w:val="17"/>
                <w:szCs w:val="17"/>
              </w:rPr>
              <w:t>Settled by M1/M2 — reference only</w:t>
            </w:r>
          </w:p>
        </w:tc>
        <w:tc>
          <w:tcPr>
            <w:tcW w:w="467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307765F" w14:textId="77777777" w:rsidR="00EA7C9E" w:rsidRDefault="0068040D">
            <w:r>
              <w:rPr>
                <w:rFonts w:ascii="Arial" w:eastAsia="Arial" w:hAnsi="Arial" w:cs="Arial"/>
                <w:b/>
                <w:bCs/>
                <w:color w:val="FFFFFF"/>
                <w:sz w:val="17"/>
                <w:szCs w:val="17"/>
              </w:rPr>
              <w:t>Owned by this M3 module</w:t>
            </w:r>
          </w:p>
        </w:tc>
      </w:tr>
      <w:tr w:rsidR="00EA7C9E" w14:paraId="16494156" w14:textId="77777777">
        <w:tc>
          <w:tcPr>
            <w:tcW w:w="467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7D57F81" w14:textId="77777777" w:rsidR="00EA7C9E" w:rsidRDefault="0068040D">
            <w:r>
              <w:rPr>
                <w:rFonts w:ascii="Arial" w:eastAsia="Arial" w:hAnsi="Arial" w:cs="Arial"/>
                <w:color w:val="000000"/>
                <w:sz w:val="17"/>
                <w:szCs w:val="17"/>
              </w:rPr>
              <w:t>Issuer and asset universe boundaries</w:t>
            </w:r>
          </w:p>
        </w:tc>
        <w:tc>
          <w:tcPr>
            <w:tcW w:w="467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4896736" w14:textId="77777777" w:rsidR="00EA7C9E" w:rsidRDefault="0068040D">
            <w:r>
              <w:rPr>
                <w:rFonts w:ascii="Arial" w:eastAsia="Arial" w:hAnsi="Arial" w:cs="Arial"/>
                <w:color w:val="000000"/>
                <w:sz w:val="17"/>
                <w:szCs w:val="17"/>
              </w:rPr>
              <w:t>Input Issuer / child collection-level decisions</w:t>
            </w:r>
          </w:p>
        </w:tc>
      </w:tr>
      <w:tr w:rsidR="00EA7C9E" w14:paraId="1C5D087D" w14:textId="77777777">
        <w:tc>
          <w:tcPr>
            <w:tcW w:w="4675"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135C34FF" w14:textId="77777777" w:rsidR="00EA7C9E" w:rsidRDefault="0068040D">
            <w:r>
              <w:rPr>
                <w:rFonts w:ascii="Arial" w:eastAsia="Arial" w:hAnsi="Arial" w:cs="Arial"/>
                <w:color w:val="000000"/>
                <w:sz w:val="17"/>
                <w:szCs w:val="17"/>
              </w:rPr>
              <w:t>GICS sector and sub-industry taxonomy</w:t>
            </w:r>
          </w:p>
        </w:tc>
        <w:tc>
          <w:tcPr>
            <w:tcW w:w="4675"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5369C951" w14:textId="77777777" w:rsidR="00EA7C9E" w:rsidRDefault="0068040D">
            <w:r>
              <w:rPr>
                <w:rFonts w:ascii="Arial" w:eastAsia="Arial" w:hAnsi="Arial" w:cs="Arial"/>
                <w:color w:val="000000"/>
                <w:sz w:val="17"/>
                <w:szCs w:val="17"/>
              </w:rPr>
              <w:t>Use of GICS / sub-industry only as collection priming input</w:t>
            </w:r>
          </w:p>
        </w:tc>
      </w:tr>
      <w:tr w:rsidR="00EA7C9E" w14:paraId="2D8D67C2" w14:textId="77777777">
        <w:tc>
          <w:tcPr>
            <w:tcW w:w="467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81B51A4" w14:textId="77777777" w:rsidR="00EA7C9E" w:rsidRDefault="0068040D">
            <w:r>
              <w:rPr>
                <w:rFonts w:ascii="Arial" w:eastAsia="Arial" w:hAnsi="Arial" w:cs="Arial"/>
                <w:color w:val="000000"/>
                <w:sz w:val="17"/>
                <w:szCs w:val="17"/>
              </w:rPr>
              <w:t>Relevance weights and source confidence tiers</w:t>
            </w:r>
          </w:p>
        </w:tc>
        <w:tc>
          <w:tcPr>
            <w:tcW w:w="467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B17DD31" w14:textId="77777777" w:rsidR="00EA7C9E" w:rsidRDefault="0068040D">
            <w:r>
              <w:rPr>
                <w:rFonts w:ascii="Arial" w:eastAsia="Arial" w:hAnsi="Arial" w:cs="Arial"/>
                <w:color w:val="000000"/>
                <w:sz w:val="17"/>
                <w:szCs w:val="17"/>
              </w:rPr>
              <w:t>Routing-tier interpretation from the Collection Decision Tree</w:t>
            </w:r>
          </w:p>
        </w:tc>
      </w:tr>
      <w:tr w:rsidR="00EA7C9E" w14:paraId="47CDCDB5" w14:textId="77777777">
        <w:tc>
          <w:tcPr>
            <w:tcW w:w="4675"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24D257D8" w14:textId="77777777" w:rsidR="00EA7C9E" w:rsidRDefault="0068040D">
            <w:r>
              <w:rPr>
                <w:rFonts w:ascii="Arial" w:eastAsia="Arial" w:hAnsi="Arial" w:cs="Arial"/>
                <w:color w:val="000000"/>
                <w:sz w:val="17"/>
                <w:szCs w:val="17"/>
              </w:rPr>
              <w:t>Extraction schema and assignment rules</w:t>
            </w:r>
          </w:p>
        </w:tc>
        <w:tc>
          <w:tcPr>
            <w:tcW w:w="4675"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3480AF32" w14:textId="77777777" w:rsidR="00EA7C9E" w:rsidRDefault="0068040D">
            <w:r>
              <w:rPr>
                <w:rFonts w:ascii="Arial" w:eastAsia="Arial" w:hAnsi="Arial" w:cs="Arial"/>
                <w:color w:val="000000"/>
                <w:sz w:val="17"/>
                <w:szCs w:val="17"/>
              </w:rPr>
              <w:t>Collection queue creation and URL-level evidence logging</w:t>
            </w:r>
          </w:p>
        </w:tc>
      </w:tr>
      <w:tr w:rsidR="00EA7C9E" w14:paraId="51101B56" w14:textId="77777777">
        <w:tc>
          <w:tcPr>
            <w:tcW w:w="467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D59699A" w14:textId="77777777" w:rsidR="00EA7C9E" w:rsidRDefault="0068040D">
            <w:r>
              <w:rPr>
                <w:rFonts w:ascii="Arial" w:eastAsia="Arial" w:hAnsi="Arial" w:cs="Arial"/>
                <w:color w:val="000000"/>
                <w:sz w:val="17"/>
                <w:szCs w:val="17"/>
              </w:rPr>
              <w:t>Entity type / subtype definitions (MSCI Entity Classification SOP)</w:t>
            </w:r>
          </w:p>
        </w:tc>
        <w:tc>
          <w:tcPr>
            <w:tcW w:w="467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A351269" w14:textId="77777777" w:rsidR="00EA7C9E" w:rsidRDefault="0068040D">
            <w:r>
              <w:rPr>
                <w:rFonts w:ascii="Arial" w:eastAsia="Arial" w:hAnsi="Arial" w:cs="Arial"/>
                <w:color w:val="000000"/>
                <w:sz w:val="17"/>
                <w:szCs w:val="17"/>
              </w:rPr>
              <w:t>Which subtypes gate collection at N2, and how</w:t>
            </w:r>
          </w:p>
        </w:tc>
      </w:tr>
    </w:tbl>
    <w:p w14:paraId="71F5A03C" w14:textId="77777777" w:rsidR="00EA7C9E" w:rsidRDefault="00EA7C9E">
      <w:pPr>
        <w:spacing w:after="100"/>
      </w:pPr>
    </w:p>
    <w:p w14:paraId="77111082" w14:textId="77777777" w:rsidR="00EA7C9E" w:rsidRDefault="0068040D">
      <w:pPr>
        <w:pStyle w:val="Heading1"/>
        <w:spacing w:before="360" w:after="160"/>
      </w:pPr>
      <w:r>
        <w:rPr>
          <w:rFonts w:ascii="Calibri" w:eastAsia="Calibri" w:hAnsi="Calibri" w:cs="Calibri"/>
          <w:b/>
          <w:bCs/>
          <w:color w:val="365F91"/>
          <w:sz w:val="28"/>
          <w:szCs w:val="28"/>
        </w:rPr>
        <w:t>2. Required Inputs</w:t>
      </w:r>
    </w:p>
    <w:p w14:paraId="64B34F06" w14:textId="77777777" w:rsidR="00EA7C9E" w:rsidRDefault="0068040D">
      <w:pPr>
        <w:pStyle w:val="Heading2"/>
        <w:spacing w:before="260" w:after="120"/>
      </w:pPr>
      <w:r>
        <w:rPr>
          <w:rFonts w:ascii="Calibri" w:eastAsia="Calibri" w:hAnsi="Calibri" w:cs="Calibri"/>
          <w:b/>
          <w:bCs/>
          <w:color w:val="4F81BD"/>
          <w:sz w:val="24"/>
          <w:szCs w:val="24"/>
        </w:rPr>
        <w:t>2.1 Standard Input Fields</w:t>
      </w:r>
    </w:p>
    <w:p w14:paraId="4DEB8680" w14:textId="77777777" w:rsidR="00EA7C9E" w:rsidRDefault="18CA0F2E">
      <w:pPr>
        <w:spacing w:after="160"/>
      </w:pPr>
      <w:r w:rsidRPr="18CA0F2E">
        <w:rPr>
          <w:rFonts w:ascii="Arial" w:eastAsia="Arial" w:hAnsi="Arial" w:cs="Arial"/>
          <w:sz w:val="18"/>
          <w:szCs w:val="18"/>
        </w:rPr>
        <w:t>The following fields must be present and validated before routing begins. Missing or invalid inputs must be documented before proceeding to N1. The agent must not begin routing if mandatory fields are absent.</w:t>
      </w:r>
    </w:p>
    <w:tbl>
      <w:tblPr>
        <w:tblW w:w="93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00"/>
        <w:gridCol w:w="6450"/>
      </w:tblGrid>
      <w:tr w:rsidR="00EA7C9E" w14:paraId="3042D76B" w14:textId="77777777" w:rsidTr="18CA0F2E">
        <w:trPr>
          <w:tblHeader/>
        </w:trPr>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F93B6DD" w14:textId="77777777" w:rsidR="00EA7C9E" w:rsidRDefault="0068040D">
            <w:r>
              <w:rPr>
                <w:rFonts w:ascii="Arial" w:eastAsia="Arial" w:hAnsi="Arial" w:cs="Arial"/>
                <w:b/>
                <w:bCs/>
                <w:color w:val="FFFFFF"/>
                <w:sz w:val="17"/>
                <w:szCs w:val="17"/>
              </w:rPr>
              <w:t>Input Field</w:t>
            </w:r>
          </w:p>
        </w:tc>
        <w:tc>
          <w:tcPr>
            <w:tcW w:w="64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0DB185F" w14:textId="77777777" w:rsidR="00EA7C9E" w:rsidRDefault="0068040D">
            <w:r>
              <w:rPr>
                <w:rFonts w:ascii="Arial" w:eastAsia="Arial" w:hAnsi="Arial" w:cs="Arial"/>
                <w:b/>
                <w:bCs/>
                <w:color w:val="FFFFFF"/>
                <w:sz w:val="17"/>
                <w:szCs w:val="17"/>
              </w:rPr>
              <w:t>Required Use in M3</w:t>
            </w:r>
          </w:p>
        </w:tc>
      </w:tr>
      <w:tr w:rsidR="00EA7C9E" w14:paraId="53F17BE4" w14:textId="77777777" w:rsidTr="18CA0F2E">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F4EF4B9" w14:textId="77777777" w:rsidR="00EA7C9E" w:rsidRDefault="0068040D">
            <w:r>
              <w:rPr>
                <w:rFonts w:ascii="Arial" w:eastAsia="Arial" w:hAnsi="Arial" w:cs="Arial"/>
                <w:color w:val="000000"/>
                <w:sz w:val="17"/>
                <w:szCs w:val="17"/>
              </w:rPr>
              <w:t>Issuer ID (Input Issuer)</w:t>
            </w:r>
          </w:p>
        </w:tc>
        <w:tc>
          <w:tcPr>
            <w:tcW w:w="64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30F104E" w14:textId="77777777" w:rsidR="00EA7C9E" w:rsidRDefault="0068040D">
            <w:r>
              <w:rPr>
                <w:rFonts w:ascii="Arial" w:eastAsia="Arial" w:hAnsi="Arial" w:cs="Arial"/>
                <w:color w:val="000000"/>
                <w:sz w:val="17"/>
                <w:szCs w:val="17"/>
              </w:rPr>
              <w:t>Primary identifier for the Input Issuer's collection queue and handoff audit.</w:t>
            </w:r>
          </w:p>
        </w:tc>
      </w:tr>
      <w:tr w:rsidR="00EA7C9E" w14:paraId="439321CD" w14:textId="77777777" w:rsidTr="18CA0F2E">
        <w:tc>
          <w:tcPr>
            <w:tcW w:w="29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722AC7D2" w14:textId="77777777" w:rsidR="00EA7C9E" w:rsidRDefault="0068040D">
            <w:r>
              <w:rPr>
                <w:rFonts w:ascii="Arial" w:eastAsia="Arial" w:hAnsi="Arial" w:cs="Arial"/>
                <w:color w:val="000000"/>
                <w:sz w:val="17"/>
                <w:szCs w:val="17"/>
              </w:rPr>
              <w:t>Issuer Name</w:t>
            </w:r>
          </w:p>
        </w:tc>
        <w:tc>
          <w:tcPr>
            <w:tcW w:w="645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6E40B600" w14:textId="77777777" w:rsidR="00EA7C9E" w:rsidRDefault="0068040D">
            <w:r>
              <w:rPr>
                <w:rFonts w:ascii="Arial" w:eastAsia="Arial" w:hAnsi="Arial" w:cs="Arial"/>
                <w:color w:val="000000"/>
                <w:sz w:val="17"/>
                <w:szCs w:val="17"/>
              </w:rPr>
              <w:t>Used for URL enrichment (O2) and entity-name validation.</w:t>
            </w:r>
          </w:p>
        </w:tc>
      </w:tr>
      <w:tr w:rsidR="00EA7C9E" w14:paraId="7916E663" w14:textId="77777777" w:rsidTr="18CA0F2E">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E847C6D" w14:textId="77777777" w:rsidR="00EA7C9E" w:rsidRDefault="0068040D">
            <w:r>
              <w:rPr>
                <w:rFonts w:ascii="Arial" w:eastAsia="Arial" w:hAnsi="Arial" w:cs="Arial"/>
                <w:color w:val="000000"/>
                <w:sz w:val="17"/>
                <w:szCs w:val="17"/>
              </w:rPr>
              <w:t>Parent URL (Input Issuer URL)</w:t>
            </w:r>
          </w:p>
        </w:tc>
        <w:tc>
          <w:tcPr>
            <w:tcW w:w="64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BA66253" w14:textId="77777777" w:rsidR="00EA7C9E" w:rsidRDefault="0068040D">
            <w:r>
              <w:rPr>
                <w:rFonts w:ascii="Arial" w:eastAsia="Arial" w:hAnsi="Arial" w:cs="Arial"/>
                <w:color w:val="000000"/>
                <w:sz w:val="17"/>
                <w:szCs w:val="17"/>
              </w:rPr>
              <w:t>N3 gate; anchor URL for Input Issuer collection and the N7 hostname comparison.</w:t>
            </w:r>
          </w:p>
        </w:tc>
      </w:tr>
      <w:tr w:rsidR="00EA7C9E" w14:paraId="51A7E5DD" w14:textId="77777777" w:rsidTr="18CA0F2E">
        <w:tc>
          <w:tcPr>
            <w:tcW w:w="29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7E9154CE" w14:textId="77777777" w:rsidR="00EA7C9E" w:rsidRDefault="18CA0F2E">
            <w:r w:rsidRPr="18CA0F2E">
              <w:rPr>
                <w:rFonts w:ascii="Arial" w:eastAsia="Arial" w:hAnsi="Arial" w:cs="Arial"/>
                <w:color w:val="000000"/>
                <w:sz w:val="17"/>
                <w:szCs w:val="17"/>
              </w:rPr>
              <w:t>issuer_msci_subtype</w:t>
            </w:r>
          </w:p>
        </w:tc>
        <w:tc>
          <w:tcPr>
            <w:tcW w:w="645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286F51F5" w14:textId="77777777" w:rsidR="00EA7C9E" w:rsidRDefault="18CA0F2E">
            <w:r w:rsidRPr="18CA0F2E">
              <w:rPr>
                <w:rFonts w:ascii="Arial" w:eastAsia="Arial" w:hAnsi="Arial" w:cs="Arial"/>
                <w:color w:val="000000"/>
                <w:sz w:val="17"/>
                <w:szCs w:val="17"/>
              </w:rPr>
              <w:t>N2 gate: Operating Company (OpCo) and Other Corporate continue to N3. Financing Company, SPV, and IHC resolve to O1 (Skip collection at this entity level). See §2.2 and the MSCI Entity Classification Methodology &amp; SOP.</w:t>
            </w:r>
          </w:p>
        </w:tc>
      </w:tr>
      <w:tr w:rsidR="00EA7C9E" w14:paraId="6669AFEE" w14:textId="77777777" w:rsidTr="18CA0F2E">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12A4287" w14:textId="77777777" w:rsidR="00EA7C9E" w:rsidRDefault="18CA0F2E">
            <w:r w:rsidRPr="18CA0F2E">
              <w:rPr>
                <w:rFonts w:ascii="Arial" w:eastAsia="Arial" w:hAnsi="Arial" w:cs="Arial"/>
                <w:color w:val="000000"/>
                <w:sz w:val="17"/>
                <w:szCs w:val="17"/>
              </w:rPr>
              <w:t>child_issuer_id</w:t>
            </w:r>
          </w:p>
        </w:tc>
        <w:tc>
          <w:tcPr>
            <w:tcW w:w="64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D46F675" w14:textId="77777777" w:rsidR="00EA7C9E" w:rsidRDefault="18CA0F2E">
            <w:r w:rsidRPr="18CA0F2E">
              <w:rPr>
                <w:rFonts w:ascii="Arial" w:eastAsia="Arial" w:hAnsi="Arial" w:cs="Arial"/>
                <w:color w:val="000000"/>
                <w:sz w:val="17"/>
                <w:szCs w:val="17"/>
              </w:rPr>
              <w:t>N5 gate: determines whether the child has its own Issuer ID at all.</w:t>
            </w:r>
          </w:p>
        </w:tc>
      </w:tr>
      <w:tr w:rsidR="00EA7C9E" w14:paraId="4AC22110" w14:textId="77777777" w:rsidTr="18CA0F2E">
        <w:tc>
          <w:tcPr>
            <w:tcW w:w="29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7F8F3DF6" w14:textId="77777777" w:rsidR="00EA7C9E" w:rsidRDefault="18CA0F2E">
            <w:r w:rsidRPr="18CA0F2E">
              <w:rPr>
                <w:rFonts w:ascii="Arial" w:eastAsia="Arial" w:hAnsi="Arial" w:cs="Arial"/>
                <w:color w:val="000000"/>
                <w:sz w:val="17"/>
                <w:szCs w:val="17"/>
              </w:rPr>
              <w:t>child_url</w:t>
            </w:r>
          </w:p>
        </w:tc>
        <w:tc>
          <w:tcPr>
            <w:tcW w:w="645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3548F3EA" w14:textId="77777777" w:rsidR="00EA7C9E" w:rsidRDefault="18CA0F2E">
            <w:r w:rsidRPr="18CA0F2E">
              <w:rPr>
                <w:rFonts w:ascii="Arial" w:eastAsia="Arial" w:hAnsi="Arial" w:cs="Arial"/>
                <w:color w:val="000000"/>
                <w:sz w:val="17"/>
                <w:szCs w:val="17"/>
              </w:rPr>
              <w:t>N6 / N7 gate: determines whether the child has its own URL, and whether that URL matches the Input Issuer's URL at the hostname level.</w:t>
            </w:r>
          </w:p>
        </w:tc>
      </w:tr>
      <w:tr w:rsidR="00EA7C9E" w14:paraId="61FE8F6B" w14:textId="77777777" w:rsidTr="18CA0F2E">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47B407A" w14:textId="77777777" w:rsidR="00EA7C9E" w:rsidRDefault="0068040D">
            <w:r>
              <w:rPr>
                <w:rFonts w:ascii="Arial" w:eastAsia="Arial" w:hAnsi="Arial" w:cs="Arial"/>
                <w:color w:val="000000"/>
                <w:sz w:val="17"/>
                <w:szCs w:val="17"/>
              </w:rPr>
              <w:t>Country of domicile and GICS sub-industry</w:t>
            </w:r>
          </w:p>
        </w:tc>
        <w:tc>
          <w:tcPr>
            <w:tcW w:w="64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7653DBE" w14:textId="77777777" w:rsidR="00EA7C9E" w:rsidRDefault="0068040D">
            <w:r>
              <w:rPr>
                <w:rFonts w:ascii="Arial" w:eastAsia="Arial" w:hAnsi="Arial" w:cs="Arial"/>
                <w:color w:val="000000"/>
                <w:sz w:val="17"/>
                <w:szCs w:val="17"/>
              </w:rPr>
              <w:t>Used to load the M2 taxonomy and target source discovery; not used to change routing logic.</w:t>
            </w:r>
          </w:p>
        </w:tc>
      </w:tr>
    </w:tbl>
    <w:p w14:paraId="7DD0DD33" w14:textId="77777777" w:rsidR="00EA7C9E" w:rsidRDefault="00EA7C9E">
      <w:pPr>
        <w:spacing w:after="100"/>
      </w:pPr>
    </w:p>
    <w:p w14:paraId="50C2EBDB" w14:textId="77777777" w:rsidR="00EA7C9E" w:rsidRDefault="0068040D">
      <w:pPr>
        <w:pStyle w:val="Heading2"/>
        <w:spacing w:before="260" w:after="120"/>
      </w:pPr>
      <w:r>
        <w:rPr>
          <w:rFonts w:ascii="Calibri" w:eastAsia="Calibri" w:hAnsi="Calibri" w:cs="Calibri"/>
          <w:b/>
          <w:bCs/>
          <w:color w:val="4F81BD"/>
          <w:sz w:val="24"/>
          <w:szCs w:val="24"/>
        </w:rPr>
        <w:t>2.2 Entity Subtype Treatment</w:t>
      </w:r>
    </w:p>
    <w:p w14:paraId="60DF13FD" w14:textId="77777777" w:rsidR="00EA7C9E" w:rsidRDefault="18CA0F2E">
      <w:pPr>
        <w:spacing w:after="160"/>
      </w:pPr>
      <w:r>
        <w:rPr>
          <w:highlight w:val="yellow"/>
        </w:rPr>
        <w:t xml:space="preserve">N2 gates whether the Input Issuer's MSCI type and subtype are in scope for collection at all — it is not limited to Operating Company (OpCo) alone. Per the MSCI Entity Classification Methodology &amp; SOP, Operating Company is defined as an entity that “produces goods or offers services itself and generally holds all the liabilities of the business.” Other Corporate does not meet that definition either, but is confirmed to continue past N2 alongside OpCo (§3.5) — aligning N2 with N8 (the child-level subtype gate, relocated after N7a per §3.1), which has always let an Other Corporate child through. </w:t>
      </w:r>
      <w:r>
        <w:rPr>
          <w:b/>
          <w:highlight w:val="yellow"/>
        </w:rPr>
        <w:t xml:space="preserve">Per M1 §2.5 / Appendix D, Group Holding Company, Investment Holding Company, and Management Company are also in scope </w:t>
      </w:r>
      <w:r>
        <w:rPr>
          <w:b/>
          <w:highlight w:val="yellow"/>
        </w:rPr>
        <w:lastRenderedPageBreak/>
        <w:t>(“Yes*”): each typically holds no direct operations of its own, but in-scope determination for its downstream subsidiary assets is based on the subsidiary's own coverage status, not the holding entity's classification alone — so the holding entity itself continues past N2 like an OpCo, evaluated normally for a URL (N3) and children (N4). Only Financing Company and SPV (Debt Securitization or Other) do not meet any in-scope definition and do not continue past N2; they resolve to O1.</w:t>
      </w:r>
    </w:p>
    <w:tbl>
      <w:tblPr>
        <w:tblW w:w="93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2200"/>
        <w:gridCol w:w="4950"/>
      </w:tblGrid>
      <w:tr w:rsidR="00EA7C9E" w14:paraId="53C68534" w14:textId="77777777" w:rsidTr="18CA0F2E">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90EAC2C" w14:textId="77777777" w:rsidR="00EA7C9E" w:rsidRDefault="0068040D">
            <w:r>
              <w:rPr>
                <w:rFonts w:ascii="Arial" w:eastAsia="Arial" w:hAnsi="Arial" w:cs="Arial"/>
                <w:b/>
                <w:bCs/>
                <w:color w:val="FFFFFF"/>
                <w:sz w:val="17"/>
                <w:szCs w:val="17"/>
              </w:rPr>
              <w:t>Subtype</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2EFF6F6" w14:textId="77777777" w:rsidR="00EA7C9E" w:rsidRDefault="0068040D">
            <w:r>
              <w:rPr>
                <w:rFonts w:ascii="Arial" w:eastAsia="Arial" w:hAnsi="Arial" w:cs="Arial"/>
                <w:b/>
                <w:bCs/>
                <w:color w:val="FFFFFF"/>
                <w:sz w:val="17"/>
                <w:szCs w:val="17"/>
              </w:rPr>
              <w:t>N2 result</w:t>
            </w:r>
          </w:p>
        </w:tc>
        <w:tc>
          <w:tcPr>
            <w:tcW w:w="49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AE2398B" w14:textId="77777777" w:rsidR="00EA7C9E" w:rsidRDefault="0068040D">
            <w:r>
              <w:rPr>
                <w:rFonts w:ascii="Arial" w:eastAsia="Arial" w:hAnsi="Arial" w:cs="Arial"/>
                <w:b/>
                <w:bCs/>
                <w:color w:val="FFFFFF"/>
                <w:sz w:val="17"/>
                <w:szCs w:val="17"/>
              </w:rPr>
              <w:t>Rationale</w:t>
            </w:r>
          </w:p>
        </w:tc>
      </w:tr>
      <w:tr w:rsidR="00EA7C9E" w14:paraId="344BABE7" w14:textId="77777777" w:rsidTr="18CA0F2E">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1F0F18A" w14:textId="77777777" w:rsidR="00EA7C9E" w:rsidRDefault="18CA0F2E">
            <w:r w:rsidRPr="18CA0F2E">
              <w:rPr>
                <w:rFonts w:ascii="Arial" w:eastAsia="Arial" w:hAnsi="Arial" w:cs="Arial"/>
                <w:color w:val="000000"/>
                <w:sz w:val="17"/>
                <w:szCs w:val="17"/>
              </w:rPr>
              <w:t>Operating Company (OpCo)</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36EDFDA" w14:textId="77777777" w:rsidR="00EA7C9E" w:rsidRDefault="0068040D">
            <w:r>
              <w:rPr>
                <w:rFonts w:ascii="Arial" w:eastAsia="Arial" w:hAnsi="Arial" w:cs="Arial"/>
                <w:color w:val="000000"/>
                <w:sz w:val="17"/>
                <w:szCs w:val="17"/>
              </w:rPr>
              <w:t>Continue to N3</w:t>
            </w:r>
          </w:p>
        </w:tc>
        <w:tc>
          <w:tcPr>
            <w:tcW w:w="4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F8E61D3" w14:textId="77777777" w:rsidR="00EA7C9E" w:rsidRDefault="18CA0F2E">
            <w:r w:rsidRPr="18CA0F2E">
              <w:rPr>
                <w:rFonts w:ascii="Arial" w:eastAsia="Arial" w:hAnsi="Arial" w:cs="Arial"/>
                <w:color w:val="000000"/>
                <w:sz w:val="17"/>
                <w:szCs w:val="17"/>
              </w:rPr>
              <w:t>Expected to hold, operate, lease, or control business-relevant physical locations.</w:t>
            </w:r>
          </w:p>
        </w:tc>
      </w:tr>
      <w:tr w:rsidR="00EA7C9E" w14:paraId="367D7D56" w14:textId="77777777" w:rsidTr="18CA0F2E">
        <w:tc>
          <w:tcPr>
            <w:tcW w:w="22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560E84FF" w14:textId="77777777" w:rsidR="00EA7C9E" w:rsidRDefault="0068040D">
            <w:r>
              <w:rPr>
                <w:rFonts w:ascii="Arial" w:eastAsia="Arial" w:hAnsi="Arial" w:cs="Arial"/>
                <w:color w:val="000000"/>
                <w:sz w:val="17"/>
                <w:szCs w:val="17"/>
              </w:rPr>
              <w:t>Other Corporate</w:t>
            </w:r>
          </w:p>
        </w:tc>
        <w:tc>
          <w:tcPr>
            <w:tcW w:w="22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061120CD" w14:textId="77777777" w:rsidR="00EA7C9E" w:rsidRDefault="0068040D">
            <w:r>
              <w:rPr>
                <w:rFonts w:ascii="Arial" w:eastAsia="Arial" w:hAnsi="Arial" w:cs="Arial"/>
                <w:color w:val="000000"/>
                <w:sz w:val="17"/>
                <w:szCs w:val="17"/>
              </w:rPr>
              <w:t>Continue to N3</w:t>
            </w:r>
          </w:p>
        </w:tc>
        <w:tc>
          <w:tcPr>
            <w:tcW w:w="495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5A241D1B" w14:textId="77777777" w:rsidR="00EA7C9E" w:rsidRDefault="0068040D">
            <w:r>
              <w:rPr>
                <w:highlight w:val="yellow"/>
              </w:rPr>
              <w:t>Per the SOP, “Other Corporate” covers corporate entities that cannot be classified under any other corporate sub-type — it has no independent operating footprint of its own, but is not screened out at N2. It is confirmed to continue to N3 and be evaluated for a URL and children like an OpCo, aligning N2 with N8 (the child subtype gate, relocated after N7a), which has always let an Other Corporate child through (§3.2, §3.5).</w:t>
            </w:r>
          </w:p>
        </w:tc>
      </w:tr>
      <w:tr w:rsidR="00EA7C9E" w14:paraId="5F25528B" w14:textId="77777777" w:rsidTr="18CA0F2E">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73E0EA2" w14:textId="77777777" w:rsidR="00EA7C9E" w:rsidRDefault="0068040D">
            <w:r>
              <w:rPr>
                <w:highlight w:val="yellow"/>
              </w:rPr>
              <w:t>Financing Company / SPV (Debt Securitization or Other)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2C40DC7" w14:textId="77777777" w:rsidR="00EA7C9E" w:rsidRDefault="0068040D">
            <w:r>
              <w:rPr>
                <w:highlight w:val="yellow"/>
              </w:rPr>
              <w:t>O1 — Skip at this entity level</w:t>
            </w:r>
          </w:p>
        </w:tc>
        <w:tc>
          <w:tcPr>
            <w:tcW w:w="4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6517C95" w14:textId="77777777" w:rsidR="00EA7C9E" w:rsidRDefault="18CA0F2E">
            <w:r>
              <w:rPr>
                <w:highlight w:val="yellow"/>
              </w:rPr>
              <w:t>No operations of their own — a Financing Company's “sole purpose is to finance other entities” and an SPV exists to hold or securitize, not operate. Their operating children, if any, are still evaluated normally as their own Input Issuers or as children under N5–N8.</w:t>
            </w:r>
          </w:p>
        </w:tc>
      </w:tr>
      <w:tr w:rsidR="0091796C" w14:paraId="411F5B33" w14:textId="77777777">
        <w:tc>
          <w:tcPr>
            <w:tcW w:w="2200" w:type="dxa"/>
          </w:tcPr>
          <w:p w14:paraId="35DC8659" w14:textId="77777777" w:rsidR="0091796C" w:rsidRDefault="00EE56CC">
            <w:r>
              <w:rPr>
                <w:highlight w:val="yellow"/>
              </w:rPr>
              <w:t>Group Holding Company / Investment Holding Company / Management Company</w:t>
            </w:r>
          </w:p>
        </w:tc>
        <w:tc>
          <w:tcPr>
            <w:tcW w:w="2200" w:type="dxa"/>
          </w:tcPr>
          <w:p w14:paraId="681AD4BA" w14:textId="77777777" w:rsidR="0091796C" w:rsidRDefault="00EE56CC">
            <w:r>
              <w:rPr>
                <w:highlight w:val="yellow"/>
              </w:rPr>
              <w:t>Continue to N3</w:t>
            </w:r>
          </w:p>
        </w:tc>
        <w:tc>
          <w:tcPr>
            <w:tcW w:w="4950" w:type="dxa"/>
          </w:tcPr>
          <w:p w14:paraId="685FDFF3" w14:textId="77777777" w:rsidR="0091796C" w:rsidRDefault="00EE56CC">
            <w:r>
              <w:rPr>
                <w:highlight w:val="yellow"/>
              </w:rPr>
              <w:t>Per M1 §2.5/Appendix D these are in-scope (“Yes*”). Each typically holds no direct operations of its own, but in-scope determination for downstream subsidiary assets is based on the subsidiary's own coverage status, not the holding entity's classification alone. The holding entity itself is evaluated at N3/N4 like an OpCo; any operating subsidiary is still evaluated independently as its own Input Issuer or child.</w:t>
            </w:r>
          </w:p>
        </w:tc>
      </w:tr>
    </w:tbl>
    <w:p w14:paraId="6AFA78E9" w14:textId="77777777" w:rsidR="00EA7C9E" w:rsidRDefault="00EA7C9E">
      <w:pPr>
        <w:spacing w:after="100"/>
      </w:pPr>
    </w:p>
    <w:tbl>
      <w:tblPr>
        <w:tblW w:w="93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50"/>
      </w:tblGrid>
      <w:tr w:rsidR="00EA7C9E" w14:paraId="139EC6F4" w14:textId="77777777" w:rsidTr="18CA0F2E">
        <w:tc>
          <w:tcPr>
            <w:tcW w:w="9350" w:type="dxa"/>
            <w:tcBorders>
              <w:top w:val="single" w:sz="4" w:space="0" w:color="9DB8D9"/>
              <w:left w:val="single" w:sz="4" w:space="0" w:color="9DB8D9"/>
              <w:bottom w:val="single" w:sz="4" w:space="0" w:color="9DB8D9"/>
              <w:right w:val="single" w:sz="4" w:space="0" w:color="9DB8D9"/>
            </w:tcBorders>
            <w:shd w:val="clear" w:color="auto" w:fill="EEF3FA"/>
            <w:tcMar>
              <w:top w:w="140" w:type="dxa"/>
              <w:left w:w="160" w:type="dxa"/>
              <w:bottom w:w="140" w:type="dxa"/>
              <w:right w:w="160" w:type="dxa"/>
            </w:tcMar>
          </w:tcPr>
          <w:p w14:paraId="25FD6421" w14:textId="77777777" w:rsidR="00EA7C9E" w:rsidRDefault="0068040D">
            <w:pPr>
              <w:spacing w:after="80"/>
            </w:pPr>
            <w:r>
              <w:rPr>
                <w:b/>
                <w:highlight w:val="yellow"/>
              </w:rPr>
              <w:t>CONFIRMED — child-level subtype gate is included, now as N8 (relocated after N7a)</w:t>
            </w:r>
          </w:p>
          <w:p w14:paraId="04F7059B" w14:textId="77777777" w:rsidR="0091796C" w:rsidRDefault="00EE56CC">
            <w:r>
              <w:rPr>
                <w:highlight w:val="yellow"/>
              </w:rPr>
              <w:t>A child that is itself Financing Company or SPV is resolved by N8 to O9 (fold into the Input Issuer's own collection) rather than O6 — confirmed, operative logic, not a candidate proposal. N8 now runs AFTER N7a (§3.1, §3.2), gating only the single, unambiguous child that survives N7a; children resolved to O8 are not individually re-gated by N8. N8 uses the same, updated criterion as N2 (§2.2): Financing Company/SPV is screened out; Other Corporate, Group Holding Company, Investment Holding Company, and Management Company continue through to O6, exactly like their Input-Issuer-level counterparts at N2. This alignment was confirmed by the methodology owner (§3.5).</w:t>
            </w:r>
          </w:p>
        </w:tc>
      </w:tr>
    </w:tbl>
    <w:p w14:paraId="4D434898" w14:textId="77777777" w:rsidR="00EA7C9E" w:rsidRDefault="00EA7C9E">
      <w:pPr>
        <w:spacing w:after="100"/>
      </w:pPr>
    </w:p>
    <w:p w14:paraId="2944D3C6" w14:textId="77777777" w:rsidR="00EA7C9E" w:rsidRDefault="0068040D">
      <w:pPr>
        <w:pStyle w:val="Heading2"/>
        <w:spacing w:before="260" w:after="120"/>
      </w:pPr>
      <w:r>
        <w:rPr>
          <w:rFonts w:ascii="Calibri" w:eastAsia="Calibri" w:hAnsi="Calibri" w:cs="Calibri"/>
          <w:b/>
          <w:bCs/>
          <w:color w:val="4F81BD"/>
          <w:sz w:val="24"/>
          <w:szCs w:val="24"/>
        </w:rPr>
        <w:t>2.3 GICS and Taxonomy Priming</w:t>
      </w:r>
    </w:p>
    <w:p w14:paraId="507D23A0" w14:textId="77777777" w:rsidR="00EA7C9E" w:rsidRDefault="18CA0F2E">
      <w:pPr>
        <w:spacing w:after="160"/>
      </w:pPr>
      <w:r w:rsidRPr="18CA0F2E">
        <w:rPr>
          <w:rFonts w:ascii="Arial" w:eastAsia="Arial" w:hAnsi="Arial" w:cs="Arial"/>
          <w:sz w:val="18"/>
          <w:szCs w:val="18"/>
        </w:rPr>
        <w:t>Before URL search begins, the collector loads the issuer's GICS sub-industry and the associated M2 physical asset taxonomy. GICS is used as the sector/sub-industry classification input to the M1/M2 framework; the collection agent does not create a new GICS assignment or modify GICS methodology.</w:t>
      </w:r>
    </w:p>
    <w:p w14:paraId="6BCCA303" w14:textId="77777777" w:rsidR="00EA7C9E" w:rsidRDefault="0068040D">
      <w:pPr>
        <w:pStyle w:val="Heading1"/>
        <w:spacing w:before="360" w:after="160"/>
      </w:pPr>
      <w:r>
        <w:rPr>
          <w:rFonts w:ascii="Calibri" w:eastAsia="Calibri" w:hAnsi="Calibri" w:cs="Calibri"/>
          <w:b/>
          <w:bCs/>
          <w:color w:val="365F91"/>
          <w:sz w:val="28"/>
          <w:szCs w:val="28"/>
          <w:highlight w:val="yellow"/>
        </w:rPr>
        <w:t>3. Collection-Level Decision Architecture</w:t>
      </w:r>
    </w:p>
    <w:p w14:paraId="2496ADE4" w14:textId="77777777" w:rsidR="00EA7C9E" w:rsidRDefault="18CA0F2E">
      <w:pPr>
        <w:spacing w:after="160"/>
      </w:pPr>
      <w:r>
        <w:rPr>
          <w:highlight w:val="yellow"/>
        </w:rPr>
        <w:t>The M3 Collection Decision Tree is a sequential path of nodes (N1–N8, plus N7a for a specific edge case), applied to every issuer row entering the pipeline. N1 is the entry point; N2–N4 gate the Input Issuer itself; N5–N8 gate and evaluate each of its children in turn, with N8 (the child subtype gate) running last, after N7a. Every path terminates in exactly one of eight outcomes (O1–O6, O8–O9). This replaces the Q0–Q3 / P1Y-P1N / R1–R4 / E0 framework used in v1.1 of this module in its entirety, including the retirement of the “Collect Both” outcome.</w:t>
      </w:r>
    </w:p>
    <w:p w14:paraId="4399CAC9" w14:textId="77777777" w:rsidR="00EA7C9E" w:rsidRDefault="0068040D">
      <w:pPr>
        <w:pStyle w:val="Heading2"/>
        <w:spacing w:before="260" w:after="120"/>
      </w:pPr>
      <w:r>
        <w:rPr>
          <w:b/>
          <w:highlight w:val="yellow"/>
        </w:rPr>
        <w:lastRenderedPageBreak/>
        <w:t>3.1 The Collection Decision Tree (N1–N8, N7a)</w:t>
      </w:r>
    </w:p>
    <w:tbl>
      <w:tblPr>
        <w:tblW w:w="93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50"/>
        <w:gridCol w:w="3550"/>
        <w:gridCol w:w="2400"/>
        <w:gridCol w:w="2250"/>
      </w:tblGrid>
      <w:tr w:rsidR="00EA7C9E" w:rsidRPr="006248F2" w14:paraId="306E4DC8" w14:textId="77777777" w:rsidTr="18CA0F2E">
        <w:trPr>
          <w:tblHeader/>
        </w:trPr>
        <w:tc>
          <w:tcPr>
            <w:tcW w:w="11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E055B61" w14:textId="77777777" w:rsidR="00EA7C9E" w:rsidRPr="006248F2" w:rsidRDefault="0068040D">
            <w:pPr>
              <w:rPr>
                <w:color w:val="000000" w:themeColor="text1"/>
              </w:rPr>
            </w:pPr>
            <w:r w:rsidRPr="006248F2">
              <w:rPr>
                <w:rFonts w:ascii="Arial" w:eastAsia="Arial" w:hAnsi="Arial" w:cs="Arial"/>
                <w:b/>
                <w:bCs/>
                <w:color w:val="000000" w:themeColor="text1"/>
                <w:sz w:val="17"/>
                <w:szCs w:val="17"/>
                <w:highlight w:val="yellow"/>
              </w:rPr>
              <w:t>Node</w:t>
            </w:r>
          </w:p>
        </w:tc>
        <w:tc>
          <w:tcPr>
            <w:tcW w:w="35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E8F9AB1" w14:textId="77777777" w:rsidR="00EA7C9E" w:rsidRPr="006248F2" w:rsidRDefault="0068040D">
            <w:pPr>
              <w:rPr>
                <w:color w:val="000000" w:themeColor="text1"/>
              </w:rPr>
            </w:pPr>
            <w:r w:rsidRPr="006248F2">
              <w:rPr>
                <w:rFonts w:ascii="Arial" w:eastAsia="Arial" w:hAnsi="Arial" w:cs="Arial"/>
                <w:b/>
                <w:bCs/>
                <w:color w:val="000000" w:themeColor="text1"/>
                <w:sz w:val="17"/>
                <w:szCs w:val="17"/>
                <w:highlight w:val="yellow"/>
              </w:rPr>
              <w:t>Question</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62E34EB" w14:textId="77777777" w:rsidR="00EA7C9E" w:rsidRPr="006248F2" w:rsidRDefault="0068040D">
            <w:pPr>
              <w:rPr>
                <w:color w:val="000000" w:themeColor="text1"/>
              </w:rPr>
            </w:pPr>
            <w:r w:rsidRPr="006248F2">
              <w:rPr>
                <w:rFonts w:ascii="Arial" w:eastAsia="Arial" w:hAnsi="Arial" w:cs="Arial"/>
                <w:b/>
                <w:bCs/>
                <w:color w:val="000000" w:themeColor="text1"/>
                <w:sz w:val="17"/>
                <w:szCs w:val="17"/>
                <w:highlight w:val="yellow"/>
              </w:rPr>
              <w:t>If YES →</w:t>
            </w:r>
          </w:p>
        </w:tc>
        <w:tc>
          <w:tcPr>
            <w:tcW w:w="22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5B0F330" w14:textId="77777777" w:rsidR="00EA7C9E" w:rsidRPr="006248F2" w:rsidRDefault="0068040D">
            <w:pPr>
              <w:rPr>
                <w:color w:val="000000" w:themeColor="text1"/>
              </w:rPr>
            </w:pPr>
            <w:r w:rsidRPr="006248F2">
              <w:rPr>
                <w:rFonts w:ascii="Arial" w:eastAsia="Arial" w:hAnsi="Arial" w:cs="Arial"/>
                <w:b/>
                <w:bCs/>
                <w:color w:val="000000" w:themeColor="text1"/>
                <w:sz w:val="17"/>
                <w:szCs w:val="17"/>
                <w:highlight w:val="yellow"/>
              </w:rPr>
              <w:t>If NO →</w:t>
            </w:r>
          </w:p>
        </w:tc>
      </w:tr>
      <w:tr w:rsidR="0091796C" w:rsidRPr="006248F2" w14:paraId="3334965A" w14:textId="77777777">
        <w:tc>
          <w:tcPr>
            <w:tcW w:w="1150" w:type="dxa"/>
          </w:tcPr>
          <w:p w14:paraId="12AAC73A" w14:textId="77777777" w:rsidR="0091796C" w:rsidRPr="006248F2" w:rsidRDefault="00EE56CC">
            <w:r w:rsidRPr="006248F2">
              <w:rPr>
                <w:highlight w:val="yellow"/>
              </w:rPr>
              <w:t>N1</w:t>
            </w:r>
          </w:p>
        </w:tc>
        <w:tc>
          <w:tcPr>
            <w:tcW w:w="3550" w:type="dxa"/>
          </w:tcPr>
          <w:p w14:paraId="3CA9C02E" w14:textId="77777777" w:rsidR="0091796C" w:rsidRPr="006248F2" w:rsidRDefault="00EE56CC">
            <w:r w:rsidRPr="006248F2">
              <w:rPr>
                <w:highlight w:val="yellow"/>
              </w:rPr>
              <w:t>Input Issuer (entry point)</w:t>
            </w:r>
          </w:p>
        </w:tc>
        <w:tc>
          <w:tcPr>
            <w:tcW w:w="2400" w:type="dxa"/>
          </w:tcPr>
          <w:p w14:paraId="573E82D2" w14:textId="77777777" w:rsidR="0091796C" w:rsidRPr="006248F2" w:rsidRDefault="00EE56CC">
            <w:r w:rsidRPr="006248F2">
              <w:rPr>
                <w:highlight w:val="yellow"/>
              </w:rPr>
              <w:t>N2</w:t>
            </w:r>
          </w:p>
        </w:tc>
        <w:tc>
          <w:tcPr>
            <w:tcW w:w="2250" w:type="dxa"/>
          </w:tcPr>
          <w:p w14:paraId="142D9187" w14:textId="77777777" w:rsidR="0091796C" w:rsidRPr="006248F2" w:rsidRDefault="00EE56CC">
            <w:r w:rsidRPr="006248F2">
              <w:rPr>
                <w:highlight w:val="yellow"/>
              </w:rPr>
              <w:t>—</w:t>
            </w:r>
          </w:p>
        </w:tc>
      </w:tr>
      <w:tr w:rsidR="0091796C" w:rsidRPr="006248F2" w14:paraId="5D1B92BD" w14:textId="77777777">
        <w:tc>
          <w:tcPr>
            <w:tcW w:w="1150" w:type="dxa"/>
          </w:tcPr>
          <w:p w14:paraId="0378B7EA" w14:textId="77777777" w:rsidR="0091796C" w:rsidRPr="006248F2" w:rsidRDefault="00EE56CC">
            <w:r w:rsidRPr="006248F2">
              <w:rPr>
                <w:highlight w:val="yellow"/>
              </w:rPr>
              <w:t>N2</w:t>
            </w:r>
          </w:p>
        </w:tc>
        <w:tc>
          <w:tcPr>
            <w:tcW w:w="3550" w:type="dxa"/>
          </w:tcPr>
          <w:p w14:paraId="49344ED8" w14:textId="77777777" w:rsidR="0091796C" w:rsidRPr="006248F2" w:rsidRDefault="00EE56CC">
            <w:r w:rsidRPr="006248F2">
              <w:rPr>
                <w:highlight w:val="yellow"/>
              </w:rPr>
              <w:t>Is Input Issuer's MSCI type and subtype in scope for collection? (§2.2)</w:t>
            </w:r>
          </w:p>
        </w:tc>
        <w:tc>
          <w:tcPr>
            <w:tcW w:w="2400" w:type="dxa"/>
          </w:tcPr>
          <w:p w14:paraId="76C18F34" w14:textId="77777777" w:rsidR="0091796C" w:rsidRPr="006248F2" w:rsidRDefault="00EE56CC">
            <w:r w:rsidRPr="006248F2">
              <w:rPr>
                <w:highlight w:val="yellow"/>
              </w:rPr>
              <w:t>N3</w:t>
            </w:r>
          </w:p>
        </w:tc>
        <w:tc>
          <w:tcPr>
            <w:tcW w:w="2250" w:type="dxa"/>
          </w:tcPr>
          <w:p w14:paraId="7A9FBCD1" w14:textId="77777777" w:rsidR="0091796C" w:rsidRPr="006248F2" w:rsidRDefault="00EE56CC">
            <w:r w:rsidRPr="006248F2">
              <w:rPr>
                <w:highlight w:val="yellow"/>
              </w:rPr>
              <w:t>O1 — Skip collection</w:t>
            </w:r>
          </w:p>
        </w:tc>
      </w:tr>
      <w:tr w:rsidR="0091796C" w:rsidRPr="006248F2" w14:paraId="3D679304" w14:textId="77777777">
        <w:tc>
          <w:tcPr>
            <w:tcW w:w="1150" w:type="dxa"/>
          </w:tcPr>
          <w:p w14:paraId="05D93D65" w14:textId="77777777" w:rsidR="0091796C" w:rsidRPr="006248F2" w:rsidRDefault="00EE56CC">
            <w:r w:rsidRPr="006248F2">
              <w:rPr>
                <w:highlight w:val="yellow"/>
              </w:rPr>
              <w:t>N3</w:t>
            </w:r>
          </w:p>
        </w:tc>
        <w:tc>
          <w:tcPr>
            <w:tcW w:w="3550" w:type="dxa"/>
          </w:tcPr>
          <w:p w14:paraId="7A151245" w14:textId="77777777" w:rsidR="0091796C" w:rsidRPr="006248F2" w:rsidRDefault="00EE56CC">
            <w:r w:rsidRPr="006248F2">
              <w:rPr>
                <w:highlight w:val="yellow"/>
              </w:rPr>
              <w:t>Does the issuer have its own URL?</w:t>
            </w:r>
          </w:p>
        </w:tc>
        <w:tc>
          <w:tcPr>
            <w:tcW w:w="2400" w:type="dxa"/>
          </w:tcPr>
          <w:p w14:paraId="156AE551" w14:textId="77777777" w:rsidR="0091796C" w:rsidRPr="006248F2" w:rsidRDefault="00EE56CC">
            <w:r w:rsidRPr="006248F2">
              <w:rPr>
                <w:highlight w:val="yellow"/>
              </w:rPr>
              <w:t>N4</w:t>
            </w:r>
          </w:p>
        </w:tc>
        <w:tc>
          <w:tcPr>
            <w:tcW w:w="2250" w:type="dxa"/>
          </w:tcPr>
          <w:p w14:paraId="40EC1ED4" w14:textId="77777777" w:rsidR="0091796C" w:rsidRPr="006248F2" w:rsidRDefault="00EE56CC">
            <w:r w:rsidRPr="006248F2">
              <w:rPr>
                <w:highlight w:val="yellow"/>
              </w:rPr>
              <w:t>O2 — Enrich URL via M2 fallback rule</w:t>
            </w:r>
          </w:p>
        </w:tc>
      </w:tr>
      <w:tr w:rsidR="0091796C" w:rsidRPr="006248F2" w14:paraId="171C2D12" w14:textId="77777777">
        <w:tc>
          <w:tcPr>
            <w:tcW w:w="1150" w:type="dxa"/>
          </w:tcPr>
          <w:p w14:paraId="497FDECA" w14:textId="77777777" w:rsidR="0091796C" w:rsidRPr="006248F2" w:rsidRDefault="00EE56CC">
            <w:r w:rsidRPr="006248F2">
              <w:rPr>
                <w:highlight w:val="yellow"/>
              </w:rPr>
              <w:t>N4</w:t>
            </w:r>
          </w:p>
        </w:tc>
        <w:tc>
          <w:tcPr>
            <w:tcW w:w="3550" w:type="dxa"/>
          </w:tcPr>
          <w:p w14:paraId="4992B928" w14:textId="77777777" w:rsidR="0091796C" w:rsidRPr="006248F2" w:rsidRDefault="00EE56CC">
            <w:r w:rsidRPr="006248F2">
              <w:rPr>
                <w:highlight w:val="yellow"/>
              </w:rPr>
              <w:t>Does it have children?</w:t>
            </w:r>
          </w:p>
        </w:tc>
        <w:tc>
          <w:tcPr>
            <w:tcW w:w="2400" w:type="dxa"/>
          </w:tcPr>
          <w:p w14:paraId="1CD62234" w14:textId="77777777" w:rsidR="0091796C" w:rsidRPr="006248F2" w:rsidRDefault="00EE56CC">
            <w:r w:rsidRPr="006248F2">
              <w:rPr>
                <w:highlight w:val="yellow"/>
              </w:rPr>
              <w:t>N5 (per child)</w:t>
            </w:r>
          </w:p>
        </w:tc>
        <w:tc>
          <w:tcPr>
            <w:tcW w:w="2250" w:type="dxa"/>
          </w:tcPr>
          <w:p w14:paraId="5DEAE33B" w14:textId="77777777" w:rsidR="0091796C" w:rsidRPr="006248F2" w:rsidRDefault="00EE56CC">
            <w:r w:rsidRPr="006248F2">
              <w:rPr>
                <w:highlight w:val="yellow"/>
              </w:rPr>
              <w:t>O3 — Collect Input Issuer ID at its own URL</w:t>
            </w:r>
          </w:p>
        </w:tc>
      </w:tr>
      <w:tr w:rsidR="0091796C" w:rsidRPr="006248F2" w14:paraId="2F255FD3" w14:textId="77777777">
        <w:tc>
          <w:tcPr>
            <w:tcW w:w="1150" w:type="dxa"/>
          </w:tcPr>
          <w:p w14:paraId="2EF9CED3" w14:textId="77777777" w:rsidR="0091796C" w:rsidRPr="006248F2" w:rsidRDefault="00EE56CC">
            <w:r w:rsidRPr="006248F2">
              <w:rPr>
                <w:highlight w:val="yellow"/>
              </w:rPr>
              <w:t>N5</w:t>
            </w:r>
          </w:p>
        </w:tc>
        <w:tc>
          <w:tcPr>
            <w:tcW w:w="3550" w:type="dxa"/>
          </w:tcPr>
          <w:p w14:paraId="408052D6" w14:textId="77777777" w:rsidR="0091796C" w:rsidRPr="006248F2" w:rsidRDefault="00EE56CC">
            <w:r w:rsidRPr="006248F2">
              <w:rPr>
                <w:highlight w:val="yellow"/>
              </w:rPr>
              <w:t>Does the child have its own Issuer ID?</w:t>
            </w:r>
          </w:p>
        </w:tc>
        <w:tc>
          <w:tcPr>
            <w:tcW w:w="2400" w:type="dxa"/>
          </w:tcPr>
          <w:p w14:paraId="15F6C1F3" w14:textId="77777777" w:rsidR="0091796C" w:rsidRPr="006248F2" w:rsidRDefault="00EE56CC">
            <w:r w:rsidRPr="006248F2">
              <w:rPr>
                <w:highlight w:val="yellow"/>
              </w:rPr>
              <w:t>N6</w:t>
            </w:r>
          </w:p>
        </w:tc>
        <w:tc>
          <w:tcPr>
            <w:tcW w:w="2250" w:type="dxa"/>
          </w:tcPr>
          <w:p w14:paraId="367B3176" w14:textId="77777777" w:rsidR="0091796C" w:rsidRPr="006248F2" w:rsidRDefault="00EE56CC">
            <w:r w:rsidRPr="006248F2">
              <w:rPr>
                <w:highlight w:val="yellow"/>
              </w:rPr>
              <w:t>O4 — Collect Input Issuer ID at its own URL</w:t>
            </w:r>
          </w:p>
        </w:tc>
      </w:tr>
      <w:tr w:rsidR="0091796C" w:rsidRPr="006248F2" w14:paraId="51D081F1" w14:textId="77777777">
        <w:tc>
          <w:tcPr>
            <w:tcW w:w="1150" w:type="dxa"/>
          </w:tcPr>
          <w:p w14:paraId="47D9E0F7" w14:textId="77777777" w:rsidR="0091796C" w:rsidRPr="006248F2" w:rsidRDefault="00EE56CC">
            <w:r w:rsidRPr="006248F2">
              <w:rPr>
                <w:highlight w:val="yellow"/>
              </w:rPr>
              <w:t>N6</w:t>
            </w:r>
          </w:p>
        </w:tc>
        <w:tc>
          <w:tcPr>
            <w:tcW w:w="3550" w:type="dxa"/>
          </w:tcPr>
          <w:p w14:paraId="0C98503B" w14:textId="77777777" w:rsidR="0091796C" w:rsidRPr="006248F2" w:rsidRDefault="00EE56CC">
            <w:r w:rsidRPr="006248F2">
              <w:rPr>
                <w:highlight w:val="yellow"/>
              </w:rPr>
              <w:t>Does the child have its own URL?</w:t>
            </w:r>
          </w:p>
        </w:tc>
        <w:tc>
          <w:tcPr>
            <w:tcW w:w="2400" w:type="dxa"/>
          </w:tcPr>
          <w:p w14:paraId="4A4A9B82" w14:textId="77777777" w:rsidR="0091796C" w:rsidRPr="006248F2" w:rsidRDefault="00EE56CC">
            <w:r w:rsidRPr="006248F2">
              <w:rPr>
                <w:highlight w:val="yellow"/>
              </w:rPr>
              <w:t>N7</w:t>
            </w:r>
          </w:p>
        </w:tc>
        <w:tc>
          <w:tcPr>
            <w:tcW w:w="2250" w:type="dxa"/>
          </w:tcPr>
          <w:p w14:paraId="2B3CAD49" w14:textId="77777777" w:rsidR="0091796C" w:rsidRPr="006248F2" w:rsidRDefault="00EE56CC">
            <w:r w:rsidRPr="006248F2">
              <w:rPr>
                <w:highlight w:val="yellow"/>
              </w:rPr>
              <w:t>O5 — Skip collecting the child issuer ID</w:t>
            </w:r>
          </w:p>
        </w:tc>
      </w:tr>
      <w:tr w:rsidR="0091796C" w:rsidRPr="006248F2" w14:paraId="15DA30E8" w14:textId="77777777">
        <w:tc>
          <w:tcPr>
            <w:tcW w:w="1150" w:type="dxa"/>
          </w:tcPr>
          <w:p w14:paraId="4715CBC6" w14:textId="77777777" w:rsidR="0091796C" w:rsidRPr="006248F2" w:rsidRDefault="00EE56CC">
            <w:r w:rsidRPr="006248F2">
              <w:rPr>
                <w:highlight w:val="yellow"/>
              </w:rPr>
              <w:t>N7</w:t>
            </w:r>
          </w:p>
        </w:tc>
        <w:tc>
          <w:tcPr>
            <w:tcW w:w="3550" w:type="dxa"/>
          </w:tcPr>
          <w:p w14:paraId="2A3740E0" w14:textId="77777777" w:rsidR="0091796C" w:rsidRPr="006248F2" w:rsidRDefault="00EE56CC">
            <w:r w:rsidRPr="006248F2">
              <w:rPr>
                <w:highlight w:val="yellow"/>
              </w:rPr>
              <w:t>Child URL = Input Issuer URL? (hostname-level match, §3.2)</w:t>
            </w:r>
          </w:p>
        </w:tc>
        <w:tc>
          <w:tcPr>
            <w:tcW w:w="2400" w:type="dxa"/>
          </w:tcPr>
          <w:p w14:paraId="24C091F7" w14:textId="77777777" w:rsidR="0091796C" w:rsidRPr="006248F2" w:rsidRDefault="00EE56CC">
            <w:r w:rsidRPr="006248F2">
              <w:rPr>
                <w:highlight w:val="yellow"/>
              </w:rPr>
              <w:t>N7a</w:t>
            </w:r>
          </w:p>
        </w:tc>
        <w:tc>
          <w:tcPr>
            <w:tcW w:w="2250" w:type="dxa"/>
          </w:tcPr>
          <w:p w14:paraId="0AAC7A3D" w14:textId="77777777" w:rsidR="0091796C" w:rsidRPr="006248F2" w:rsidRDefault="00EE56CC">
            <w:r w:rsidRPr="006248F2">
              <w:rPr>
                <w:highlight w:val="yellow"/>
              </w:rPr>
              <w:t>O5 — Skip collecting the child issuer ID</w:t>
            </w:r>
          </w:p>
        </w:tc>
      </w:tr>
      <w:tr w:rsidR="0091796C" w:rsidRPr="006248F2" w14:paraId="49FE629D" w14:textId="77777777">
        <w:tc>
          <w:tcPr>
            <w:tcW w:w="1150" w:type="dxa"/>
          </w:tcPr>
          <w:p w14:paraId="6E92F757" w14:textId="77777777" w:rsidR="0091796C" w:rsidRPr="006248F2" w:rsidRDefault="00EE56CC">
            <w:r w:rsidRPr="006248F2">
              <w:rPr>
                <w:highlight w:val="yellow"/>
              </w:rPr>
              <w:t>N7a</w:t>
            </w:r>
          </w:p>
        </w:tc>
        <w:tc>
          <w:tcPr>
            <w:tcW w:w="3550" w:type="dxa"/>
          </w:tcPr>
          <w:p w14:paraId="1727B440" w14:textId="77777777" w:rsidR="0091796C" w:rsidRPr="006248F2" w:rsidRDefault="00EE56CC">
            <w:r w:rsidRPr="006248F2">
              <w:rPr>
                <w:highlight w:val="yellow"/>
              </w:rPr>
              <w:t>Do 2+ children at the same hierarchy level share this exact URL, with no single child identifiable? (§3.2)</w:t>
            </w:r>
          </w:p>
        </w:tc>
        <w:tc>
          <w:tcPr>
            <w:tcW w:w="2400" w:type="dxa"/>
          </w:tcPr>
          <w:p w14:paraId="693AC79A" w14:textId="77777777" w:rsidR="0091796C" w:rsidRPr="006248F2" w:rsidRDefault="00EE56CC">
            <w:r w:rsidRPr="006248F2">
              <w:rPr>
                <w:highlight w:val="yellow"/>
              </w:rPr>
              <w:t>O8 — Collect separately under each child's own Issuer ID</w:t>
            </w:r>
          </w:p>
        </w:tc>
        <w:tc>
          <w:tcPr>
            <w:tcW w:w="2250" w:type="dxa"/>
          </w:tcPr>
          <w:p w14:paraId="0F083C4F" w14:textId="77777777" w:rsidR="0091796C" w:rsidRPr="006248F2" w:rsidRDefault="00EE56CC">
            <w:r w:rsidRPr="006248F2">
              <w:rPr>
                <w:highlight w:val="yellow"/>
              </w:rPr>
              <w:t>N8</w:t>
            </w:r>
          </w:p>
        </w:tc>
      </w:tr>
      <w:tr w:rsidR="0091796C" w:rsidRPr="006248F2" w14:paraId="17002B23" w14:textId="77777777">
        <w:tc>
          <w:tcPr>
            <w:tcW w:w="1150" w:type="dxa"/>
          </w:tcPr>
          <w:p w14:paraId="3F19F88D" w14:textId="77777777" w:rsidR="0091796C" w:rsidRPr="006248F2" w:rsidRDefault="00EE56CC">
            <w:r w:rsidRPr="006248F2">
              <w:rPr>
                <w:highlight w:val="yellow"/>
              </w:rPr>
              <w:t>N8</w:t>
            </w:r>
          </w:p>
        </w:tc>
        <w:tc>
          <w:tcPr>
            <w:tcW w:w="3550" w:type="dxa"/>
          </w:tcPr>
          <w:p w14:paraId="6261190E" w14:textId="77777777" w:rsidR="0091796C" w:rsidRPr="006248F2" w:rsidRDefault="00EE56CC">
            <w:r w:rsidRPr="006248F2">
              <w:rPr>
                <w:highlight w:val="yellow"/>
              </w:rPr>
              <w:t>Is Child Issuer's MSCI type and subtype in scope for collection? (same criterion as N2, §2.2)</w:t>
            </w:r>
          </w:p>
        </w:tc>
        <w:tc>
          <w:tcPr>
            <w:tcW w:w="2400" w:type="dxa"/>
          </w:tcPr>
          <w:p w14:paraId="420B1423" w14:textId="77777777" w:rsidR="0091796C" w:rsidRPr="006248F2" w:rsidRDefault="00EE56CC">
            <w:r w:rsidRPr="006248F2">
              <w:rPr>
                <w:highlight w:val="yellow"/>
              </w:rPr>
              <w:t>O6 — Collect at the child's own Issuer ID</w:t>
            </w:r>
          </w:p>
        </w:tc>
        <w:tc>
          <w:tcPr>
            <w:tcW w:w="2250" w:type="dxa"/>
          </w:tcPr>
          <w:p w14:paraId="3E106BB1" w14:textId="77777777" w:rsidR="0091796C" w:rsidRPr="006248F2" w:rsidRDefault="00EE56CC">
            <w:r w:rsidRPr="006248F2">
              <w:rPr>
                <w:highlight w:val="yellow"/>
              </w:rPr>
              <w:t>O9 — Collect Input Issuer ID at its own URL (fold into Input Issuer's own collection)</w:t>
            </w:r>
          </w:p>
        </w:tc>
      </w:tr>
    </w:tbl>
    <w:p w14:paraId="7C839C47" w14:textId="77777777" w:rsidR="00EA7C9E" w:rsidRDefault="00EA7C9E">
      <w:pPr>
        <w:spacing w:after="100"/>
      </w:pPr>
    </w:p>
    <w:p w14:paraId="600F4355" w14:textId="77777777" w:rsidR="00EA7C9E" w:rsidRDefault="0068040D">
      <w:pPr>
        <w:spacing w:after="160"/>
      </w:pPr>
      <w:r>
        <w:rPr>
          <w:highlight w:val="yellow"/>
        </w:rPr>
        <w:t>Note on N8 (child subtype gate, relocated after N7a): this is confirmed, operative logic — not a candidate proposal. In earlier versions of this document, this gate ran before N5 as the “Child Scope Gate.” It now runs AFTER N7a, gating only the single, unambiguous child that survives N7a's disambiguation — children resolved to O8 are not individually re-gated by N8. This ordering was confirmed by the methodology owner (§3.5): Issuer ID (N5), URL (N6), and hostname-match/disambiguation (N7/N7a) are resolved before the child's own subtype is tested, so N8 only ever needs to gate a single, already-disambiguated candidate. N8 uses the same criterion as N2 (§2.2): only Financing Company/SPV is screened out — resolving to O9 rather than O6 — while Other Corporate, Group Holding Company, Investment Holding Company, and Management Company children continue through to O6.</w:t>
      </w:r>
    </w:p>
    <w:p w14:paraId="4496F151" w14:textId="77777777" w:rsidR="00EA7C9E" w:rsidRDefault="00EA7C9E">
      <w:pPr>
        <w:spacing w:after="100"/>
      </w:pPr>
    </w:p>
    <w:p w14:paraId="6DB4774E" w14:textId="77777777" w:rsidR="00EA7C9E" w:rsidRDefault="0068040D">
      <w:pPr>
        <w:spacing w:before="120" w:after="60"/>
        <w:jc w:val="center"/>
      </w:pPr>
      <w:commentRangeStart w:id="0"/>
      <w:r>
        <w:rPr>
          <w:noProof/>
          <w:highlight w:val="yellow"/>
        </w:rPr>
        <w:lastRenderedPageBreak/>
        <w:drawing>
          <wp:inline distT="0" distB="0" distL="0" distR="0" wp14:anchorId="421C3467" wp14:editId="092E9A77">
            <wp:extent cx="3790950" cy="8763605"/>
            <wp:effectExtent l="0" t="0" r="0" b="0"/>
            <wp:docPr id="1" name="Picture 1">
              <a:extLst xmlns:a="http://schemas.openxmlformats.org/drawingml/2006/main">
                <a:ext uri="{FF2B5EF4-FFF2-40B4-BE49-F238E27FC236}">
                  <a16:creationId xmlns:a16="http://schemas.microsoft.com/office/drawing/2014/main" id="{9F9A3EF2-25F5-4C47-8FCF-E0E2E3631D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6448" cy="8822550"/>
                    </a:xfrm>
                    <a:prstGeom prst="rect">
                      <a:avLst/>
                    </a:prstGeom>
                  </pic:spPr>
                </pic:pic>
              </a:graphicData>
            </a:graphic>
          </wp:inline>
        </w:drawing>
      </w:r>
      <w:commentRangeEnd w:id="0"/>
      <w:r w:rsidR="00294577">
        <w:rPr>
          <w:rStyle w:val="CommentReference"/>
          <w:sz w:val="20"/>
          <w:szCs w:val="20"/>
        </w:rPr>
        <w:commentReference w:id="0"/>
      </w:r>
    </w:p>
    <w:p w14:paraId="3F51E518" w14:textId="77777777" w:rsidR="00EA7C9E" w:rsidRDefault="0068040D">
      <w:pPr>
        <w:spacing w:after="220"/>
        <w:jc w:val="center"/>
      </w:pPr>
      <w:r>
        <w:rPr>
          <w:highlight w:val="yellow"/>
        </w:rPr>
        <w:lastRenderedPageBreak/>
        <w:t>Figure 1. M3 Collection Decision Tree — N1–N8 plus N7a, resolving to O1–O6, O8, and O9</w:t>
      </w:r>
      <w:r>
        <w:rPr>
          <w:highlight w:val="yellow"/>
        </w:rPr>
        <w:br/>
        <w:t>Source: M3 Collection Decision Tree · Physical Assets Pipeline · MSCI · August 2026</w:t>
      </w:r>
    </w:p>
    <w:p w14:paraId="43CEAA00" w14:textId="77777777" w:rsidR="00EA7C9E" w:rsidRDefault="0068040D">
      <w:pPr>
        <w:pStyle w:val="Heading2"/>
        <w:spacing w:before="260" w:after="120"/>
      </w:pPr>
      <w:r>
        <w:rPr>
          <w:rFonts w:ascii="Calibri" w:eastAsia="Calibri" w:hAnsi="Calibri" w:cs="Calibri"/>
          <w:b/>
          <w:bCs/>
          <w:color w:val="4F81BD"/>
          <w:sz w:val="24"/>
          <w:szCs w:val="24"/>
          <w:highlight w:val="yellow"/>
        </w:rPr>
        <w:t>3.2 Node Rules</w:t>
      </w:r>
    </w:p>
    <w:tbl>
      <w:tblPr>
        <w:tblW w:w="93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50"/>
      </w:tblGrid>
      <w:tr w:rsidR="00EA7C9E" w14:paraId="377E16D5" w14:textId="77777777">
        <w:tc>
          <w:tcPr>
            <w:tcW w:w="9350" w:type="dxa"/>
            <w:tcBorders>
              <w:top w:val="single" w:sz="4" w:space="0" w:color="C9971F"/>
              <w:left w:val="single" w:sz="4" w:space="0" w:color="C9971F"/>
              <w:bottom w:val="single" w:sz="4" w:space="0" w:color="C9971F"/>
              <w:right w:val="single" w:sz="4" w:space="0" w:color="C9971F"/>
            </w:tcBorders>
            <w:shd w:val="clear" w:color="auto" w:fill="FFF8E7"/>
            <w:tcMar>
              <w:top w:w="140" w:type="dxa"/>
              <w:left w:w="160" w:type="dxa"/>
              <w:bottom w:w="140" w:type="dxa"/>
              <w:right w:w="160" w:type="dxa"/>
            </w:tcMar>
          </w:tcPr>
          <w:p w14:paraId="6A5CAB7F" w14:textId="77777777" w:rsidR="00EA7C9E" w:rsidRDefault="0068040D">
            <w:pPr>
              <w:spacing w:after="80"/>
            </w:pPr>
            <w:r>
              <w:rPr>
                <w:b/>
                <w:highlight w:val="yellow"/>
              </w:rPr>
              <w:t>RULE N2 — Entity Scope Gate</w:t>
            </w:r>
          </w:p>
          <w:p w14:paraId="002C1DC1" w14:textId="77777777" w:rsidR="0091796C" w:rsidRDefault="00EE56CC">
            <w:r>
              <w:rPr>
                <w:highlight w:val="yellow"/>
              </w:rPr>
              <w:t>IF issuer_msci_subtype = Operating Company, Other Corporate, Group Holding Company, Investment Holding Company, or Management Company THEN continue to N3. ELSE (Financing Company or SPV — Debt Securitization or Other) THEN resolve to O1 — Skip collection at this entity level, and log the specific subtype in notes. Per M1 §2.5/Appendix D, Group Holding Company, Investment Holding Company, and Management Company are in scope: each typically holds no direct operations of its own, but in-scope determination for its downstream subsidiary assets is based on the subsidiary's own coverage status, not the holding entity's classification alone — the holding entity itself is still evaluated at N3/N4 like an OpCo. This mirrors N8's criterion (§3.2): only Financing Company/SPV is screened out, at either the Input Issuer or child level. If the entity has an operating subsidiary elsewhere in the hierarchy, that subsidiary is evaluated as its own, separate Input Issuer (its own N1 entry) — it is not folded into this entity's row.</w:t>
            </w:r>
          </w:p>
        </w:tc>
      </w:tr>
    </w:tbl>
    <w:p w14:paraId="7B3EB92D" w14:textId="77777777" w:rsidR="00EA7C9E" w:rsidRDefault="00EA7C9E">
      <w:pPr>
        <w:spacing w:after="100"/>
      </w:pPr>
    </w:p>
    <w:tbl>
      <w:tblPr>
        <w:tblW w:w="93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50"/>
      </w:tblGrid>
      <w:tr w:rsidR="00EA7C9E" w14:paraId="48F03B88" w14:textId="77777777">
        <w:tc>
          <w:tcPr>
            <w:tcW w:w="9350" w:type="dxa"/>
            <w:tcBorders>
              <w:top w:val="single" w:sz="4" w:space="0" w:color="C9971F"/>
              <w:left w:val="single" w:sz="4" w:space="0" w:color="C9971F"/>
              <w:bottom w:val="single" w:sz="4" w:space="0" w:color="C9971F"/>
              <w:right w:val="single" w:sz="4" w:space="0" w:color="C9971F"/>
            </w:tcBorders>
            <w:shd w:val="clear" w:color="auto" w:fill="FFF8E7"/>
            <w:tcMar>
              <w:top w:w="140" w:type="dxa"/>
              <w:left w:w="160" w:type="dxa"/>
              <w:bottom w:w="140" w:type="dxa"/>
              <w:right w:w="160" w:type="dxa"/>
            </w:tcMar>
          </w:tcPr>
          <w:p w14:paraId="3052ECBC" w14:textId="77777777" w:rsidR="00EA7C9E" w:rsidRDefault="0068040D">
            <w:pPr>
              <w:spacing w:after="80"/>
            </w:pPr>
            <w:r>
              <w:rPr>
                <w:rFonts w:ascii="Calibri" w:eastAsia="Calibri" w:hAnsi="Calibri" w:cs="Calibri"/>
                <w:b/>
                <w:bCs/>
                <w:color w:val="1F3864"/>
                <w:sz w:val="18"/>
                <w:szCs w:val="18"/>
                <w:highlight w:val="yellow"/>
              </w:rPr>
              <w:t>RULE N3 — URL Gate and M2 Fallback (applies when the Input Issuer's own URL is missing)</w:t>
            </w:r>
          </w:p>
          <w:p w14:paraId="7850A5A9" w14:textId="77777777" w:rsidR="00EA7C9E" w:rsidRDefault="0068040D">
            <w:pPr>
              <w:spacing w:after="100"/>
            </w:pPr>
            <w:r>
              <w:rPr>
                <w:rFonts w:ascii="Arial" w:eastAsia="Arial" w:hAnsi="Arial" w:cs="Arial"/>
                <w:sz w:val="18"/>
                <w:szCs w:val="18"/>
                <w:highlight w:val="yellow"/>
              </w:rPr>
              <w:t xml:space="preserve">IF the issuer has a Parent URL THEN continue to N4. ELSE resolve to O2 — attempt URL derivation using M1's fallback rule (derive from Issuer Name, via an official-domain search, or from the issuer's most recent regulatory filing — 10-K/20-F/local filing — that states a corporate website; M1 §4 / Glossary, “Parent URL”). Confirm any candidate URL via Rule 5.1 (Open-Before-Include) before populating it. </w:t>
            </w:r>
            <w:r>
              <w:rPr>
                <w:rFonts w:ascii="Arial" w:eastAsia="Arial" w:hAnsi="Arial" w:cs="Arial"/>
                <w:sz w:val="18"/>
                <w:szCs w:val="18"/>
                <w:highlight w:val="yellow"/>
              </w:rPr>
              <w:br/>
              <w:t>• If a URL is derived and attribution is confirmed: populate the Parent URL, re-test N3, and continue to N4.</w:t>
            </w:r>
            <w:r>
              <w:rPr>
                <w:rFonts w:ascii="Arial" w:eastAsia="Arial" w:hAnsi="Arial" w:cs="Arial"/>
                <w:sz w:val="18"/>
                <w:szCs w:val="18"/>
                <w:highlight w:val="yellow"/>
              </w:rPr>
              <w:br/>
              <w:t>• If no candidate URL can be derived: log a gap-register entry with failure_reason “issuer_url absent — no derivable source (RULE N3/O2 exhausted)” and stop — do not proceed to collection for this issuer.</w:t>
            </w:r>
            <w:r>
              <w:rPr>
                <w:rFonts w:ascii="Arial" w:eastAsia="Arial" w:hAnsi="Arial" w:cs="Arial"/>
                <w:sz w:val="18"/>
                <w:szCs w:val="18"/>
                <w:highlight w:val="yellow"/>
              </w:rPr>
              <w:br/>
              <w:t>• If a candidate URL is found but attribution cannot be confirmed via Rule 5.1: log a gap-register entry with failure_reason “issuer_url candidate found, attribution unconfirmed (RULE N3/O2, Rule 5.1)” instead — do not populate the Parent URL either way.</w:t>
            </w:r>
            <w:r>
              <w:rPr>
                <w:rFonts w:ascii="Arial" w:eastAsia="Arial" w:hAnsi="Arial" w:cs="Arial"/>
                <w:sz w:val="18"/>
                <w:szCs w:val="18"/>
                <w:highlight w:val="yellow"/>
              </w:rPr>
              <w:br/>
              <w:t>• This fallback is attempted once per Issuer ID per pass; do not re-attempt it repeatedly within the same run.</w:t>
            </w:r>
          </w:p>
        </w:tc>
      </w:tr>
    </w:tbl>
    <w:p w14:paraId="4328A30D" w14:textId="77777777" w:rsidR="00EA7C9E" w:rsidRDefault="00EA7C9E">
      <w:pPr>
        <w:spacing w:after="100"/>
      </w:pPr>
    </w:p>
    <w:tbl>
      <w:tblPr>
        <w:tblW w:w="93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50"/>
      </w:tblGrid>
      <w:tr w:rsidR="00EA7C9E" w14:paraId="7448B35D" w14:textId="77777777" w:rsidTr="18CA0F2E">
        <w:tc>
          <w:tcPr>
            <w:tcW w:w="9350" w:type="dxa"/>
            <w:tcBorders>
              <w:top w:val="single" w:sz="4" w:space="0" w:color="C9971F"/>
              <w:left w:val="single" w:sz="4" w:space="0" w:color="C9971F"/>
              <w:bottom w:val="single" w:sz="4" w:space="0" w:color="C9971F"/>
              <w:right w:val="single" w:sz="4" w:space="0" w:color="C9971F"/>
            </w:tcBorders>
            <w:shd w:val="clear" w:color="auto" w:fill="FFF8E7"/>
            <w:tcMar>
              <w:top w:w="140" w:type="dxa"/>
              <w:left w:w="160" w:type="dxa"/>
              <w:bottom w:w="140" w:type="dxa"/>
              <w:right w:w="160" w:type="dxa"/>
            </w:tcMar>
          </w:tcPr>
          <w:p w14:paraId="090410FA" w14:textId="77777777" w:rsidR="00EA7C9E" w:rsidRDefault="0068040D">
            <w:pPr>
              <w:spacing w:after="80"/>
            </w:pPr>
            <w:r>
              <w:rPr>
                <w:b/>
                <w:highlight w:val="yellow"/>
              </w:rPr>
              <w:t>RULE N4 — Children Check</w:t>
            </w:r>
          </w:p>
          <w:p w14:paraId="7C0C05D5" w14:textId="77777777" w:rsidR="0091796C" w:rsidRDefault="00EE56CC">
            <w:r>
              <w:rPr>
                <w:highlight w:val="yellow"/>
              </w:rPr>
              <w:t>IF the issuer has one or more child entities listed in the hierarchy THEN evaluate each child independently through N5–N7 (and N7a where applicable), then N8. ELSE resolve to O3 — Collect at the input issuer's own URL. There is no scenario in which an issuer with no listed children resolves to anything other than O3.</w:t>
            </w:r>
          </w:p>
        </w:tc>
      </w:tr>
    </w:tbl>
    <w:p w14:paraId="2415E1B6" w14:textId="77777777" w:rsidR="00EA7C9E" w:rsidRDefault="00EA7C9E">
      <w:pPr>
        <w:spacing w:after="100"/>
      </w:pPr>
    </w:p>
    <w:p w14:paraId="7680BE62" w14:textId="77777777" w:rsidR="00EA7C9E" w:rsidRDefault="00EA7C9E">
      <w:pPr>
        <w:spacing w:after="100"/>
      </w:pPr>
    </w:p>
    <w:tbl>
      <w:tblPr>
        <w:tblW w:w="93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50"/>
      </w:tblGrid>
      <w:tr w:rsidR="00EA7C9E" w14:paraId="2BA5E166" w14:textId="77777777" w:rsidTr="18CA0F2E">
        <w:tc>
          <w:tcPr>
            <w:tcW w:w="9350" w:type="dxa"/>
            <w:tcBorders>
              <w:top w:val="single" w:sz="4" w:space="0" w:color="C9971F"/>
              <w:left w:val="single" w:sz="4" w:space="0" w:color="C9971F"/>
              <w:bottom w:val="single" w:sz="4" w:space="0" w:color="C9971F"/>
              <w:right w:val="single" w:sz="4" w:space="0" w:color="C9971F"/>
            </w:tcBorders>
            <w:shd w:val="clear" w:color="auto" w:fill="FFF8E7"/>
            <w:tcMar>
              <w:top w:w="140" w:type="dxa"/>
              <w:left w:w="160" w:type="dxa"/>
              <w:bottom w:w="140" w:type="dxa"/>
              <w:right w:w="160" w:type="dxa"/>
            </w:tcMar>
          </w:tcPr>
          <w:p w14:paraId="4414A971" w14:textId="77777777" w:rsidR="00EA7C9E" w:rsidRDefault="0068040D">
            <w:pPr>
              <w:spacing w:after="80"/>
            </w:pPr>
            <w:r>
              <w:rPr>
                <w:rFonts w:ascii="Calibri" w:eastAsia="Calibri" w:hAnsi="Calibri" w:cs="Calibri"/>
                <w:b/>
                <w:bCs/>
                <w:color w:val="1F3864"/>
                <w:sz w:val="18"/>
                <w:szCs w:val="18"/>
                <w:highlight w:val="yellow"/>
              </w:rPr>
              <w:t>RULE N5 — Child Issuer ID Check</w:t>
            </w:r>
          </w:p>
          <w:p w14:paraId="67B526FF" w14:textId="77777777" w:rsidR="00EA7C9E" w:rsidRDefault="18CA0F2E">
            <w:pPr>
              <w:spacing w:after="100"/>
            </w:pPr>
            <w:r w:rsidRPr="18CA0F2E">
              <w:rPr>
                <w:rFonts w:ascii="Arial" w:eastAsia="Arial" w:hAnsi="Arial" w:cs="Arial"/>
                <w:sz w:val="18"/>
                <w:szCs w:val="18"/>
                <w:highlight w:val="yellow"/>
              </w:rPr>
              <w:t>IF the child has its own Issuer ID THEN continue to N6 for that child. ELSE resolve that child row to O4 — Collect at the input issuer's own URL. A child with no Issuer ID has no separate entity to attribute assets to, so its assets (if any are visible) are expected to already be reflected in the input issuer's own collection, not tracked as a separate row.</w:t>
            </w:r>
          </w:p>
        </w:tc>
      </w:tr>
    </w:tbl>
    <w:p w14:paraId="15C4DAF4" w14:textId="77777777" w:rsidR="00EA7C9E" w:rsidRDefault="00EA7C9E">
      <w:pPr>
        <w:spacing w:after="100"/>
      </w:pPr>
    </w:p>
    <w:tbl>
      <w:tblPr>
        <w:tblW w:w="93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50"/>
      </w:tblGrid>
      <w:tr w:rsidR="00EA7C9E" w14:paraId="7E02D5B0" w14:textId="77777777">
        <w:tc>
          <w:tcPr>
            <w:tcW w:w="9350" w:type="dxa"/>
            <w:tcBorders>
              <w:top w:val="single" w:sz="4" w:space="0" w:color="C9971F"/>
              <w:left w:val="single" w:sz="4" w:space="0" w:color="C9971F"/>
              <w:bottom w:val="single" w:sz="4" w:space="0" w:color="C9971F"/>
              <w:right w:val="single" w:sz="4" w:space="0" w:color="C9971F"/>
            </w:tcBorders>
            <w:shd w:val="clear" w:color="auto" w:fill="FFF8E7"/>
            <w:tcMar>
              <w:top w:w="140" w:type="dxa"/>
              <w:left w:w="160" w:type="dxa"/>
              <w:bottom w:w="140" w:type="dxa"/>
              <w:right w:w="160" w:type="dxa"/>
            </w:tcMar>
          </w:tcPr>
          <w:p w14:paraId="3C106E66" w14:textId="77777777" w:rsidR="00EA7C9E" w:rsidRDefault="0068040D">
            <w:pPr>
              <w:spacing w:after="80"/>
            </w:pPr>
            <w:r>
              <w:rPr>
                <w:rFonts w:ascii="Calibri" w:eastAsia="Calibri" w:hAnsi="Calibri" w:cs="Calibri"/>
                <w:b/>
                <w:bCs/>
                <w:color w:val="1F3864"/>
                <w:sz w:val="18"/>
                <w:szCs w:val="18"/>
                <w:highlight w:val="yellow"/>
              </w:rPr>
              <w:t>RULE N6 — Child URL Check</w:t>
            </w:r>
          </w:p>
          <w:p w14:paraId="5D681BE4" w14:textId="77777777" w:rsidR="00EA7C9E" w:rsidRDefault="0068040D">
            <w:pPr>
              <w:spacing w:after="100"/>
            </w:pPr>
            <w:r>
              <w:rPr>
                <w:rFonts w:ascii="Arial" w:eastAsia="Arial" w:hAnsi="Arial" w:cs="Arial"/>
                <w:sz w:val="18"/>
                <w:szCs w:val="18"/>
                <w:highlight w:val="yellow"/>
              </w:rPr>
              <w:t>IF the child has its own URL THEN continue to N7. ELSE resolve to O5 — Skip collecting the child issuer ID. No enrichment attempt is made for a child with no URL — unlike N3 (the Input Issuer URL gate), there is no M2 fallback step for children. This is a confirmed simplification versus v1.1's Candidate enrichment-attempt proposal, which is superseded.</w:t>
            </w:r>
          </w:p>
        </w:tc>
      </w:tr>
    </w:tbl>
    <w:p w14:paraId="4DCCB54D" w14:textId="77777777" w:rsidR="00EA7C9E" w:rsidRDefault="00EA7C9E">
      <w:pPr>
        <w:spacing w:after="100"/>
      </w:pPr>
    </w:p>
    <w:tbl>
      <w:tblPr>
        <w:tblW w:w="93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50"/>
      </w:tblGrid>
      <w:tr w:rsidR="00EA7C9E" w14:paraId="17EA0B29" w14:textId="77777777">
        <w:tc>
          <w:tcPr>
            <w:tcW w:w="9350" w:type="dxa"/>
            <w:tcBorders>
              <w:top w:val="single" w:sz="4" w:space="0" w:color="C9971F"/>
              <w:left w:val="single" w:sz="4" w:space="0" w:color="C9971F"/>
              <w:bottom w:val="single" w:sz="4" w:space="0" w:color="C9971F"/>
              <w:right w:val="single" w:sz="4" w:space="0" w:color="C9971F"/>
            </w:tcBorders>
            <w:shd w:val="clear" w:color="auto" w:fill="FFF8E7"/>
            <w:tcMar>
              <w:top w:w="140" w:type="dxa"/>
              <w:left w:w="160" w:type="dxa"/>
              <w:bottom w:w="140" w:type="dxa"/>
              <w:right w:w="160" w:type="dxa"/>
            </w:tcMar>
          </w:tcPr>
          <w:p w14:paraId="41542842" w14:textId="77777777" w:rsidR="00EA7C9E" w:rsidRDefault="0068040D">
            <w:pPr>
              <w:spacing w:after="80"/>
            </w:pPr>
            <w:r>
              <w:rPr>
                <w:rFonts w:ascii="Calibri" w:eastAsia="Calibri" w:hAnsi="Calibri" w:cs="Calibri"/>
                <w:b/>
                <w:bCs/>
                <w:color w:val="1F3864"/>
                <w:sz w:val="18"/>
                <w:szCs w:val="18"/>
                <w:highlight w:val="yellow"/>
              </w:rPr>
              <w:lastRenderedPageBreak/>
              <w:t>RULE N7 — Hostname Match</w:t>
            </w:r>
          </w:p>
          <w:p w14:paraId="54994B49" w14:textId="77777777" w:rsidR="00EA7C9E" w:rsidRDefault="0068040D">
            <w:pPr>
              <w:spacing w:after="100"/>
            </w:pPr>
            <w:r>
              <w:rPr>
                <w:rFonts w:ascii="Arial" w:eastAsia="Arial" w:hAnsi="Arial" w:cs="Arial"/>
                <w:sz w:val="18"/>
                <w:szCs w:val="18"/>
                <w:highlight w:val="yellow"/>
              </w:rPr>
              <w:t>Compare the child's URL to the Input Issuer's URL at the hostname level only, ignoring path. IF the hostnames match THEN continue to N7a (multi-child collision check). IF the hostnames differ — including distinct root domains, distinct TLDs, and distinct subdomains/country-code subdomains (e.g. tt.scotiabank.com vs. scotiabank.com) — THEN resolve to O5 — Skip collecting the child issuer ID. A path difference alone (e.g. fedex.com/en-au/ vs. fedex.com/en-us/, same hostname fedex.com) does NOT count as a distinct URL and still continues Yes → N7a.</w:t>
            </w:r>
            <w:r>
              <w:rPr>
                <w:rFonts w:ascii="Arial" w:eastAsia="Arial" w:hAnsi="Arial" w:cs="Arial"/>
                <w:sz w:val="18"/>
                <w:szCs w:val="18"/>
                <w:highlight w:val="yellow"/>
              </w:rPr>
              <w:br/>
              <w:t>CONFIRMED DECISION: skipping on domain mismatch (rather than collecting every child regardless of domain) is deliberate, not a default. Collecting subsidiaries whose domain does not match the Input Issuer was found to overwhelm downstream analyst review, so this tree intentionally trades completeness for review manageability at N7. This applies uniformly — including to independently-rated children (child_univ_source = CORE/ACWI/WORLD): rated status is NOT a routing factor anywhere in this tree, and a rated child with a non-matching domain is skipped exactly like any other child. No enrichment or override is attempted for it at this stage.</w:t>
            </w:r>
          </w:p>
        </w:tc>
      </w:tr>
    </w:tbl>
    <w:p w14:paraId="08BADCFE" w14:textId="77777777" w:rsidR="00EA7C9E" w:rsidRDefault="00EA7C9E">
      <w:pPr>
        <w:spacing w:after="100"/>
      </w:pPr>
    </w:p>
    <w:tbl>
      <w:tblPr>
        <w:tblW w:w="93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50"/>
      </w:tblGrid>
      <w:tr w:rsidR="00EA7C9E" w14:paraId="68BE27A9" w14:textId="77777777">
        <w:tc>
          <w:tcPr>
            <w:tcW w:w="9350" w:type="dxa"/>
            <w:tcBorders>
              <w:top w:val="single" w:sz="4" w:space="0" w:color="C9971F"/>
              <w:left w:val="single" w:sz="4" w:space="0" w:color="C9971F"/>
              <w:bottom w:val="single" w:sz="4" w:space="0" w:color="C9971F"/>
              <w:right w:val="single" w:sz="4" w:space="0" w:color="C9971F"/>
            </w:tcBorders>
            <w:shd w:val="clear" w:color="auto" w:fill="FFF8E7"/>
            <w:tcMar>
              <w:top w:w="140" w:type="dxa"/>
              <w:left w:w="160" w:type="dxa"/>
              <w:bottom w:w="140" w:type="dxa"/>
              <w:right w:w="160" w:type="dxa"/>
            </w:tcMar>
          </w:tcPr>
          <w:p w14:paraId="03BCBF7D" w14:textId="77777777" w:rsidR="00EA7C9E" w:rsidRDefault="0068040D">
            <w:pPr>
              <w:spacing w:after="80"/>
            </w:pPr>
            <w:r>
              <w:rPr>
                <w:rFonts w:ascii="Calibri" w:eastAsia="Calibri" w:hAnsi="Calibri" w:cs="Calibri"/>
                <w:b/>
                <w:bCs/>
                <w:color w:val="1F3864"/>
                <w:sz w:val="18"/>
                <w:szCs w:val="18"/>
                <w:highlight w:val="yellow"/>
              </w:rPr>
              <w:t>RULE N7a — Multi-Child Same-URL Check (confirmed)</w:t>
            </w:r>
          </w:p>
          <w:p w14:paraId="7B0ACF43" w14:textId="77777777" w:rsidR="00EA7C9E" w:rsidRDefault="0068040D">
            <w:pPr>
              <w:spacing w:after="100"/>
            </w:pPr>
            <w:r>
              <w:rPr>
                <w:rFonts w:ascii="Arial" w:eastAsia="Arial" w:hAnsi="Arial" w:cs="Arial"/>
                <w:sz w:val="18"/>
                <w:szCs w:val="18"/>
                <w:highlight w:val="yellow"/>
              </w:rPr>
              <w:t>IF two or more children at the same hierarchy level are registered against the exact same URL (hostname-level match to the Input Issuer, per N7), with no way to disambiguate which child individually owns it, THEN resolve to O8 — collect the shared URL separately under EACH child's own Issuer ID. ELSE (only one child matches, or the ambiguity is resolvable) resolve to O6 — Collect at the child's own Issuer ID as normal. This node only runs after N7 has already confirmed a hostname match; it does not apply to children that were already skipped at N7.</w:t>
            </w:r>
          </w:p>
        </w:tc>
      </w:tr>
    </w:tbl>
    <w:p w14:paraId="62047501" w14:textId="77777777" w:rsidR="00EA7C9E" w:rsidRDefault="00EA7C9E">
      <w:pPr>
        <w:spacing w:after="100"/>
      </w:pPr>
    </w:p>
    <w:tbl>
      <w:tblPr>
        <w:tblW w:w="93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50"/>
      </w:tblGrid>
      <w:tr w:rsidR="00EA7C9E" w14:paraId="211E22A3" w14:textId="77777777" w:rsidTr="18CA0F2E">
        <w:tc>
          <w:tcPr>
            <w:tcW w:w="9350" w:type="dxa"/>
            <w:tcBorders>
              <w:top w:val="single" w:sz="4" w:space="0" w:color="C9971F"/>
              <w:left w:val="single" w:sz="4" w:space="0" w:color="C9971F"/>
              <w:bottom w:val="single" w:sz="4" w:space="0" w:color="C9971F"/>
              <w:right w:val="single" w:sz="4" w:space="0" w:color="C9971F"/>
            </w:tcBorders>
            <w:shd w:val="clear" w:color="auto" w:fill="FFF8E7"/>
            <w:tcMar>
              <w:top w:w="140" w:type="dxa"/>
              <w:left w:w="160" w:type="dxa"/>
              <w:bottom w:w="140" w:type="dxa"/>
              <w:right w:w="160" w:type="dxa"/>
            </w:tcMar>
          </w:tcPr>
          <w:p w14:paraId="600995CE" w14:textId="77777777" w:rsidR="00EA7C9E" w:rsidRDefault="0068040D">
            <w:pPr>
              <w:spacing w:after="80"/>
            </w:pPr>
            <w:r>
              <w:rPr>
                <w:rFonts w:ascii="Calibri" w:eastAsia="Calibri" w:hAnsi="Calibri" w:cs="Calibri"/>
                <w:b/>
                <w:bCs/>
                <w:color w:val="1F3864"/>
                <w:sz w:val="18"/>
                <w:szCs w:val="18"/>
                <w:highlight w:val="yellow"/>
              </w:rPr>
              <w:t>RULE O8 — Collect Separately, Not ‘Collect Both’</w:t>
            </w:r>
          </w:p>
          <w:p w14:paraId="6AC4F5FF" w14:textId="77777777" w:rsidR="00EA7C9E" w:rsidRDefault="18CA0F2E">
            <w:pPr>
              <w:spacing w:after="100"/>
            </w:pPr>
            <w:r w:rsidRPr="18CA0F2E">
              <w:rPr>
                <w:rFonts w:ascii="Arial" w:eastAsia="Arial" w:hAnsi="Arial" w:cs="Arial"/>
                <w:sz w:val="18"/>
                <w:szCs w:val="18"/>
                <w:highlight w:val="yellow"/>
              </w:rPr>
              <w:t>O8 does NOT collect at the parent, and it does NOT reintroduce the retired ‘Collect Both’ outcome (a parent+child simultaneous pass). Instead, each sibling child sharing the ambiguous URL is treated as its own, independent, most-granular collection point: the same source URL is logged once per child, each attributed to that child's own Issuer ID. Example (IHG): ihg.com is registered as child_url for 2 different IHG subsidiaries with no way to tell which owns the domain — collect ihg.com separately under each of the 2 child Issuer IDs, not under the parent (IHG PLC) and not as one merged row.</w:t>
            </w:r>
            <w:r>
              <w:rPr>
                <w:highlight w:val="yellow"/>
              </w:rPr>
              <w:t xml:space="preserve"> Sibling children resolved here are final — they are not individually re-gated by N8 (§3.2); the multi-child branch (O8) and the N8 subtype gate (single-child O6/O9 branch) are mutually exclusive paths out of N7a.</w:t>
            </w:r>
          </w:p>
        </w:tc>
      </w:tr>
      <w:tr w:rsidR="00EA7C9E" w14:paraId="0C3CA16C" w14:textId="77777777" w:rsidTr="18CA0F2E">
        <w:tc>
          <w:tcPr>
            <w:tcW w:w="9350" w:type="dxa"/>
            <w:tcBorders>
              <w:top w:val="single" w:sz="4" w:space="0" w:color="C9971F"/>
              <w:left w:val="single" w:sz="4" w:space="0" w:color="C9971F"/>
              <w:bottom w:val="single" w:sz="4" w:space="0" w:color="C9971F"/>
              <w:right w:val="single" w:sz="4" w:space="0" w:color="C9971F"/>
            </w:tcBorders>
            <w:shd w:val="clear" w:color="auto" w:fill="FFF8E7"/>
            <w:tcMar>
              <w:top w:w="140" w:type="dxa"/>
              <w:left w:w="160" w:type="dxa"/>
              <w:bottom w:w="140" w:type="dxa"/>
              <w:right w:w="160" w:type="dxa"/>
            </w:tcMar>
          </w:tcPr>
          <w:p w14:paraId="1C238961" w14:textId="77777777" w:rsidR="00EA7C9E" w:rsidRDefault="0068040D">
            <w:pPr>
              <w:spacing w:after="80"/>
            </w:pPr>
            <w:r>
              <w:rPr>
                <w:b/>
                <w:highlight w:val="yellow"/>
              </w:rPr>
              <w:t>RULE N8 — Child Scope Gate (relocated after N7a; same criterion as N2)</w:t>
            </w:r>
          </w:p>
          <w:p w14:paraId="1A5A10A1" w14:textId="77777777" w:rsidR="0091796C" w:rsidRDefault="00EE56CC">
            <w:r>
              <w:rPr>
                <w:highlight w:val="yellow"/>
              </w:rPr>
              <w:t>Runs only for the single child surviving N7a's disambiguation (N7a = No) — children resolved to O8 are not individually re-gated here. IF the surviving child is itself Financing Company or SPV (Debt Securitization or Other) THEN resolve to O9 — Collect Input Issuer ID at its own URL (fold the child's evidence into the Input Issuer's own collection; do not create a separate child row) and log failure_reason “child is Fin Co/SPV, folded into Input Issuer (N8)”. ELSE (child is OpCo, Other Corporate, Group Holding Company, Investment Holding Company, or Management Company) resolve to O6 — Collect at the child's own Issuer ID. CONFIRMED: N8 uses the identical, updated criterion as N2 (§2.2) — Financing Company/SPV is screened out; Other Corporate, Group Holding Company, Investment Holding Company, and Management Company continue, at either level. Relocating this gate to after N7a (rather than before N5, as in earlier versions) means Issuer ID (N5), URL (N6), and hostname-match/disambiguation (N7/N7a) are resolved before the child's own subtype is tested — confirmed by the methodology owner (§3.5) so that N8 only ever gates the single, already-disambiguated candidate headed for O6, not every child individually.</w:t>
            </w:r>
          </w:p>
        </w:tc>
      </w:tr>
    </w:tbl>
    <w:p w14:paraId="0D0950CE" w14:textId="77777777" w:rsidR="00EA7C9E" w:rsidRDefault="00EA7C9E">
      <w:pPr>
        <w:spacing w:after="100"/>
      </w:pPr>
    </w:p>
    <w:p w14:paraId="396D9487" w14:textId="77777777" w:rsidR="00EA7C9E" w:rsidRDefault="0068040D">
      <w:pPr>
        <w:pStyle w:val="Heading2"/>
        <w:spacing w:before="260" w:after="120"/>
      </w:pPr>
      <w:r>
        <w:rPr>
          <w:b/>
          <w:highlight w:val="yellow"/>
        </w:rPr>
        <w:t>3.3 Outcomes (O1–O6, O8–O9)</w:t>
      </w:r>
    </w:p>
    <w:tbl>
      <w:tblPr>
        <w:tblW w:w="93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2900"/>
        <w:gridCol w:w="3850"/>
      </w:tblGrid>
      <w:tr w:rsidR="00EA7C9E" w14:paraId="4D89361D" w14:textId="77777777" w:rsidTr="18CA0F2E">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BE7C088" w14:textId="77777777" w:rsidR="00EA7C9E" w:rsidRPr="005710F8" w:rsidRDefault="0068040D">
            <w:pPr>
              <w:rPr>
                <w:color w:val="000000" w:themeColor="text1"/>
              </w:rPr>
            </w:pPr>
            <w:r w:rsidRPr="005710F8">
              <w:rPr>
                <w:rFonts w:ascii="Arial" w:eastAsia="Arial" w:hAnsi="Arial" w:cs="Arial"/>
                <w:b/>
                <w:bCs/>
                <w:color w:val="000000" w:themeColor="text1"/>
                <w:sz w:val="17"/>
                <w:szCs w:val="17"/>
                <w:highlight w:val="yellow"/>
              </w:rPr>
              <w:t>Outcome</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4D1F1CE" w14:textId="77777777" w:rsidR="00EA7C9E" w:rsidRPr="005710F8" w:rsidRDefault="0068040D">
            <w:pPr>
              <w:rPr>
                <w:color w:val="000000" w:themeColor="text1"/>
              </w:rPr>
            </w:pPr>
            <w:r w:rsidRPr="005710F8">
              <w:rPr>
                <w:rFonts w:ascii="Arial" w:eastAsia="Arial" w:hAnsi="Arial" w:cs="Arial"/>
                <w:b/>
                <w:bCs/>
                <w:color w:val="000000" w:themeColor="text1"/>
                <w:sz w:val="17"/>
                <w:szCs w:val="17"/>
                <w:highlight w:val="yellow"/>
              </w:rPr>
              <w:t>Trigger</w:t>
            </w:r>
          </w:p>
        </w:tc>
        <w:tc>
          <w:tcPr>
            <w:tcW w:w="38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53641DB" w14:textId="77777777" w:rsidR="00EA7C9E" w:rsidRPr="005710F8" w:rsidRDefault="0068040D">
            <w:pPr>
              <w:rPr>
                <w:color w:val="000000" w:themeColor="text1"/>
              </w:rPr>
            </w:pPr>
            <w:r w:rsidRPr="005710F8">
              <w:rPr>
                <w:rFonts w:ascii="Arial" w:eastAsia="Arial" w:hAnsi="Arial" w:cs="Arial"/>
                <w:b/>
                <w:bCs/>
                <w:color w:val="000000" w:themeColor="text1"/>
                <w:sz w:val="17"/>
                <w:szCs w:val="17"/>
                <w:highlight w:val="yellow"/>
              </w:rPr>
              <w:t>Collection Action</w:t>
            </w:r>
          </w:p>
        </w:tc>
      </w:tr>
      <w:tr w:rsidR="00EA7C9E" w14:paraId="27FC2DF0" w14:textId="77777777" w:rsidTr="18CA0F2E">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3EDE249" w14:textId="77777777" w:rsidR="00EA7C9E" w:rsidRDefault="0068040D">
            <w:r>
              <w:rPr>
                <w:rFonts w:ascii="Arial" w:eastAsia="Arial" w:hAnsi="Arial" w:cs="Arial"/>
                <w:color w:val="000000"/>
                <w:sz w:val="17"/>
                <w:szCs w:val="17"/>
                <w:highlight w:val="yellow"/>
              </w:rPr>
              <w:t>O1 — Skip collection</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80EC5A3" w14:textId="77777777" w:rsidR="00EA7C9E" w:rsidRDefault="18CA0F2E">
            <w:r>
              <w:rPr>
                <w:highlight w:val="yellow"/>
              </w:rPr>
              <w:t>N2 = No (issuer is Financing Company or SPV)</w:t>
            </w:r>
          </w:p>
        </w:tc>
        <w:tc>
          <w:tcPr>
            <w:tcW w:w="38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9C0E41D" w14:textId="77777777" w:rsidR="00EA7C9E" w:rsidRDefault="0068040D">
            <w:r>
              <w:rPr>
                <w:rFonts w:ascii="Arial" w:eastAsia="Arial" w:hAnsi="Arial" w:cs="Arial"/>
                <w:color w:val="000000"/>
                <w:sz w:val="17"/>
                <w:szCs w:val="17"/>
                <w:highlight w:val="yellow"/>
              </w:rPr>
              <w:t xml:space="preserve">Do not collect at this entity level. Log the subtype and continue evaluating the rest of the </w:t>
            </w:r>
            <w:r>
              <w:rPr>
                <w:rFonts w:ascii="Arial" w:eastAsia="Arial" w:hAnsi="Arial" w:cs="Arial"/>
                <w:color w:val="000000"/>
                <w:sz w:val="17"/>
                <w:szCs w:val="17"/>
                <w:highlight w:val="yellow"/>
              </w:rPr>
              <w:lastRenderedPageBreak/>
              <w:t>hierarchy; any operating subsidiary is evaluated as its own Input Issuer.</w:t>
            </w:r>
          </w:p>
        </w:tc>
      </w:tr>
      <w:tr w:rsidR="00EA7C9E" w14:paraId="536255E7" w14:textId="77777777" w:rsidTr="18CA0F2E">
        <w:tc>
          <w:tcPr>
            <w:tcW w:w="26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107B1E44" w14:textId="77777777" w:rsidR="00EA7C9E" w:rsidRDefault="0068040D">
            <w:r>
              <w:rPr>
                <w:rFonts w:ascii="Arial" w:eastAsia="Arial" w:hAnsi="Arial" w:cs="Arial"/>
                <w:color w:val="000000"/>
                <w:sz w:val="17"/>
                <w:szCs w:val="17"/>
                <w:highlight w:val="yellow"/>
              </w:rPr>
              <w:lastRenderedPageBreak/>
              <w:t>O2 — Enrich URL via M2 fallback rule</w:t>
            </w:r>
          </w:p>
        </w:tc>
        <w:tc>
          <w:tcPr>
            <w:tcW w:w="29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5E44D484" w14:textId="77777777" w:rsidR="00EA7C9E" w:rsidRDefault="0068040D">
            <w:r>
              <w:rPr>
                <w:rFonts w:ascii="Arial" w:eastAsia="Arial" w:hAnsi="Arial" w:cs="Arial"/>
                <w:color w:val="000000"/>
                <w:sz w:val="17"/>
                <w:szCs w:val="17"/>
                <w:highlight w:val="yellow"/>
              </w:rPr>
              <w:t>N3 = No (issuer has no URL)</w:t>
            </w:r>
          </w:p>
        </w:tc>
        <w:tc>
          <w:tcPr>
            <w:tcW w:w="385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1199C68A" w14:textId="77777777" w:rsidR="00EA7C9E" w:rsidRDefault="0068040D">
            <w:r>
              <w:rPr>
                <w:rFonts w:ascii="Arial" w:eastAsia="Arial" w:hAnsi="Arial" w:cs="Arial"/>
                <w:color w:val="000000"/>
                <w:sz w:val="17"/>
                <w:szCs w:val="17"/>
                <w:highlight w:val="yellow"/>
              </w:rPr>
              <w:t>Attempt derivation per M1's fallback rule (Issuer Name or regulatory filing). Re-enter N3 if resolved; log a gap if not (§3.2, §3.5).</w:t>
            </w:r>
          </w:p>
        </w:tc>
      </w:tr>
      <w:tr w:rsidR="00EA7C9E" w14:paraId="4FE89BED" w14:textId="77777777" w:rsidTr="18CA0F2E">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E865A7A" w14:textId="77777777" w:rsidR="00EA7C9E" w:rsidRDefault="0068040D">
            <w:r>
              <w:rPr>
                <w:rFonts w:ascii="Arial" w:eastAsia="Arial" w:hAnsi="Arial" w:cs="Arial"/>
                <w:color w:val="000000"/>
                <w:sz w:val="17"/>
                <w:szCs w:val="17"/>
                <w:highlight w:val="yellow"/>
              </w:rPr>
              <w:t>O3 — Collect Input Issuer ID at its own URL</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349F92E" w14:textId="77777777" w:rsidR="00EA7C9E" w:rsidRDefault="0068040D">
            <w:r>
              <w:rPr>
                <w:rFonts w:ascii="Arial" w:eastAsia="Arial" w:hAnsi="Arial" w:cs="Arial"/>
                <w:color w:val="000000"/>
                <w:sz w:val="17"/>
                <w:szCs w:val="17"/>
                <w:highlight w:val="yellow"/>
              </w:rPr>
              <w:t>N4 = No (issuer has no children)</w:t>
            </w:r>
          </w:p>
        </w:tc>
        <w:tc>
          <w:tcPr>
            <w:tcW w:w="38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7E8FAC1" w14:textId="77777777" w:rsidR="00EA7C9E" w:rsidRDefault="18CA0F2E">
            <w:r w:rsidRPr="18CA0F2E">
              <w:rPr>
                <w:rFonts w:ascii="Arial" w:eastAsia="Arial" w:hAnsi="Arial" w:cs="Arial"/>
                <w:color w:val="000000"/>
                <w:sz w:val="17"/>
                <w:szCs w:val="17"/>
                <w:highlight w:val="yellow"/>
              </w:rPr>
              <w:t>Collect from the Input Issuer's own URL as the sole source; no child-level evaluation needed.</w:t>
            </w:r>
          </w:p>
        </w:tc>
      </w:tr>
      <w:tr w:rsidR="00EA7C9E" w14:paraId="1EAC4DB6" w14:textId="77777777" w:rsidTr="18CA0F2E">
        <w:tc>
          <w:tcPr>
            <w:tcW w:w="26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29B2AD76" w14:textId="77777777" w:rsidR="00EA7C9E" w:rsidRDefault="0068040D">
            <w:r>
              <w:rPr>
                <w:rFonts w:ascii="Arial" w:eastAsia="Arial" w:hAnsi="Arial" w:cs="Arial"/>
                <w:color w:val="000000"/>
                <w:sz w:val="17"/>
                <w:szCs w:val="17"/>
                <w:highlight w:val="yellow"/>
              </w:rPr>
              <w:t>O4 — Collect Input Issuer ID at its own URL</w:t>
            </w:r>
          </w:p>
        </w:tc>
        <w:tc>
          <w:tcPr>
            <w:tcW w:w="29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46B563F4" w14:textId="77777777" w:rsidR="00EA7C9E" w:rsidRDefault="0068040D">
            <w:r>
              <w:rPr>
                <w:rFonts w:ascii="Arial" w:eastAsia="Arial" w:hAnsi="Arial" w:cs="Arial"/>
                <w:color w:val="000000"/>
                <w:sz w:val="17"/>
                <w:szCs w:val="17"/>
                <w:highlight w:val="yellow"/>
              </w:rPr>
              <w:t>N5 = No (child has no Issuer ID)</w:t>
            </w:r>
          </w:p>
        </w:tc>
        <w:tc>
          <w:tcPr>
            <w:tcW w:w="385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37C86A8C" w14:textId="77777777" w:rsidR="00EA7C9E" w:rsidRDefault="18CA0F2E">
            <w:r w:rsidRPr="18CA0F2E">
              <w:rPr>
                <w:rFonts w:ascii="Arial" w:eastAsia="Arial" w:hAnsi="Arial" w:cs="Arial"/>
                <w:color w:val="000000"/>
                <w:sz w:val="17"/>
                <w:szCs w:val="17"/>
                <w:highlight w:val="yellow"/>
              </w:rPr>
              <w:t>No separate child-level row is created; the child's assets are expected to already be reflected in the Input Issuer's own collection.</w:t>
            </w:r>
          </w:p>
        </w:tc>
      </w:tr>
      <w:tr w:rsidR="00EA7C9E" w14:paraId="5E64278E" w14:textId="77777777" w:rsidTr="18CA0F2E">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32DF238" w14:textId="77777777" w:rsidR="00EA7C9E" w:rsidRDefault="0068040D">
            <w:r>
              <w:rPr>
                <w:rFonts w:ascii="Arial" w:eastAsia="Arial" w:hAnsi="Arial" w:cs="Arial"/>
                <w:color w:val="000000"/>
                <w:sz w:val="17"/>
                <w:szCs w:val="17"/>
                <w:highlight w:val="yellow"/>
              </w:rPr>
              <w:t>O5 — Skip collecting the child issuer ID</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4B2238A" w14:textId="77777777" w:rsidR="00EA7C9E" w:rsidRDefault="0068040D">
            <w:r>
              <w:rPr>
                <w:rFonts w:ascii="Arial" w:eastAsia="Arial" w:hAnsi="Arial" w:cs="Arial"/>
                <w:color w:val="000000"/>
                <w:sz w:val="17"/>
                <w:szCs w:val="17"/>
                <w:highlight w:val="yellow"/>
              </w:rPr>
              <w:t>N6 = No, or N7 = No</w:t>
            </w:r>
          </w:p>
        </w:tc>
        <w:tc>
          <w:tcPr>
            <w:tcW w:w="38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519D9B6" w14:textId="77777777" w:rsidR="005D4F57" w:rsidRPr="005D4F57" w:rsidRDefault="0068040D" w:rsidP="005D4F57">
            <w:pPr>
              <w:rPr>
                <w:rFonts w:ascii="Arial" w:eastAsia="Arial" w:hAnsi="Arial" w:cs="Arial"/>
                <w:color w:val="000000"/>
                <w:sz w:val="17"/>
                <w:szCs w:val="17"/>
                <w:highlight w:val="yellow"/>
                <w:lang w:val="en-PH"/>
              </w:rPr>
            </w:pPr>
            <w:r>
              <w:rPr>
                <w:rFonts w:ascii="Arial" w:eastAsia="Arial" w:hAnsi="Arial" w:cs="Arial"/>
                <w:color w:val="000000"/>
                <w:sz w:val="17"/>
                <w:szCs w:val="17"/>
                <w:highlight w:val="yellow"/>
              </w:rPr>
              <w:t>Do not create a child-level collection row. Evidence for this child, if any, stays under the Input Issuer only.</w:t>
            </w:r>
            <w:r w:rsidR="005D4F57">
              <w:rPr>
                <w:rFonts w:ascii="Arial" w:eastAsia="Arial" w:hAnsi="Arial" w:cs="Arial"/>
                <w:color w:val="000000"/>
                <w:sz w:val="17"/>
                <w:szCs w:val="17"/>
              </w:rPr>
              <w:t xml:space="preserve"> </w:t>
            </w:r>
            <w:r w:rsidR="005D4F57" w:rsidRPr="005D4F57">
              <w:rPr>
                <w:rFonts w:ascii="Arial" w:eastAsia="Arial" w:hAnsi="Arial" w:cs="Arial"/>
                <w:color w:val="000000"/>
                <w:sz w:val="17"/>
                <w:szCs w:val="17"/>
                <w:highlight w:val="yellow"/>
                <w:lang w:val="en-PH"/>
              </w:rPr>
              <w:t>Collect Input Issuer ID</w:t>
            </w:r>
          </w:p>
          <w:p w14:paraId="610A2CC3" w14:textId="7BC20357" w:rsidR="00EA7C9E" w:rsidRDefault="005D4F57" w:rsidP="005D4F57">
            <w:r w:rsidRPr="005D4F57">
              <w:rPr>
                <w:rFonts w:ascii="Arial" w:eastAsia="Arial" w:hAnsi="Arial" w:cs="Arial"/>
                <w:color w:val="000000"/>
                <w:sz w:val="17"/>
                <w:szCs w:val="17"/>
                <w:highlight w:val="yellow"/>
                <w:lang w:val="en-PH"/>
              </w:rPr>
              <w:t>at its own URL</w:t>
            </w:r>
          </w:p>
        </w:tc>
      </w:tr>
      <w:tr w:rsidR="00EA7C9E" w14:paraId="07439B43" w14:textId="77777777" w:rsidTr="18CA0F2E">
        <w:tc>
          <w:tcPr>
            <w:tcW w:w="26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434E4FF2" w14:textId="77777777" w:rsidR="00EA7C9E" w:rsidRDefault="0068040D">
            <w:r>
              <w:rPr>
                <w:rFonts w:ascii="Arial" w:eastAsia="Arial" w:hAnsi="Arial" w:cs="Arial"/>
                <w:color w:val="000000"/>
                <w:sz w:val="17"/>
                <w:szCs w:val="17"/>
                <w:highlight w:val="yellow"/>
              </w:rPr>
              <w:t>O6 — Collect at the child's own Issuer ID</w:t>
            </w:r>
          </w:p>
        </w:tc>
        <w:tc>
          <w:tcPr>
            <w:tcW w:w="29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2E5DDD31" w14:textId="77777777" w:rsidR="00EA7C9E" w:rsidRDefault="0068040D">
            <w:r>
              <w:rPr>
                <w:rFonts w:ascii="Arial" w:eastAsia="Arial" w:hAnsi="Arial" w:cs="Arial"/>
                <w:color w:val="000000"/>
                <w:sz w:val="17"/>
                <w:szCs w:val="17"/>
                <w:highlight w:val="yellow"/>
              </w:rPr>
              <w:t>N7a = No (single, unambiguous child)</w:t>
            </w:r>
          </w:p>
        </w:tc>
        <w:tc>
          <w:tcPr>
            <w:tcW w:w="385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61FB7851" w14:textId="77777777" w:rsidR="00EA7C9E" w:rsidRDefault="18CA0F2E">
            <w:r w:rsidRPr="18CA0F2E">
              <w:rPr>
                <w:rFonts w:ascii="Arial" w:eastAsia="Arial" w:hAnsi="Arial" w:cs="Arial"/>
                <w:color w:val="000000"/>
                <w:sz w:val="17"/>
                <w:szCs w:val="17"/>
                <w:highlight w:val="yellow"/>
              </w:rPr>
              <w:t>Collect at the child's own URL, attributed to the child's own Issuer ID, flagged is_subsidiary = Yes.</w:t>
            </w:r>
          </w:p>
        </w:tc>
      </w:tr>
      <w:tr w:rsidR="00EA7C9E" w14:paraId="7C52D4BB" w14:textId="77777777" w:rsidTr="18CA0F2E">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7A81907" w14:textId="77777777" w:rsidR="00EA7C9E" w:rsidRDefault="0068040D">
            <w:r>
              <w:rPr>
                <w:rFonts w:ascii="Arial" w:eastAsia="Arial" w:hAnsi="Arial" w:cs="Arial"/>
                <w:color w:val="000000"/>
                <w:sz w:val="17"/>
                <w:szCs w:val="17"/>
                <w:highlight w:val="yellow"/>
              </w:rPr>
              <w:t>O8 — Collect separately under each child's own Issuer ID</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6D50A85" w14:textId="77777777" w:rsidR="00EA7C9E" w:rsidRDefault="0068040D">
            <w:r>
              <w:rPr>
                <w:rFonts w:ascii="Arial" w:eastAsia="Arial" w:hAnsi="Arial" w:cs="Arial"/>
                <w:color w:val="000000"/>
                <w:sz w:val="17"/>
                <w:szCs w:val="17"/>
                <w:highlight w:val="yellow"/>
              </w:rPr>
              <w:t>N7a = Yes (2+ children share the exact same URL, unresolvable)</w:t>
            </w:r>
          </w:p>
        </w:tc>
        <w:tc>
          <w:tcPr>
            <w:tcW w:w="38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6015627" w14:textId="77777777" w:rsidR="00EA7C9E" w:rsidRDefault="0068040D">
            <w:r>
              <w:rPr>
                <w:rFonts w:ascii="Arial" w:eastAsia="Arial" w:hAnsi="Arial" w:cs="Arial"/>
                <w:color w:val="000000"/>
                <w:sz w:val="17"/>
                <w:szCs w:val="17"/>
                <w:highlight w:val="yellow"/>
              </w:rPr>
              <w:t>Collect the shared URL once per sibling child, each attributed to that child's own Issuer ID. Not the parent; not a merged ‘Collect Both’ row.</w:t>
            </w:r>
          </w:p>
        </w:tc>
      </w:tr>
      <w:tr w:rsidR="0091796C" w14:paraId="1FB5A7F3" w14:textId="77777777">
        <w:tc>
          <w:tcPr>
            <w:tcW w:w="2600" w:type="dxa"/>
          </w:tcPr>
          <w:p w14:paraId="10B7FD7A" w14:textId="77777777" w:rsidR="0091796C" w:rsidRDefault="00EE56CC">
            <w:r>
              <w:rPr>
                <w:highlight w:val="yellow"/>
              </w:rPr>
              <w:t>O9 — Collect Input Issuer ID at its own URL</w:t>
            </w:r>
          </w:p>
        </w:tc>
        <w:tc>
          <w:tcPr>
            <w:tcW w:w="2900" w:type="dxa"/>
          </w:tcPr>
          <w:p w14:paraId="7D83E864" w14:textId="77777777" w:rsidR="0091796C" w:rsidRDefault="00EE56CC">
            <w:r>
              <w:rPr>
                <w:highlight w:val="yellow"/>
              </w:rPr>
              <w:t>N8 = No (surviving child hostname-matches, but is itself Financing Company or SPV)</w:t>
            </w:r>
          </w:p>
        </w:tc>
        <w:tc>
          <w:tcPr>
            <w:tcW w:w="3850" w:type="dxa"/>
          </w:tcPr>
          <w:p w14:paraId="48773193" w14:textId="77777777" w:rsidR="0091796C" w:rsidRDefault="00EE56CC">
            <w:r>
              <w:rPr>
                <w:highlight w:val="yellow"/>
              </w:rPr>
              <w:t>Fold the child's evidence into the Input Issuer's own collection; do not create a separate child-level row. Same collection action as O3/O4, kept as a distinct code for audit-trail purposes (§3.3).</w:t>
            </w:r>
          </w:p>
        </w:tc>
      </w:tr>
    </w:tbl>
    <w:p w14:paraId="16F8DD10" w14:textId="77777777" w:rsidR="00EA7C9E" w:rsidRDefault="00EA7C9E">
      <w:pPr>
        <w:spacing w:after="100"/>
      </w:pPr>
    </w:p>
    <w:p w14:paraId="644562BC" w14:textId="77777777" w:rsidR="00EA7C9E" w:rsidRDefault="0068040D">
      <w:pPr>
        <w:spacing w:after="160"/>
      </w:pPr>
      <w:r>
        <w:rPr>
          <w:highlight w:val="yellow"/>
        </w:rPr>
        <w:t>Note on O3, O4, and O9: these three outcomes share identical wording (“Collect Input Issuer ID at its own URL”) by design, not by accident — all three terminate at the same collection action (the Input Issuer's own URL is the only source), but they are reached via different logic: O3 (no children at all), O4 (a child that exists but has no separately trackable Issuer ID), and O9 (a child that has an Issuer ID, URL, and hostname match, but is itself Financing Company or SPV and so is folded back into the Input Issuer's own collection at N8). They are kept as distinct outcome codes for audit-trail purposes.</w:t>
      </w:r>
    </w:p>
    <w:p w14:paraId="54E9C1C7" w14:textId="77777777" w:rsidR="00EA7C9E" w:rsidRDefault="00EA7C9E">
      <w:pPr>
        <w:spacing w:after="100"/>
      </w:pPr>
    </w:p>
    <w:p w14:paraId="26BBD652" w14:textId="77777777" w:rsidR="00EA7C9E" w:rsidRDefault="0068040D">
      <w:pPr>
        <w:pStyle w:val="Heading2"/>
        <w:spacing w:before="260" w:after="120"/>
      </w:pPr>
      <w:r>
        <w:rPr>
          <w:rFonts w:ascii="Calibri" w:eastAsia="Calibri" w:hAnsi="Calibri" w:cs="Calibri"/>
          <w:b/>
          <w:bCs/>
          <w:color w:val="4F81BD"/>
          <w:sz w:val="24"/>
          <w:szCs w:val="24"/>
          <w:highlight w:val="yellow"/>
        </w:rPr>
        <w:t>3.4 Decision Rule Matrix</w:t>
      </w:r>
    </w:p>
    <w:p w14:paraId="0F19D844" w14:textId="77777777" w:rsidR="00EA7C9E" w:rsidRDefault="0068040D">
      <w:pPr>
        <w:spacing w:after="160"/>
      </w:pPr>
      <w:r>
        <w:rPr>
          <w:rFonts w:ascii="Arial" w:eastAsia="Arial" w:hAnsi="Arial" w:cs="Arial"/>
          <w:sz w:val="18"/>
          <w:szCs w:val="18"/>
          <w:highlight w:val="yellow"/>
        </w:rPr>
        <w:t>A summary lookup table of all nodes with their conditions and resulting outcome, for quick agent reference. This mirrors §3.1 but is organized by outcome rather than by node sequence.</w:t>
      </w:r>
    </w:p>
    <w:tbl>
      <w:tblPr>
        <w:tblW w:w="93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300"/>
        <w:gridCol w:w="1300"/>
        <w:gridCol w:w="4750"/>
      </w:tblGrid>
      <w:tr w:rsidR="00EA7C9E" w14:paraId="3E542117" w14:textId="77777777" w:rsidTr="18CA0F2E">
        <w:trPr>
          <w:tblHeader/>
        </w:trPr>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D8A5F53" w14:textId="77777777" w:rsidR="00EA7C9E" w:rsidRPr="005710F8" w:rsidRDefault="0068040D">
            <w:pPr>
              <w:rPr>
                <w:color w:val="000000" w:themeColor="text1"/>
              </w:rPr>
            </w:pPr>
            <w:r w:rsidRPr="005710F8">
              <w:rPr>
                <w:rFonts w:ascii="Arial" w:eastAsia="Arial" w:hAnsi="Arial" w:cs="Arial"/>
                <w:b/>
                <w:bCs/>
                <w:color w:val="000000" w:themeColor="text1"/>
                <w:sz w:val="17"/>
                <w:szCs w:val="17"/>
                <w:highlight w:val="yellow"/>
              </w:rPr>
              <w:t>Outcome</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077DCF3" w14:textId="77777777" w:rsidR="00EA7C9E" w:rsidRPr="005710F8" w:rsidRDefault="0068040D">
            <w:pPr>
              <w:rPr>
                <w:color w:val="000000" w:themeColor="text1"/>
              </w:rPr>
            </w:pPr>
            <w:r w:rsidRPr="005710F8">
              <w:rPr>
                <w:rFonts w:ascii="Arial" w:eastAsia="Arial" w:hAnsi="Arial" w:cs="Arial"/>
                <w:b/>
                <w:bCs/>
                <w:color w:val="000000" w:themeColor="text1"/>
                <w:sz w:val="17"/>
                <w:szCs w:val="17"/>
                <w:highlight w:val="yellow"/>
              </w:rPr>
              <w:t>Reached from</w:t>
            </w:r>
          </w:p>
        </w:tc>
        <w:tc>
          <w:tcPr>
            <w:tcW w:w="47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1644266" w14:textId="77777777" w:rsidR="00EA7C9E" w:rsidRPr="005710F8" w:rsidRDefault="0068040D">
            <w:pPr>
              <w:rPr>
                <w:color w:val="000000" w:themeColor="text1"/>
              </w:rPr>
            </w:pPr>
            <w:r w:rsidRPr="005710F8">
              <w:rPr>
                <w:rFonts w:ascii="Arial" w:eastAsia="Arial" w:hAnsi="Arial" w:cs="Arial"/>
                <w:b/>
                <w:bCs/>
                <w:color w:val="000000" w:themeColor="text1"/>
                <w:sz w:val="17"/>
                <w:szCs w:val="17"/>
                <w:highlight w:val="yellow"/>
              </w:rPr>
              <w:t>Condition</w:t>
            </w:r>
          </w:p>
        </w:tc>
      </w:tr>
      <w:tr w:rsidR="00EA7C9E" w14:paraId="54EF2551" w14:textId="77777777" w:rsidTr="18CA0F2E">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C86479F" w14:textId="77777777" w:rsidR="00EA7C9E" w:rsidRDefault="0068040D">
            <w:r>
              <w:rPr>
                <w:rFonts w:ascii="Arial" w:eastAsia="Arial" w:hAnsi="Arial" w:cs="Arial"/>
                <w:color w:val="000000"/>
                <w:sz w:val="17"/>
                <w:szCs w:val="17"/>
                <w:highlight w:val="yellow"/>
              </w:rPr>
              <w:t>O1 — Skip collection</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676778E" w14:textId="77777777" w:rsidR="00EA7C9E" w:rsidRDefault="0068040D">
            <w:r>
              <w:rPr>
                <w:rFonts w:ascii="Arial" w:eastAsia="Arial" w:hAnsi="Arial" w:cs="Arial"/>
                <w:color w:val="000000"/>
                <w:sz w:val="17"/>
                <w:szCs w:val="17"/>
                <w:highlight w:val="yellow"/>
              </w:rPr>
              <w:t>N2</w:t>
            </w:r>
          </w:p>
        </w:tc>
        <w:tc>
          <w:tcPr>
            <w:tcW w:w="4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9D53F6E" w14:textId="77777777" w:rsidR="00EA7C9E" w:rsidRDefault="18CA0F2E">
            <w:r>
              <w:rPr>
                <w:highlight w:val="yellow"/>
              </w:rPr>
              <w:t>issuer_msci_subtype = Financing Company or SPV</w:t>
            </w:r>
          </w:p>
        </w:tc>
      </w:tr>
      <w:tr w:rsidR="00EA7C9E" w14:paraId="34444CFE" w14:textId="77777777" w:rsidTr="18CA0F2E">
        <w:tc>
          <w:tcPr>
            <w:tcW w:w="33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757783C4" w14:textId="77777777" w:rsidR="00EA7C9E" w:rsidRDefault="0068040D">
            <w:r>
              <w:rPr>
                <w:rFonts w:ascii="Arial" w:eastAsia="Arial" w:hAnsi="Arial" w:cs="Arial"/>
                <w:color w:val="000000"/>
                <w:sz w:val="17"/>
                <w:szCs w:val="17"/>
                <w:highlight w:val="yellow"/>
              </w:rPr>
              <w:t>O2 — Enrich URL via M2</w:t>
            </w:r>
          </w:p>
        </w:tc>
        <w:tc>
          <w:tcPr>
            <w:tcW w:w="13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0506F343" w14:textId="77777777" w:rsidR="00EA7C9E" w:rsidRDefault="0068040D">
            <w:r>
              <w:rPr>
                <w:rFonts w:ascii="Arial" w:eastAsia="Arial" w:hAnsi="Arial" w:cs="Arial"/>
                <w:color w:val="000000"/>
                <w:sz w:val="17"/>
                <w:szCs w:val="17"/>
                <w:highlight w:val="yellow"/>
              </w:rPr>
              <w:t>N3</w:t>
            </w:r>
          </w:p>
        </w:tc>
        <w:tc>
          <w:tcPr>
            <w:tcW w:w="475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76AF0AF5" w14:textId="77777777" w:rsidR="00EA7C9E" w:rsidRDefault="0068040D">
            <w:r>
              <w:rPr>
                <w:rFonts w:ascii="Arial" w:eastAsia="Arial" w:hAnsi="Arial" w:cs="Arial"/>
                <w:color w:val="000000"/>
                <w:sz w:val="17"/>
                <w:szCs w:val="17"/>
                <w:highlight w:val="yellow"/>
              </w:rPr>
              <w:t>Issuer has no Parent URL</w:t>
            </w:r>
          </w:p>
        </w:tc>
      </w:tr>
      <w:tr w:rsidR="00EA7C9E" w14:paraId="4CBC54D2" w14:textId="77777777" w:rsidTr="18CA0F2E">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B4A8D02" w14:textId="77777777" w:rsidR="00EA7C9E" w:rsidRDefault="0068040D">
            <w:r>
              <w:rPr>
                <w:rFonts w:ascii="Arial" w:eastAsia="Arial" w:hAnsi="Arial" w:cs="Arial"/>
                <w:color w:val="000000"/>
                <w:sz w:val="17"/>
                <w:szCs w:val="17"/>
                <w:highlight w:val="yellow"/>
              </w:rPr>
              <w:t>O3 — Collect Input Issuer ID at its own URL</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6104C4F" w14:textId="77777777" w:rsidR="00EA7C9E" w:rsidRDefault="0068040D">
            <w:r>
              <w:rPr>
                <w:rFonts w:ascii="Arial" w:eastAsia="Arial" w:hAnsi="Arial" w:cs="Arial"/>
                <w:color w:val="000000"/>
                <w:sz w:val="17"/>
                <w:szCs w:val="17"/>
                <w:highlight w:val="yellow"/>
              </w:rPr>
              <w:t>N4</w:t>
            </w:r>
          </w:p>
        </w:tc>
        <w:tc>
          <w:tcPr>
            <w:tcW w:w="4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A4C5096" w14:textId="77777777" w:rsidR="00EA7C9E" w:rsidRDefault="18CA0F2E">
            <w:r w:rsidRPr="18CA0F2E">
              <w:rPr>
                <w:rFonts w:ascii="Arial" w:eastAsia="Arial" w:hAnsi="Arial" w:cs="Arial"/>
                <w:color w:val="000000"/>
                <w:sz w:val="17"/>
                <w:szCs w:val="17"/>
                <w:highlight w:val="yellow"/>
              </w:rPr>
              <w:t>Issuer is an OpCo or Other Corporate with a URL and no listed children</w:t>
            </w:r>
          </w:p>
        </w:tc>
      </w:tr>
      <w:tr w:rsidR="00EA7C9E" w14:paraId="63980573" w14:textId="77777777" w:rsidTr="18CA0F2E">
        <w:tc>
          <w:tcPr>
            <w:tcW w:w="33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700EDD52" w14:textId="77777777" w:rsidR="00EA7C9E" w:rsidRDefault="0068040D">
            <w:r>
              <w:rPr>
                <w:rFonts w:ascii="Arial" w:eastAsia="Arial" w:hAnsi="Arial" w:cs="Arial"/>
                <w:color w:val="000000"/>
                <w:sz w:val="17"/>
                <w:szCs w:val="17"/>
                <w:highlight w:val="yellow"/>
              </w:rPr>
              <w:t>O4 — Collect Input Issuer ID at its own URL</w:t>
            </w:r>
          </w:p>
        </w:tc>
        <w:tc>
          <w:tcPr>
            <w:tcW w:w="13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054D7540" w14:textId="77777777" w:rsidR="00EA7C9E" w:rsidRDefault="0068040D">
            <w:r>
              <w:rPr>
                <w:rFonts w:ascii="Arial" w:eastAsia="Arial" w:hAnsi="Arial" w:cs="Arial"/>
                <w:color w:val="000000"/>
                <w:sz w:val="17"/>
                <w:szCs w:val="17"/>
                <w:highlight w:val="yellow"/>
              </w:rPr>
              <w:t>N5</w:t>
            </w:r>
          </w:p>
        </w:tc>
        <w:tc>
          <w:tcPr>
            <w:tcW w:w="475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0797BF71" w14:textId="77777777" w:rsidR="00EA7C9E" w:rsidRDefault="0068040D">
            <w:r>
              <w:rPr>
                <w:rFonts w:ascii="Arial" w:eastAsia="Arial" w:hAnsi="Arial" w:cs="Arial"/>
                <w:color w:val="000000"/>
                <w:sz w:val="17"/>
                <w:szCs w:val="17"/>
                <w:highlight w:val="yellow"/>
              </w:rPr>
              <w:t>Child has no Issuer ID</w:t>
            </w:r>
          </w:p>
        </w:tc>
      </w:tr>
      <w:tr w:rsidR="00EA7C9E" w14:paraId="2F694B8C" w14:textId="77777777" w:rsidTr="18CA0F2E">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A15FDD8" w14:textId="77777777" w:rsidR="00EA7C9E" w:rsidRDefault="0068040D">
            <w:r>
              <w:rPr>
                <w:rFonts w:ascii="Arial" w:eastAsia="Arial" w:hAnsi="Arial" w:cs="Arial"/>
                <w:color w:val="000000"/>
                <w:sz w:val="17"/>
                <w:szCs w:val="17"/>
                <w:highlight w:val="yellow"/>
              </w:rPr>
              <w:t>O5 — Skip collecting the child issuer ID</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8B824FB" w14:textId="77777777" w:rsidR="00EA7C9E" w:rsidRDefault="0068040D">
            <w:r>
              <w:rPr>
                <w:rFonts w:ascii="Arial" w:eastAsia="Arial" w:hAnsi="Arial" w:cs="Arial"/>
                <w:color w:val="000000"/>
                <w:sz w:val="17"/>
                <w:szCs w:val="17"/>
                <w:highlight w:val="yellow"/>
              </w:rPr>
              <w:t>N6 or N7</w:t>
            </w:r>
          </w:p>
        </w:tc>
        <w:tc>
          <w:tcPr>
            <w:tcW w:w="4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B6F7F08" w14:textId="77777777" w:rsidR="00EA7C9E" w:rsidRDefault="0068040D">
            <w:r>
              <w:rPr>
                <w:rFonts w:ascii="Arial" w:eastAsia="Arial" w:hAnsi="Arial" w:cs="Arial"/>
                <w:color w:val="000000"/>
                <w:sz w:val="17"/>
                <w:szCs w:val="17"/>
                <w:highlight w:val="yellow"/>
              </w:rPr>
              <w:t>Child has an Issuer ID but no URL (N6), OR has a URL that does not hostname-match the Input Issuer (N7)</w:t>
            </w:r>
          </w:p>
        </w:tc>
      </w:tr>
      <w:tr w:rsidR="00EA7C9E" w14:paraId="0880A0AE" w14:textId="77777777" w:rsidTr="18CA0F2E">
        <w:tc>
          <w:tcPr>
            <w:tcW w:w="33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7583F43A" w14:textId="77777777" w:rsidR="00EA7C9E" w:rsidRDefault="0068040D">
            <w:r>
              <w:rPr>
                <w:rFonts w:ascii="Arial" w:eastAsia="Arial" w:hAnsi="Arial" w:cs="Arial"/>
                <w:color w:val="000000"/>
                <w:sz w:val="17"/>
                <w:szCs w:val="17"/>
                <w:highlight w:val="yellow"/>
              </w:rPr>
              <w:t>O6 — Collect at the child's own Issuer ID</w:t>
            </w:r>
          </w:p>
        </w:tc>
        <w:tc>
          <w:tcPr>
            <w:tcW w:w="13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623D4204" w14:textId="77777777" w:rsidR="00EA7C9E" w:rsidRDefault="0068040D">
            <w:r>
              <w:rPr>
                <w:rFonts w:ascii="Arial" w:eastAsia="Arial" w:hAnsi="Arial" w:cs="Arial"/>
                <w:color w:val="000000"/>
                <w:sz w:val="17"/>
                <w:szCs w:val="17"/>
                <w:highlight w:val="yellow"/>
              </w:rPr>
              <w:t>N7a</w:t>
            </w:r>
          </w:p>
        </w:tc>
        <w:tc>
          <w:tcPr>
            <w:tcW w:w="475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631A717C" w14:textId="77777777" w:rsidR="00EA7C9E" w:rsidRDefault="0068040D">
            <w:r>
              <w:rPr>
                <w:rFonts w:ascii="Arial" w:eastAsia="Arial" w:hAnsi="Arial" w:cs="Arial"/>
                <w:color w:val="000000"/>
                <w:sz w:val="17"/>
                <w:szCs w:val="17"/>
                <w:highlight w:val="yellow"/>
              </w:rPr>
              <w:t>Child's URL hostname-matches the Input Issuer, and no other child shares that exact URL</w:t>
            </w:r>
          </w:p>
        </w:tc>
      </w:tr>
      <w:tr w:rsidR="00EA7C9E" w14:paraId="2F6EDA33" w14:textId="77777777" w:rsidTr="18CA0F2E">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9A0E5A3" w14:textId="77777777" w:rsidR="00EA7C9E" w:rsidRDefault="0068040D">
            <w:r>
              <w:rPr>
                <w:rFonts w:ascii="Arial" w:eastAsia="Arial" w:hAnsi="Arial" w:cs="Arial"/>
                <w:color w:val="000000"/>
                <w:sz w:val="17"/>
                <w:szCs w:val="17"/>
                <w:highlight w:val="yellow"/>
              </w:rPr>
              <w:t>O8 — Collect separately under each child's own Issuer ID</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C96816C" w14:textId="77777777" w:rsidR="00EA7C9E" w:rsidRDefault="0068040D">
            <w:r>
              <w:rPr>
                <w:rFonts w:ascii="Arial" w:eastAsia="Arial" w:hAnsi="Arial" w:cs="Arial"/>
                <w:color w:val="000000"/>
                <w:sz w:val="17"/>
                <w:szCs w:val="17"/>
                <w:highlight w:val="yellow"/>
              </w:rPr>
              <w:t>N7a</w:t>
            </w:r>
          </w:p>
        </w:tc>
        <w:tc>
          <w:tcPr>
            <w:tcW w:w="4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4EFD297" w14:textId="77777777" w:rsidR="00EA7C9E" w:rsidRDefault="0068040D">
            <w:r>
              <w:rPr>
                <w:rFonts w:ascii="Arial" w:eastAsia="Arial" w:hAnsi="Arial" w:cs="Arial"/>
                <w:color w:val="000000"/>
                <w:sz w:val="17"/>
                <w:szCs w:val="17"/>
                <w:highlight w:val="yellow"/>
              </w:rPr>
              <w:t>Child's URL hostname-matches the Input Issuer, AND 2+ children at the same hierarchy level share that exact URL with no way to disambiguate</w:t>
            </w:r>
          </w:p>
        </w:tc>
      </w:tr>
      <w:tr w:rsidR="0091796C" w14:paraId="7F109552" w14:textId="77777777">
        <w:tc>
          <w:tcPr>
            <w:tcW w:w="3300" w:type="dxa"/>
          </w:tcPr>
          <w:p w14:paraId="4AB5AD5E" w14:textId="77777777" w:rsidR="0091796C" w:rsidRDefault="00EE56CC">
            <w:r>
              <w:rPr>
                <w:highlight w:val="yellow"/>
              </w:rPr>
              <w:lastRenderedPageBreak/>
              <w:t>O9 — Collect Input Issuer ID at its own URL</w:t>
            </w:r>
          </w:p>
        </w:tc>
        <w:tc>
          <w:tcPr>
            <w:tcW w:w="1300" w:type="dxa"/>
          </w:tcPr>
          <w:p w14:paraId="36C8DCFF" w14:textId="77777777" w:rsidR="0091796C" w:rsidRDefault="00EE56CC">
            <w:r>
              <w:rPr>
                <w:highlight w:val="yellow"/>
              </w:rPr>
              <w:t>N8</w:t>
            </w:r>
          </w:p>
        </w:tc>
        <w:tc>
          <w:tcPr>
            <w:tcW w:w="4750" w:type="dxa"/>
          </w:tcPr>
          <w:p w14:paraId="52D2E10D" w14:textId="77777777" w:rsidR="0091796C" w:rsidRDefault="00EE56CC">
            <w:r>
              <w:rPr>
                <w:highlight w:val="yellow"/>
              </w:rPr>
              <w:t>Child's URL hostname-matches the Input Issuer (survived N7a), but the child itself is Financing Company or SPV — folds into the Input Issuer's own collection rather than creating a separate child row</w:t>
            </w:r>
          </w:p>
        </w:tc>
      </w:tr>
    </w:tbl>
    <w:p w14:paraId="3A3D76AE" w14:textId="77777777" w:rsidR="00EA7C9E" w:rsidRDefault="00EA7C9E">
      <w:pPr>
        <w:spacing w:after="100"/>
      </w:pPr>
    </w:p>
    <w:p w14:paraId="62FECFD8" w14:textId="77777777" w:rsidR="00EA7C9E" w:rsidRDefault="0068040D">
      <w:pPr>
        <w:pStyle w:val="Heading2"/>
        <w:spacing w:before="260" w:after="120"/>
      </w:pPr>
      <w:r>
        <w:rPr>
          <w:rFonts w:ascii="Calibri" w:eastAsia="Calibri" w:hAnsi="Calibri" w:cs="Calibri"/>
          <w:b/>
          <w:bCs/>
          <w:color w:val="4F81BD"/>
          <w:sz w:val="24"/>
          <w:szCs w:val="24"/>
          <w:highlight w:val="yellow"/>
        </w:rPr>
        <w:t>3.5 Confirmed Decisions</w:t>
      </w:r>
    </w:p>
    <w:p w14:paraId="64787B1E" w14:textId="77777777" w:rsidR="00EA7C9E" w:rsidRDefault="18CA0F2E">
      <w:pPr>
        <w:spacing w:after="160"/>
      </w:pPr>
      <w:r w:rsidRPr="18CA0F2E">
        <w:rPr>
          <w:rFonts w:ascii="Arial" w:eastAsia="Arial" w:hAnsi="Arial" w:cs="Arial"/>
          <w:sz w:val="18"/>
          <w:szCs w:val="18"/>
          <w:highlight w:val="yellow"/>
        </w:rPr>
        <w:t>This section previously flagged several routing questions as open, and one (multi-child, same-URL) as explicitly out of scope. Following methodology-owner review, all have now been confirmed and built into §3.1–§3.2 above; the summary below exists so the resolution is traceable rather than silently folded in.</w:t>
      </w:r>
    </w:p>
    <w:tbl>
      <w:tblPr>
        <w:tblW w:w="93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50"/>
      </w:tblGrid>
      <w:tr w:rsidR="00EA7C9E" w14:paraId="3E6026ED" w14:textId="77777777" w:rsidTr="18CA0F2E">
        <w:tc>
          <w:tcPr>
            <w:tcW w:w="9350" w:type="dxa"/>
            <w:tcBorders>
              <w:top w:val="single" w:sz="4" w:space="0" w:color="9DB8D9"/>
              <w:left w:val="single" w:sz="4" w:space="0" w:color="9DB8D9"/>
              <w:bottom w:val="single" w:sz="4" w:space="0" w:color="9DB8D9"/>
              <w:right w:val="single" w:sz="4" w:space="0" w:color="9DB8D9"/>
            </w:tcBorders>
            <w:shd w:val="clear" w:color="auto" w:fill="EEF3FA"/>
            <w:tcMar>
              <w:top w:w="140" w:type="dxa"/>
              <w:left w:w="160" w:type="dxa"/>
              <w:bottom w:w="140" w:type="dxa"/>
              <w:right w:w="160" w:type="dxa"/>
            </w:tcMar>
          </w:tcPr>
          <w:p w14:paraId="7D180C14" w14:textId="77777777" w:rsidR="00EA7C9E" w:rsidRDefault="0068040D">
            <w:pPr>
              <w:spacing w:after="80"/>
            </w:pPr>
            <w:r>
              <w:rPr>
                <w:rFonts w:ascii="Calibri" w:eastAsia="Calibri" w:hAnsi="Calibri" w:cs="Calibri"/>
                <w:b/>
                <w:bCs/>
                <w:color w:val="1F3864"/>
                <w:sz w:val="18"/>
                <w:szCs w:val="18"/>
                <w:highlight w:val="yellow"/>
              </w:rPr>
              <w:t>CONFIRMED — rated-child status is not a routing factor (formerly Candidate C1)</w:t>
            </w:r>
          </w:p>
          <w:p w14:paraId="1E9467D5" w14:textId="77777777" w:rsidR="00EA7C9E" w:rsidRDefault="18CA0F2E">
            <w:pPr>
              <w:spacing w:after="100"/>
            </w:pPr>
            <w:r w:rsidRPr="18CA0F2E">
              <w:rPr>
                <w:rFonts w:ascii="Arial" w:eastAsia="Arial" w:hAnsi="Arial" w:cs="Arial"/>
                <w:sz w:val="18"/>
                <w:szCs w:val="18"/>
                <w:highlight w:val="yellow"/>
              </w:rPr>
              <w:t>An independently-rated child (child_univ_source = CORE, ACWI, or WORLD) with a URL that does not hostname-match the Input Issuer is skipped (O5), exactly like any other non-matching child. No override, loop-back, or enrichment is applied on the basis of rated status — this was confirmed specifically to avoid overwhelming analyst review with additional subsidiary collection. “Collect Both” remains retired; see §11.2 for why the universe-source terminology is still defined even though it no longer drives routing.</w:t>
            </w:r>
          </w:p>
        </w:tc>
      </w:tr>
    </w:tbl>
    <w:p w14:paraId="09C2360E" w14:textId="77777777" w:rsidR="00EA7C9E" w:rsidRDefault="00EA7C9E">
      <w:pPr>
        <w:spacing w:after="100"/>
      </w:pPr>
    </w:p>
    <w:tbl>
      <w:tblPr>
        <w:tblW w:w="93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50"/>
      </w:tblGrid>
      <w:tr w:rsidR="00EA7C9E" w14:paraId="6D59E2A9" w14:textId="77777777" w:rsidTr="18CA0F2E">
        <w:tc>
          <w:tcPr>
            <w:tcW w:w="9350" w:type="dxa"/>
            <w:tcBorders>
              <w:top w:val="single" w:sz="4" w:space="0" w:color="9DB8D9"/>
              <w:left w:val="single" w:sz="4" w:space="0" w:color="9DB8D9"/>
              <w:bottom w:val="single" w:sz="4" w:space="0" w:color="9DB8D9"/>
              <w:right w:val="single" w:sz="4" w:space="0" w:color="9DB8D9"/>
            </w:tcBorders>
            <w:shd w:val="clear" w:color="auto" w:fill="EEF3FA"/>
            <w:tcMar>
              <w:top w:w="140" w:type="dxa"/>
              <w:left w:w="160" w:type="dxa"/>
              <w:bottom w:w="140" w:type="dxa"/>
              <w:right w:w="160" w:type="dxa"/>
            </w:tcMar>
          </w:tcPr>
          <w:p w14:paraId="7AA07666" w14:textId="77777777" w:rsidR="00EA7C9E" w:rsidRDefault="0068040D">
            <w:pPr>
              <w:spacing w:after="80"/>
            </w:pPr>
            <w:r>
              <w:rPr>
                <w:b/>
                <w:highlight w:val="yellow"/>
              </w:rPr>
              <w:t>CONFIRMED — child subtype gate is included, relocated to N8 after N7a (formerly the Child Scope Gate / Candidate C3)</w:t>
            </w:r>
          </w:p>
          <w:p w14:paraId="78EB138C" w14:textId="77777777" w:rsidR="0091796C" w:rsidRDefault="00EE56CC">
            <w:r>
              <w:rPr>
                <w:highlight w:val="yellow"/>
              </w:rPr>
              <w:t>A child that is itself Financing Company or SPV is resolved by N8 to O9 (fold into the Input Issuer's own collection) rather than O6, using the same, updated criterion as N2 (§2.2, §3.2): Other Corporate, Group Holding Company, Investment Holding Company, and Management Company children are let through to O6, exactly like their Input-Issuer-level counterparts. This gate previously ran before N5 in earlier versions of this document; it is now confirmed to run after N7a instead, so that Issuer ID, URL, and hostname-match/disambiguation are resolved before the child's own subtype is tested. This is built into the tree as confirmed logic, not flagged as a gap.</w:t>
            </w:r>
          </w:p>
        </w:tc>
      </w:tr>
    </w:tbl>
    <w:p w14:paraId="2C595087" w14:textId="77777777" w:rsidR="00EA7C9E" w:rsidRDefault="00EA7C9E">
      <w:pPr>
        <w:spacing w:after="100"/>
      </w:pPr>
    </w:p>
    <w:tbl>
      <w:tblPr>
        <w:tblW w:w="93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50"/>
      </w:tblGrid>
      <w:tr w:rsidR="00EA7C9E" w14:paraId="0143C2F6" w14:textId="77777777">
        <w:tc>
          <w:tcPr>
            <w:tcW w:w="9350" w:type="dxa"/>
            <w:tcBorders>
              <w:top w:val="single" w:sz="4" w:space="0" w:color="9DB8D9"/>
              <w:left w:val="single" w:sz="4" w:space="0" w:color="9DB8D9"/>
              <w:bottom w:val="single" w:sz="4" w:space="0" w:color="9DB8D9"/>
              <w:right w:val="single" w:sz="4" w:space="0" w:color="9DB8D9"/>
            </w:tcBorders>
            <w:shd w:val="clear" w:color="auto" w:fill="EEF3FA"/>
            <w:tcMar>
              <w:top w:w="140" w:type="dxa"/>
              <w:left w:w="160" w:type="dxa"/>
              <w:bottom w:w="140" w:type="dxa"/>
              <w:right w:w="160" w:type="dxa"/>
            </w:tcMar>
          </w:tcPr>
          <w:p w14:paraId="79730A81" w14:textId="77777777" w:rsidR="00EA7C9E" w:rsidRDefault="0068040D">
            <w:pPr>
              <w:spacing w:after="80"/>
            </w:pPr>
            <w:r>
              <w:rPr>
                <w:rFonts w:ascii="Calibri" w:eastAsia="Calibri" w:hAnsi="Calibri" w:cs="Calibri"/>
                <w:b/>
                <w:bCs/>
                <w:color w:val="1F3864"/>
                <w:sz w:val="18"/>
                <w:szCs w:val="18"/>
                <w:highlight w:val="yellow"/>
              </w:rPr>
              <w:t>CONFIRMED — O2 terminal state after a failed M2 fallback</w:t>
            </w:r>
          </w:p>
          <w:p w14:paraId="4D66F14C" w14:textId="77777777" w:rsidR="00EA7C9E" w:rsidRDefault="0068040D">
            <w:pPr>
              <w:spacing w:after="100"/>
            </w:pPr>
            <w:r>
              <w:rPr>
                <w:rFonts w:ascii="Arial" w:eastAsia="Arial" w:hAnsi="Arial" w:cs="Arial"/>
                <w:sz w:val="18"/>
                <w:szCs w:val="18"/>
                <w:highlight w:val="yellow"/>
              </w:rPr>
              <w:t>RULE N3 (§3.2) now specifies the full resolution: a derived-and-confirmed URL re-enters at N3; an undiscoverable URL is gap-logged with failure_reason “issuer_url absent — no derivable source (RULE N3/O2 exhausted)” and collection stops for that issuer; a candidate URL whose attribution can't be confirmed is gap-logged separately rather than populated.</w:t>
            </w:r>
          </w:p>
        </w:tc>
      </w:tr>
    </w:tbl>
    <w:p w14:paraId="1F9AFC62" w14:textId="77777777" w:rsidR="00EA7C9E" w:rsidRDefault="00EA7C9E">
      <w:pPr>
        <w:spacing w:after="100"/>
      </w:pPr>
    </w:p>
    <w:tbl>
      <w:tblPr>
        <w:tblW w:w="93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50"/>
      </w:tblGrid>
      <w:tr w:rsidR="00EA7C9E" w14:paraId="29E5F6D6" w14:textId="77777777">
        <w:tc>
          <w:tcPr>
            <w:tcW w:w="9350" w:type="dxa"/>
            <w:tcBorders>
              <w:top w:val="single" w:sz="4" w:space="0" w:color="9DB8D9"/>
              <w:left w:val="single" w:sz="4" w:space="0" w:color="9DB8D9"/>
              <w:bottom w:val="single" w:sz="4" w:space="0" w:color="9DB8D9"/>
              <w:right w:val="single" w:sz="4" w:space="0" w:color="9DB8D9"/>
            </w:tcBorders>
            <w:shd w:val="clear" w:color="auto" w:fill="EEF3FA"/>
            <w:tcMar>
              <w:top w:w="140" w:type="dxa"/>
              <w:left w:w="160" w:type="dxa"/>
              <w:bottom w:w="140" w:type="dxa"/>
              <w:right w:w="160" w:type="dxa"/>
            </w:tcMar>
          </w:tcPr>
          <w:p w14:paraId="17D10B1B" w14:textId="77777777" w:rsidR="00EA7C9E" w:rsidRDefault="0068040D">
            <w:pPr>
              <w:spacing w:after="80"/>
            </w:pPr>
            <w:r>
              <w:rPr>
                <w:rFonts w:ascii="Calibri" w:eastAsia="Calibri" w:hAnsi="Calibri" w:cs="Calibri"/>
                <w:b/>
                <w:bCs/>
                <w:color w:val="1F3864"/>
                <w:sz w:val="18"/>
                <w:szCs w:val="18"/>
                <w:highlight w:val="yellow"/>
              </w:rPr>
              <w:t>CONFIRMED — N7a/O8 (multi-child, same-URL) is reinstated, not out of scope</w:t>
            </w:r>
          </w:p>
          <w:p w14:paraId="49A3BF12" w14:textId="77777777" w:rsidR="00EA7C9E" w:rsidRDefault="0068040D">
            <w:pPr>
              <w:spacing w:after="100"/>
            </w:pPr>
            <w:r>
              <w:rPr>
                <w:rFonts w:ascii="Arial" w:eastAsia="Arial" w:hAnsi="Arial" w:cs="Arial"/>
                <w:sz w:val="18"/>
                <w:szCs w:val="18"/>
                <w:highlight w:val="yellow"/>
              </w:rPr>
              <w:t>An earlier revision of this document treated multi-child, same-URL collisions as an out-of-scope, source-hierarchy data-quality issue. Per the methodology owner's review of the Decision Table, this has been reversed: N7a and O8 are confirmed, operative nodes (§3.1, §3.2). When 2+ children at the same hierarchy level are registered against the exact same URL with no way to disambiguate ownership (e.g. an IHG-style case with 2+ subsidiary rows sharing ihg.com), the shared URL is collected separately under EACH child's own Issuer ID — not the parent, and not the retired ‘Collect Both’ outcome. See RULE N7a and RULE O8 (§3.2), and the revised IHG edge case (§9).</w:t>
            </w:r>
          </w:p>
        </w:tc>
      </w:tr>
    </w:tbl>
    <w:p w14:paraId="763B3114" w14:textId="77777777" w:rsidR="00EA7C9E" w:rsidRDefault="00EA7C9E">
      <w:pPr>
        <w:spacing w:after="100"/>
      </w:pPr>
    </w:p>
    <w:p w14:paraId="57D6B517" w14:textId="77777777" w:rsidR="00EA7C9E" w:rsidRDefault="0068040D">
      <w:pPr>
        <w:pStyle w:val="Heading1"/>
        <w:spacing w:before="360" w:after="160"/>
      </w:pPr>
      <w:r>
        <w:rPr>
          <w:rFonts w:ascii="Calibri" w:eastAsia="Calibri" w:hAnsi="Calibri" w:cs="Calibri"/>
          <w:b/>
          <w:bCs/>
          <w:color w:val="365F91"/>
          <w:sz w:val="28"/>
          <w:szCs w:val="28"/>
        </w:rPr>
        <w:t>4. Outcome-Specific Collection Rules</w:t>
      </w:r>
    </w:p>
    <w:p w14:paraId="62EE11B0" w14:textId="77777777" w:rsidR="00EA7C9E" w:rsidRDefault="0068040D">
      <w:pPr>
        <w:spacing w:after="160"/>
      </w:pPr>
      <w:r>
        <w:rPr>
          <w:rFonts w:ascii="Arial" w:eastAsia="Arial" w:hAnsi="Arial" w:cs="Arial"/>
          <w:sz w:val="18"/>
          <w:szCs w:val="18"/>
        </w:rPr>
        <w:t>For each of the seven outcomes, this section defines what the agent actually does and what it writes to the output. This is the execution layer — it translates routing decisions into concrete actions.</w:t>
      </w:r>
    </w:p>
    <w:tbl>
      <w:tblPr>
        <w:tblW w:w="93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2350"/>
        <w:gridCol w:w="2350"/>
        <w:gridCol w:w="2750"/>
      </w:tblGrid>
      <w:tr w:rsidR="00EA7C9E" w14:paraId="676292AE" w14:textId="77777777" w:rsidTr="18CA0F2E">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2298113" w14:textId="77777777" w:rsidR="00EA7C9E" w:rsidRDefault="0068040D">
            <w:r>
              <w:rPr>
                <w:rFonts w:ascii="Arial" w:eastAsia="Arial" w:hAnsi="Arial" w:cs="Arial"/>
                <w:b/>
                <w:bCs/>
                <w:color w:val="FFFFFF"/>
                <w:sz w:val="17"/>
                <w:szCs w:val="17"/>
              </w:rPr>
              <w:lastRenderedPageBreak/>
              <w:t>Outcome</w:t>
            </w:r>
          </w:p>
        </w:tc>
        <w:tc>
          <w:tcPr>
            <w:tcW w:w="23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D49A492" w14:textId="77777777" w:rsidR="00EA7C9E" w:rsidRDefault="0068040D">
            <w:r>
              <w:rPr>
                <w:rFonts w:ascii="Arial" w:eastAsia="Arial" w:hAnsi="Arial" w:cs="Arial"/>
                <w:b/>
                <w:bCs/>
                <w:color w:val="FFFFFF"/>
                <w:sz w:val="17"/>
                <w:szCs w:val="17"/>
              </w:rPr>
              <w:t>When Used</w:t>
            </w:r>
          </w:p>
        </w:tc>
        <w:tc>
          <w:tcPr>
            <w:tcW w:w="23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D3B59BE" w14:textId="77777777" w:rsidR="00EA7C9E" w:rsidRDefault="0068040D">
            <w:r>
              <w:rPr>
                <w:rFonts w:ascii="Arial" w:eastAsia="Arial" w:hAnsi="Arial" w:cs="Arial"/>
                <w:b/>
                <w:bCs/>
                <w:color w:val="FFFFFF"/>
                <w:sz w:val="17"/>
                <w:szCs w:val="17"/>
              </w:rPr>
              <w:t>Collection Action</w:t>
            </w:r>
          </w:p>
        </w:tc>
        <w:tc>
          <w:tcPr>
            <w:tcW w:w="27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8EEACA9" w14:textId="77777777" w:rsidR="00EA7C9E" w:rsidRDefault="0068040D">
            <w:r>
              <w:rPr>
                <w:rFonts w:ascii="Arial" w:eastAsia="Arial" w:hAnsi="Arial" w:cs="Arial"/>
                <w:b/>
                <w:bCs/>
                <w:color w:val="FFFFFF"/>
                <w:sz w:val="17"/>
                <w:szCs w:val="17"/>
              </w:rPr>
              <w:t>Output Handling</w:t>
            </w:r>
          </w:p>
        </w:tc>
      </w:tr>
      <w:tr w:rsidR="00EA7C9E" w14:paraId="2A8606B7" w14:textId="77777777" w:rsidTr="18CA0F2E">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BA1FB65" w14:textId="77777777" w:rsidR="00EA7C9E" w:rsidRDefault="0068040D">
            <w:r>
              <w:rPr>
                <w:rFonts w:ascii="Arial" w:eastAsia="Arial" w:hAnsi="Arial" w:cs="Arial"/>
                <w:color w:val="000000"/>
                <w:sz w:val="17"/>
                <w:szCs w:val="17"/>
              </w:rPr>
              <w:t>O1 — Skip collection</w:t>
            </w:r>
          </w:p>
        </w:tc>
        <w:tc>
          <w:tcPr>
            <w:tcW w:w="23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03637E5" w14:textId="77777777" w:rsidR="00EA7C9E" w:rsidRDefault="18CA0F2E">
            <w:r>
              <w:rPr>
                <w:highlight w:val="yellow"/>
              </w:rPr>
              <w:t>Issuer is Financing Company or SPV (N2 = No).</w:t>
            </w:r>
          </w:p>
        </w:tc>
        <w:tc>
          <w:tcPr>
            <w:tcW w:w="23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B0B1CBD" w14:textId="77777777" w:rsidR="00EA7C9E" w:rsidRDefault="0068040D">
            <w:r>
              <w:rPr>
                <w:rFonts w:ascii="Arial" w:eastAsia="Arial" w:hAnsi="Arial" w:cs="Arial"/>
                <w:color w:val="000000"/>
                <w:sz w:val="17"/>
                <w:szCs w:val="17"/>
              </w:rPr>
              <w:t>Do not collect from this entity.</w:t>
            </w:r>
          </w:p>
        </w:tc>
        <w:tc>
          <w:tcPr>
            <w:tcW w:w="2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45A629D" w14:textId="77777777" w:rsidR="00EA7C9E" w:rsidRDefault="0068040D">
            <w:r>
              <w:rPr>
                <w:rFonts w:ascii="Arial" w:eastAsia="Arial" w:hAnsi="Arial" w:cs="Arial"/>
                <w:color w:val="000000"/>
                <w:sz w:val="17"/>
                <w:szCs w:val="17"/>
              </w:rPr>
              <w:t>Record skip reason (subtype) for audit. Continue evaluating any operating subsidiaries as their own Input Issuers.</w:t>
            </w:r>
          </w:p>
        </w:tc>
      </w:tr>
      <w:tr w:rsidR="00EA7C9E" w14:paraId="21456B7D" w14:textId="77777777" w:rsidTr="18CA0F2E">
        <w:tc>
          <w:tcPr>
            <w:tcW w:w="19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72BC609C" w14:textId="77777777" w:rsidR="00EA7C9E" w:rsidRDefault="0068040D">
            <w:r>
              <w:rPr>
                <w:rFonts w:ascii="Arial" w:eastAsia="Arial" w:hAnsi="Arial" w:cs="Arial"/>
                <w:color w:val="000000"/>
                <w:sz w:val="17"/>
                <w:szCs w:val="17"/>
              </w:rPr>
              <w:t>O2 — Enrich URL via M2</w:t>
            </w:r>
          </w:p>
        </w:tc>
        <w:tc>
          <w:tcPr>
            <w:tcW w:w="235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3FD34179" w14:textId="77777777" w:rsidR="00EA7C9E" w:rsidRDefault="0068040D">
            <w:r>
              <w:rPr>
                <w:rFonts w:ascii="Arial" w:eastAsia="Arial" w:hAnsi="Arial" w:cs="Arial"/>
                <w:color w:val="000000"/>
                <w:sz w:val="17"/>
                <w:szCs w:val="17"/>
              </w:rPr>
              <w:t>Issuer has no Parent URL (N3 = No).</w:t>
            </w:r>
          </w:p>
        </w:tc>
        <w:tc>
          <w:tcPr>
            <w:tcW w:w="235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2683A217" w14:textId="77777777" w:rsidR="00EA7C9E" w:rsidRDefault="0068040D">
            <w:r>
              <w:rPr>
                <w:rFonts w:ascii="Arial" w:eastAsia="Arial" w:hAnsi="Arial" w:cs="Arial"/>
                <w:color w:val="000000"/>
                <w:sz w:val="17"/>
                <w:szCs w:val="17"/>
              </w:rPr>
              <w:t>Attempt derivation per M1's fallback rule (Issuer Name or regulatory filing).</w:t>
            </w:r>
          </w:p>
        </w:tc>
        <w:tc>
          <w:tcPr>
            <w:tcW w:w="275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22EE0BBF" w14:textId="77777777" w:rsidR="00EA7C9E" w:rsidRDefault="18CA0F2E">
            <w:r w:rsidRPr="18CA0F2E">
              <w:rPr>
                <w:rFonts w:ascii="Arial" w:eastAsia="Arial" w:hAnsi="Arial" w:cs="Arial"/>
                <w:color w:val="000000"/>
                <w:sz w:val="17"/>
                <w:szCs w:val="17"/>
              </w:rPr>
              <w:t>If resolved, re-enter N3 and proceed normally. If not resolved, log a gap-register entry (§3.5, §7.3) — do not fabricate a URL.</w:t>
            </w:r>
          </w:p>
        </w:tc>
      </w:tr>
      <w:tr w:rsidR="00EA7C9E" w14:paraId="7AC0D67E" w14:textId="77777777" w:rsidTr="18CA0F2E">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F3970B9" w14:textId="77777777" w:rsidR="00EA7C9E" w:rsidRDefault="0068040D">
            <w:r>
              <w:rPr>
                <w:rFonts w:ascii="Arial" w:eastAsia="Arial" w:hAnsi="Arial" w:cs="Arial"/>
                <w:color w:val="000000"/>
                <w:sz w:val="17"/>
                <w:szCs w:val="17"/>
              </w:rPr>
              <w:t>O3 — Collect Input Issuer ID at its own URL</w:t>
            </w:r>
          </w:p>
        </w:tc>
        <w:tc>
          <w:tcPr>
            <w:tcW w:w="23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9A67300" w14:textId="77777777" w:rsidR="00EA7C9E" w:rsidRDefault="18CA0F2E">
            <w:r w:rsidRPr="18CA0F2E">
              <w:rPr>
                <w:rFonts w:ascii="Arial" w:eastAsia="Arial" w:hAnsi="Arial" w:cs="Arial"/>
                <w:color w:val="000000"/>
                <w:sz w:val="17"/>
                <w:szCs w:val="17"/>
              </w:rPr>
              <w:t>Issuer is an OpCo or Other Corporate with a URL and no listed children (N4 = No).</w:t>
            </w:r>
          </w:p>
        </w:tc>
        <w:tc>
          <w:tcPr>
            <w:tcW w:w="23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196A256" w14:textId="77777777" w:rsidR="00EA7C9E" w:rsidRDefault="0068040D">
            <w:r>
              <w:rPr>
                <w:rFonts w:ascii="Arial" w:eastAsia="Arial" w:hAnsi="Arial" w:cs="Arial"/>
                <w:color w:val="000000"/>
                <w:sz w:val="17"/>
                <w:szCs w:val="17"/>
              </w:rPr>
              <w:t>Collect from the Input Issuer's own URL using the M2 source order.</w:t>
            </w:r>
          </w:p>
        </w:tc>
        <w:tc>
          <w:tcPr>
            <w:tcW w:w="2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ADEA730" w14:textId="77777777" w:rsidR="00EA7C9E" w:rsidRDefault="18CA0F2E">
            <w:r w:rsidRPr="18CA0F2E">
              <w:rPr>
                <w:rFonts w:ascii="Arial" w:eastAsia="Arial" w:hAnsi="Arial" w:cs="Arial"/>
                <w:color w:val="000000"/>
                <w:sz w:val="17"/>
                <w:szCs w:val="17"/>
              </w:rPr>
              <w:t>Set issuer_id to the Input Issuer; is_subsidiary = No.</w:t>
            </w:r>
          </w:p>
        </w:tc>
      </w:tr>
      <w:tr w:rsidR="00EA7C9E" w14:paraId="18946214" w14:textId="77777777" w:rsidTr="18CA0F2E">
        <w:tc>
          <w:tcPr>
            <w:tcW w:w="19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52F19BEE" w14:textId="77777777" w:rsidR="00EA7C9E" w:rsidRDefault="0068040D">
            <w:r>
              <w:rPr>
                <w:rFonts w:ascii="Arial" w:eastAsia="Arial" w:hAnsi="Arial" w:cs="Arial"/>
                <w:color w:val="000000"/>
                <w:sz w:val="17"/>
                <w:szCs w:val="17"/>
              </w:rPr>
              <w:t>O4 — Collect Input Issuer ID at its own URL</w:t>
            </w:r>
          </w:p>
        </w:tc>
        <w:tc>
          <w:tcPr>
            <w:tcW w:w="235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19F7D28E" w14:textId="77777777" w:rsidR="00EA7C9E" w:rsidRDefault="0068040D">
            <w:r>
              <w:rPr>
                <w:rFonts w:ascii="Arial" w:eastAsia="Arial" w:hAnsi="Arial" w:cs="Arial"/>
                <w:color w:val="000000"/>
                <w:sz w:val="17"/>
                <w:szCs w:val="17"/>
              </w:rPr>
              <w:t>Child has no Issuer ID (N5 = No).</w:t>
            </w:r>
          </w:p>
        </w:tc>
        <w:tc>
          <w:tcPr>
            <w:tcW w:w="235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535543F0" w14:textId="77777777" w:rsidR="00EA7C9E" w:rsidRDefault="18CA0F2E">
            <w:r w:rsidRPr="18CA0F2E">
              <w:rPr>
                <w:rFonts w:ascii="Arial" w:eastAsia="Arial" w:hAnsi="Arial" w:cs="Arial"/>
                <w:color w:val="000000"/>
                <w:sz w:val="17"/>
                <w:szCs w:val="17"/>
              </w:rPr>
              <w:t>No separate child-level collection pass; assets remain within the Input Issuer's own collection.</w:t>
            </w:r>
          </w:p>
        </w:tc>
        <w:tc>
          <w:tcPr>
            <w:tcW w:w="275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091C2A6E" w14:textId="77777777" w:rsidR="00EA7C9E" w:rsidRDefault="18CA0F2E">
            <w:r w:rsidRPr="18CA0F2E">
              <w:rPr>
                <w:rFonts w:ascii="Arial" w:eastAsia="Arial" w:hAnsi="Arial" w:cs="Arial"/>
                <w:color w:val="000000"/>
                <w:sz w:val="17"/>
                <w:szCs w:val="17"/>
              </w:rPr>
              <w:t>No separate row created for this child. Note the child's existence (name only) in the Input Issuer's collection notes if useful for audit.</w:t>
            </w:r>
          </w:p>
        </w:tc>
      </w:tr>
      <w:tr w:rsidR="00EA7C9E" w14:paraId="3253A5DF" w14:textId="77777777" w:rsidTr="18CA0F2E">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F8361E0" w14:textId="77777777" w:rsidR="00EA7C9E" w:rsidRDefault="0068040D">
            <w:r>
              <w:rPr>
                <w:rFonts w:ascii="Arial" w:eastAsia="Arial" w:hAnsi="Arial" w:cs="Arial"/>
                <w:color w:val="000000"/>
                <w:sz w:val="17"/>
                <w:szCs w:val="17"/>
              </w:rPr>
              <w:t>O5 — Skip collecting the child issuer ID</w:t>
            </w:r>
          </w:p>
        </w:tc>
        <w:tc>
          <w:tcPr>
            <w:tcW w:w="23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E4E823A" w14:textId="77777777" w:rsidR="00EA7C9E" w:rsidRDefault="18CA0F2E">
            <w:r w:rsidRPr="18CA0F2E">
              <w:rPr>
                <w:rFonts w:ascii="Arial" w:eastAsia="Arial" w:hAnsi="Arial" w:cs="Arial"/>
                <w:color w:val="000000"/>
                <w:sz w:val="17"/>
                <w:szCs w:val="17"/>
              </w:rPr>
              <w:t>Child has no URL (N6 = No), or has a URL that does not hostname-match the Input Issuer (N7 = No).</w:t>
            </w:r>
          </w:p>
        </w:tc>
        <w:tc>
          <w:tcPr>
            <w:tcW w:w="23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4E6B938" w14:textId="06441A2E" w:rsidR="00EA7C9E" w:rsidRDefault="0068040D">
            <w:r>
              <w:rPr>
                <w:rFonts w:ascii="Arial" w:eastAsia="Arial" w:hAnsi="Arial" w:cs="Arial"/>
                <w:color w:val="000000"/>
                <w:sz w:val="17"/>
                <w:szCs w:val="17"/>
              </w:rPr>
              <w:t>Do not collect from the child directly.</w:t>
            </w:r>
            <w:r w:rsidR="001B5BC2">
              <w:rPr>
                <w:rFonts w:ascii="Arial" w:eastAsia="Arial" w:hAnsi="Arial" w:cs="Arial"/>
                <w:color w:val="000000"/>
                <w:sz w:val="17"/>
                <w:szCs w:val="17"/>
              </w:rPr>
              <w:t xml:space="preserve"> Collect from the Input Issuer's own URL</w:t>
            </w:r>
          </w:p>
        </w:tc>
        <w:tc>
          <w:tcPr>
            <w:tcW w:w="2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25C847F" w14:textId="77777777" w:rsidR="00EA7C9E" w:rsidRDefault="0068040D">
            <w:r>
              <w:rPr>
                <w:rFonts w:ascii="Arial" w:eastAsia="Arial" w:hAnsi="Arial" w:cs="Arial"/>
                <w:color w:val="000000"/>
                <w:sz w:val="17"/>
                <w:szCs w:val="17"/>
              </w:rPr>
              <w:t>Record skip reason (no URL, or distinct hostname) for audit. Evidence for this child, if visible, stays under the Input Issuer only.</w:t>
            </w:r>
          </w:p>
        </w:tc>
      </w:tr>
      <w:tr w:rsidR="00EA7C9E" w14:paraId="541909C3" w14:textId="77777777" w:rsidTr="18CA0F2E">
        <w:tc>
          <w:tcPr>
            <w:tcW w:w="19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4E0F3C85" w14:textId="77777777" w:rsidR="00EA7C9E" w:rsidRDefault="0068040D">
            <w:r>
              <w:rPr>
                <w:rFonts w:ascii="Arial" w:eastAsia="Arial" w:hAnsi="Arial" w:cs="Arial"/>
                <w:color w:val="000000"/>
                <w:sz w:val="17"/>
                <w:szCs w:val="17"/>
              </w:rPr>
              <w:t>O6 — Collect at the child's own Issuer ID</w:t>
            </w:r>
          </w:p>
        </w:tc>
        <w:tc>
          <w:tcPr>
            <w:tcW w:w="235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3991A95C" w14:textId="77777777" w:rsidR="00EA7C9E" w:rsidRDefault="0068040D">
            <w:r>
              <w:rPr>
                <w:rFonts w:ascii="Arial" w:eastAsia="Arial" w:hAnsi="Arial" w:cs="Arial"/>
                <w:color w:val="000000"/>
                <w:sz w:val="17"/>
                <w:szCs w:val="17"/>
              </w:rPr>
              <w:t>Child's URL hostname-matches the Input Issuer's URL, and no other child shares that exact URL (N7a = No).</w:t>
            </w:r>
          </w:p>
        </w:tc>
        <w:tc>
          <w:tcPr>
            <w:tcW w:w="235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241B0F9B" w14:textId="77777777" w:rsidR="00EA7C9E" w:rsidRDefault="0068040D">
            <w:r>
              <w:rPr>
                <w:rFonts w:ascii="Arial" w:eastAsia="Arial" w:hAnsi="Arial" w:cs="Arial"/>
                <w:color w:val="000000"/>
                <w:sz w:val="17"/>
                <w:szCs w:val="17"/>
              </w:rPr>
              <w:t>Collect from the child's own URL directly.</w:t>
            </w:r>
          </w:p>
        </w:tc>
        <w:tc>
          <w:tcPr>
            <w:tcW w:w="275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3D327757" w14:textId="77777777" w:rsidR="00EA7C9E" w:rsidRDefault="18CA0F2E">
            <w:r w:rsidRPr="18CA0F2E">
              <w:rPr>
                <w:rFonts w:ascii="Arial" w:eastAsia="Arial" w:hAnsi="Arial" w:cs="Arial"/>
                <w:color w:val="000000"/>
                <w:sz w:val="17"/>
                <w:szCs w:val="17"/>
              </w:rPr>
              <w:t>Set issuer_id to the child; is_subsidiary = Yes; preserve child name/hostname in notes.</w:t>
            </w:r>
          </w:p>
        </w:tc>
      </w:tr>
      <w:tr w:rsidR="00EA7C9E" w14:paraId="4034BA71" w14:textId="77777777" w:rsidTr="18CA0F2E">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F9870C7" w14:textId="77777777" w:rsidR="00EA7C9E" w:rsidRDefault="0068040D">
            <w:r>
              <w:rPr>
                <w:rFonts w:ascii="Arial" w:eastAsia="Arial" w:hAnsi="Arial" w:cs="Arial"/>
                <w:color w:val="000000"/>
                <w:sz w:val="17"/>
                <w:szCs w:val="17"/>
              </w:rPr>
              <w:t>O8 — Collect separately under each child's own Issuer ID</w:t>
            </w:r>
          </w:p>
        </w:tc>
        <w:tc>
          <w:tcPr>
            <w:tcW w:w="23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62B748E" w14:textId="77777777" w:rsidR="00EA7C9E" w:rsidRDefault="0068040D">
            <w:r>
              <w:rPr>
                <w:rFonts w:ascii="Arial" w:eastAsia="Arial" w:hAnsi="Arial" w:cs="Arial"/>
                <w:color w:val="000000"/>
                <w:sz w:val="17"/>
                <w:szCs w:val="17"/>
              </w:rPr>
              <w:t>Child's URL hostname-matches the Input Issuer's URL, AND 2+ children at the same hierarchy level share that exact URL with no way to disambiguate ownership (N7a = Yes).</w:t>
            </w:r>
          </w:p>
        </w:tc>
        <w:tc>
          <w:tcPr>
            <w:tcW w:w="23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C236BDC" w14:textId="77777777" w:rsidR="00EA7C9E" w:rsidRDefault="18CA0F2E">
            <w:r w:rsidRPr="18CA0F2E">
              <w:rPr>
                <w:rFonts w:ascii="Arial" w:eastAsia="Arial" w:hAnsi="Arial" w:cs="Arial"/>
                <w:color w:val="000000"/>
                <w:sz w:val="17"/>
                <w:szCs w:val="17"/>
              </w:rPr>
              <w:t>Collect from the shared URL once per sibling child — not once for the parent, and not merged into a single ‘Collect Both’ row.</w:t>
            </w:r>
          </w:p>
        </w:tc>
        <w:tc>
          <w:tcPr>
            <w:tcW w:w="2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5EDD5EC" w14:textId="77777777" w:rsidR="00EA7C9E" w:rsidRDefault="18CA0F2E">
            <w:r w:rsidRPr="18CA0F2E">
              <w:rPr>
                <w:rFonts w:ascii="Arial" w:eastAsia="Arial" w:hAnsi="Arial" w:cs="Arial"/>
                <w:color w:val="000000"/>
                <w:sz w:val="17"/>
                <w:szCs w:val="17"/>
              </w:rPr>
              <w:t>Set issuer_id to each sibling child in turn (one row per child); is_subsidiary = Yes for each; note the shared-URL relationship and sibling count in notes (§3.2, RULE O8).</w:t>
            </w:r>
          </w:p>
        </w:tc>
      </w:tr>
      <w:tr w:rsidR="0091796C" w14:paraId="5035020B" w14:textId="77777777">
        <w:tc>
          <w:tcPr>
            <w:tcW w:w="1900" w:type="dxa"/>
          </w:tcPr>
          <w:p w14:paraId="41E156B2" w14:textId="77777777" w:rsidR="0091796C" w:rsidRDefault="00EE56CC">
            <w:r>
              <w:rPr>
                <w:highlight w:val="yellow"/>
              </w:rPr>
              <w:t>O9 — Collect Input Issuer ID at its own URL</w:t>
            </w:r>
          </w:p>
        </w:tc>
        <w:tc>
          <w:tcPr>
            <w:tcW w:w="2350" w:type="dxa"/>
          </w:tcPr>
          <w:p w14:paraId="7CC7B5BD" w14:textId="77777777" w:rsidR="0091796C" w:rsidRDefault="00EE56CC">
            <w:r>
              <w:rPr>
                <w:highlight w:val="yellow"/>
              </w:rPr>
              <w:t>Child hostname-matches the Input Issuer but is itself Financing Company or SPV (N8 = No).</w:t>
            </w:r>
          </w:p>
        </w:tc>
        <w:tc>
          <w:tcPr>
            <w:tcW w:w="2350" w:type="dxa"/>
          </w:tcPr>
          <w:p w14:paraId="14941404" w14:textId="77777777" w:rsidR="0091796C" w:rsidRDefault="00EE56CC">
            <w:r>
              <w:rPr>
                <w:highlight w:val="yellow"/>
              </w:rPr>
              <w:t>No separate child-level collection pass; the child's evidence is folded into the Input Issuer's own collection using the M2 source order.</w:t>
            </w:r>
          </w:p>
        </w:tc>
        <w:tc>
          <w:tcPr>
            <w:tcW w:w="2750" w:type="dxa"/>
          </w:tcPr>
          <w:p w14:paraId="0FD096C7" w14:textId="77777777" w:rsidR="0091796C" w:rsidRDefault="00EE56CC">
            <w:r>
              <w:rPr>
                <w:highlight w:val="yellow"/>
              </w:rPr>
              <w:t>No separate row created for this child. Note the child's existence (name and subtype) in the Input Issuer's notes; set relationship_type = child_folded_nonoperating.</w:t>
            </w:r>
          </w:p>
        </w:tc>
      </w:tr>
    </w:tbl>
    <w:p w14:paraId="1C9C5137" w14:textId="77777777" w:rsidR="00EA7C9E" w:rsidRDefault="00EA7C9E">
      <w:pPr>
        <w:spacing w:after="100"/>
      </w:pPr>
    </w:p>
    <w:p w14:paraId="33E47011" w14:textId="77777777" w:rsidR="00EA7C9E" w:rsidRDefault="0068040D">
      <w:pPr>
        <w:pStyle w:val="Heading1"/>
        <w:spacing w:before="360" w:after="160"/>
      </w:pPr>
      <w:r>
        <w:rPr>
          <w:rFonts w:ascii="Calibri" w:eastAsia="Calibri" w:hAnsi="Calibri" w:cs="Calibri"/>
          <w:b/>
          <w:bCs/>
          <w:color w:val="365F91"/>
          <w:sz w:val="28"/>
          <w:szCs w:val="28"/>
        </w:rPr>
        <w:t>5. Source Discovery and URL Validation</w:t>
      </w:r>
    </w:p>
    <w:p w14:paraId="5DAC01C8" w14:textId="77777777" w:rsidR="00EA7C9E" w:rsidRDefault="0068040D">
      <w:pPr>
        <w:pStyle w:val="Heading2"/>
        <w:spacing w:before="260" w:after="120"/>
      </w:pPr>
      <w:r>
        <w:rPr>
          <w:rFonts w:ascii="Calibri" w:eastAsia="Calibri" w:hAnsi="Calibri" w:cs="Calibri"/>
          <w:b/>
          <w:bCs/>
          <w:color w:val="4F81BD"/>
          <w:sz w:val="24"/>
          <w:szCs w:val="24"/>
        </w:rPr>
        <w:t>5.1 Mandatory Source Order</w:t>
      </w:r>
    </w:p>
    <w:p w14:paraId="2ACD4C0B" w14:textId="77777777" w:rsidR="00EA7C9E" w:rsidRDefault="0068040D">
      <w:pPr>
        <w:spacing w:after="160"/>
      </w:pPr>
      <w:r>
        <w:rPr>
          <w:rFonts w:ascii="Arial" w:eastAsia="Arial" w:hAnsi="Arial" w:cs="Arial"/>
          <w:sz w:val="18"/>
          <w:szCs w:val="18"/>
        </w:rPr>
        <w:t>Once an entity is routed for collection (O3, O4, or O6), the agent applies the M2 source order: company-controlled and official disclosures first, reputable third-party sources second, lower-confidence sources only as leads or documented fallback.</w:t>
      </w:r>
    </w:p>
    <w:tbl>
      <w:tblPr>
        <w:tblW w:w="93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3800"/>
        <w:gridCol w:w="2950"/>
      </w:tblGrid>
      <w:tr w:rsidR="00EA7C9E" w14:paraId="14B4B60C" w14:textId="77777777" w:rsidTr="18CA0F2E">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0EB1B8A" w14:textId="77777777" w:rsidR="00EA7C9E" w:rsidRDefault="0068040D">
            <w:r>
              <w:rPr>
                <w:rFonts w:ascii="Arial" w:eastAsia="Arial" w:hAnsi="Arial" w:cs="Arial"/>
                <w:b/>
                <w:bCs/>
                <w:color w:val="FFFFFF"/>
                <w:sz w:val="17"/>
                <w:szCs w:val="17"/>
              </w:rPr>
              <w:t>Source Confidence Tier</w:t>
            </w:r>
          </w:p>
        </w:tc>
        <w:tc>
          <w:tcPr>
            <w:tcW w:w="3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68C32EE" w14:textId="77777777" w:rsidR="00EA7C9E" w:rsidRDefault="0068040D">
            <w:r>
              <w:rPr>
                <w:rFonts w:ascii="Arial" w:eastAsia="Arial" w:hAnsi="Arial" w:cs="Arial"/>
                <w:b/>
                <w:bCs/>
                <w:color w:val="FFFFFF"/>
                <w:sz w:val="17"/>
                <w:szCs w:val="17"/>
              </w:rPr>
              <w:t>Examples</w:t>
            </w:r>
          </w:p>
        </w:tc>
        <w:tc>
          <w:tcPr>
            <w:tcW w:w="29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B8ABE55" w14:textId="77777777" w:rsidR="00EA7C9E" w:rsidRDefault="0068040D">
            <w:r>
              <w:rPr>
                <w:rFonts w:ascii="Arial" w:eastAsia="Arial" w:hAnsi="Arial" w:cs="Arial"/>
                <w:b/>
                <w:bCs/>
                <w:color w:val="FFFFFF"/>
                <w:sz w:val="17"/>
                <w:szCs w:val="17"/>
              </w:rPr>
              <w:t>Use in M3 Collection</w:t>
            </w:r>
          </w:p>
        </w:tc>
      </w:tr>
      <w:tr w:rsidR="00EA7C9E" w14:paraId="297EF3D7" w14:textId="77777777" w:rsidTr="18CA0F2E">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3B8A4E0" w14:textId="77777777" w:rsidR="00EA7C9E" w:rsidRDefault="0068040D">
            <w:r>
              <w:rPr>
                <w:rFonts w:ascii="Arial" w:eastAsia="Arial" w:hAnsi="Arial" w:cs="Arial"/>
                <w:color w:val="000000"/>
                <w:sz w:val="17"/>
                <w:szCs w:val="17"/>
              </w:rPr>
              <w:t>Tier 1 — Primary evidence</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D9A2043" w14:textId="77777777" w:rsidR="00EA7C9E" w:rsidRDefault="0068040D">
            <w:r>
              <w:rPr>
                <w:rFonts w:ascii="Arial" w:eastAsia="Arial" w:hAnsi="Arial" w:cs="Arial"/>
                <w:color w:val="000000"/>
                <w:sz w:val="17"/>
                <w:szCs w:val="17"/>
              </w:rPr>
              <w:t>Issuer website, annual report, sustainability report, regulatory filings (10-K, 20-F), official portfolio/store/facility pages.</w:t>
            </w:r>
          </w:p>
        </w:tc>
        <w:tc>
          <w:tcPr>
            <w:tcW w:w="2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CD4599E" w14:textId="77777777" w:rsidR="00EA7C9E" w:rsidRDefault="18CA0F2E">
            <w:r w:rsidRPr="18CA0F2E">
              <w:rPr>
                <w:rFonts w:ascii="Arial" w:eastAsia="Arial" w:hAnsi="Arial" w:cs="Arial"/>
                <w:color w:val="000000"/>
                <w:sz w:val="17"/>
                <w:szCs w:val="17"/>
              </w:rPr>
              <w:t>Primary evidence for all routed collection where available.</w:t>
            </w:r>
          </w:p>
        </w:tc>
      </w:tr>
      <w:tr w:rsidR="00EA7C9E" w14:paraId="18244924" w14:textId="77777777" w:rsidTr="18CA0F2E">
        <w:tc>
          <w:tcPr>
            <w:tcW w:w="26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065D5940" w14:textId="77777777" w:rsidR="00EA7C9E" w:rsidRDefault="0068040D">
            <w:r>
              <w:rPr>
                <w:rFonts w:ascii="Arial" w:eastAsia="Arial" w:hAnsi="Arial" w:cs="Arial"/>
                <w:color w:val="000000"/>
                <w:sz w:val="17"/>
                <w:szCs w:val="17"/>
              </w:rPr>
              <w:t>Tier 2 — Secondary evidence</w:t>
            </w:r>
          </w:p>
        </w:tc>
        <w:tc>
          <w:tcPr>
            <w:tcW w:w="38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46358D12" w14:textId="77777777" w:rsidR="00EA7C9E" w:rsidRDefault="0068040D">
            <w:r>
              <w:rPr>
                <w:rFonts w:ascii="Arial" w:eastAsia="Arial" w:hAnsi="Arial" w:cs="Arial"/>
                <w:color w:val="000000"/>
                <w:sz w:val="17"/>
                <w:szCs w:val="17"/>
              </w:rPr>
              <w:t>Reputable third-party databases, exchange/regulator pages, specialist portfolio databases.</w:t>
            </w:r>
          </w:p>
        </w:tc>
        <w:tc>
          <w:tcPr>
            <w:tcW w:w="295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0F71B473" w14:textId="77777777" w:rsidR="00EA7C9E" w:rsidRDefault="0068040D">
            <w:r>
              <w:rPr>
                <w:rFonts w:ascii="Arial" w:eastAsia="Arial" w:hAnsi="Arial" w:cs="Arial"/>
                <w:color w:val="000000"/>
                <w:sz w:val="17"/>
                <w:szCs w:val="17"/>
              </w:rPr>
              <w:t>Supplement when Tier 1 is incomplete or unavailable. Do not replace available Tier 1 evidence.</w:t>
            </w:r>
          </w:p>
        </w:tc>
      </w:tr>
      <w:tr w:rsidR="00EA7C9E" w14:paraId="1549DAF4" w14:textId="77777777" w:rsidTr="18CA0F2E">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316A7BF" w14:textId="77777777" w:rsidR="00EA7C9E" w:rsidRDefault="0068040D">
            <w:r>
              <w:rPr>
                <w:rFonts w:ascii="Arial" w:eastAsia="Arial" w:hAnsi="Arial" w:cs="Arial"/>
                <w:color w:val="000000"/>
                <w:sz w:val="17"/>
                <w:szCs w:val="17"/>
              </w:rPr>
              <w:t>Tier 3 — Supporting leads</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72E10AB" w14:textId="77777777" w:rsidR="00EA7C9E" w:rsidRDefault="0068040D">
            <w:r>
              <w:rPr>
                <w:rFonts w:ascii="Arial" w:eastAsia="Arial" w:hAnsi="Arial" w:cs="Arial"/>
                <w:color w:val="000000"/>
                <w:sz w:val="17"/>
                <w:szCs w:val="17"/>
              </w:rPr>
              <w:t>General news, trade press, Wikipedia-style summaries.</w:t>
            </w:r>
          </w:p>
        </w:tc>
        <w:tc>
          <w:tcPr>
            <w:tcW w:w="2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D425880" w14:textId="77777777" w:rsidR="00EA7C9E" w:rsidRDefault="0068040D">
            <w:r>
              <w:rPr>
                <w:rFonts w:ascii="Arial" w:eastAsia="Arial" w:hAnsi="Arial" w:cs="Arial"/>
                <w:color w:val="000000"/>
                <w:sz w:val="17"/>
                <w:szCs w:val="17"/>
              </w:rPr>
              <w:t>Use cautiously for leads, counts, or overview only; verify against higher tiers where possible.</w:t>
            </w:r>
          </w:p>
        </w:tc>
      </w:tr>
      <w:tr w:rsidR="00EA7C9E" w14:paraId="3ABDC999" w14:textId="77777777" w:rsidTr="18CA0F2E">
        <w:tc>
          <w:tcPr>
            <w:tcW w:w="26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4D617BCF" w14:textId="77777777" w:rsidR="00EA7C9E" w:rsidRDefault="0068040D">
            <w:r>
              <w:rPr>
                <w:rFonts w:ascii="Arial" w:eastAsia="Arial" w:hAnsi="Arial" w:cs="Arial"/>
                <w:color w:val="000000"/>
                <w:sz w:val="17"/>
                <w:szCs w:val="17"/>
              </w:rPr>
              <w:lastRenderedPageBreak/>
              <w:t>Tier 4 — Unverified leads</w:t>
            </w:r>
          </w:p>
        </w:tc>
        <w:tc>
          <w:tcPr>
            <w:tcW w:w="38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2FD7A4BE" w14:textId="77777777" w:rsidR="00EA7C9E" w:rsidRDefault="0068040D">
            <w:r>
              <w:rPr>
                <w:rFonts w:ascii="Arial" w:eastAsia="Arial" w:hAnsi="Arial" w:cs="Arial"/>
                <w:color w:val="000000"/>
                <w:sz w:val="17"/>
                <w:szCs w:val="17"/>
              </w:rPr>
              <w:t>Unverified aggregators, anonymous posts, scraped or user-generated pages.</w:t>
            </w:r>
          </w:p>
        </w:tc>
        <w:tc>
          <w:tcPr>
            <w:tcW w:w="295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7ED7E01E" w14:textId="77777777" w:rsidR="00EA7C9E" w:rsidRDefault="18CA0F2E">
            <w:r w:rsidRPr="18CA0F2E">
              <w:rPr>
                <w:rFonts w:ascii="Arial" w:eastAsia="Arial" w:hAnsi="Arial" w:cs="Arial"/>
                <w:color w:val="000000"/>
                <w:sz w:val="17"/>
                <w:szCs w:val="17"/>
              </w:rPr>
              <w:t>Do not use as primary evidence. Record as lead/gap note only when useful.</w:t>
            </w:r>
          </w:p>
        </w:tc>
      </w:tr>
    </w:tbl>
    <w:p w14:paraId="1DEBBF3C" w14:textId="77777777" w:rsidR="00EA7C9E" w:rsidRDefault="00EA7C9E">
      <w:pPr>
        <w:spacing w:after="100"/>
      </w:pPr>
    </w:p>
    <w:p w14:paraId="781433AA" w14:textId="77777777" w:rsidR="00EA7C9E" w:rsidRDefault="0068040D">
      <w:pPr>
        <w:pStyle w:val="Heading2"/>
        <w:spacing w:before="260" w:after="120"/>
      </w:pPr>
      <w:r>
        <w:rPr>
          <w:rFonts w:ascii="Calibri" w:eastAsia="Calibri" w:hAnsi="Calibri" w:cs="Calibri"/>
          <w:b/>
          <w:bCs/>
          <w:color w:val="4F81BD"/>
          <w:sz w:val="24"/>
          <w:szCs w:val="24"/>
        </w:rPr>
        <w:t>5.2 Page Type and Source Logging</w:t>
      </w:r>
    </w:p>
    <w:p w14:paraId="3A0EFCEA" w14:textId="77777777" w:rsidR="00EA7C9E" w:rsidRDefault="18CA0F2E">
      <w:pPr>
        <w:spacing w:after="160"/>
      </w:pPr>
      <w:r w:rsidRPr="18CA0F2E">
        <w:rPr>
          <w:rFonts w:ascii="Arial" w:eastAsia="Arial" w:hAnsi="Arial" w:cs="Arial"/>
          <w:sz w:val="18"/>
          <w:szCs w:val="18"/>
        </w:rPr>
        <w:t>Once an entity has been routed for collection, log each source URL with the fields below. These populate the all_sources JSON schema and are passed to Completeness QA and Extraction. Source confidence tier (1–4) is defined in M2 §5 and is independent of collection routing.</w:t>
      </w:r>
    </w:p>
    <w:tbl>
      <w:tblPr>
        <w:tblW w:w="93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6950"/>
      </w:tblGrid>
      <w:tr w:rsidR="00EA7C9E" w14:paraId="4027EF59" w14:textId="77777777" w:rsidTr="18CA0F2E">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C097618" w14:textId="77777777" w:rsidR="00EA7C9E" w:rsidRDefault="0068040D">
            <w:r>
              <w:rPr>
                <w:rFonts w:ascii="Arial" w:eastAsia="Arial" w:hAnsi="Arial" w:cs="Arial"/>
                <w:b/>
                <w:bCs/>
                <w:color w:val="FFFFFF"/>
                <w:sz w:val="17"/>
                <w:szCs w:val="17"/>
              </w:rPr>
              <w:t>Required Field</w:t>
            </w:r>
          </w:p>
        </w:tc>
        <w:tc>
          <w:tcPr>
            <w:tcW w:w="69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20475CC" w14:textId="77777777" w:rsidR="00EA7C9E" w:rsidRDefault="0068040D">
            <w:r>
              <w:rPr>
                <w:rFonts w:ascii="Arial" w:eastAsia="Arial" w:hAnsi="Arial" w:cs="Arial"/>
                <w:b/>
                <w:bCs/>
                <w:color w:val="FFFFFF"/>
                <w:sz w:val="17"/>
                <w:szCs w:val="17"/>
              </w:rPr>
              <w:t>Collection Rule</w:t>
            </w:r>
          </w:p>
        </w:tc>
      </w:tr>
      <w:tr w:rsidR="00EA7C9E" w14:paraId="61E5BAD5" w14:textId="77777777" w:rsidTr="18CA0F2E">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715F3CF" w14:textId="77777777" w:rsidR="00EA7C9E" w:rsidRDefault="18CA0F2E">
            <w:r w:rsidRPr="18CA0F2E">
              <w:rPr>
                <w:rFonts w:ascii="Arial" w:eastAsia="Arial" w:hAnsi="Arial" w:cs="Arial"/>
                <w:color w:val="000000"/>
                <w:sz w:val="17"/>
                <w:szCs w:val="17"/>
              </w:rPr>
              <w:t>url</w:t>
            </w:r>
          </w:p>
        </w:tc>
        <w:tc>
          <w:tcPr>
            <w:tcW w:w="6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0373B2C" w14:textId="77777777" w:rsidR="00EA7C9E" w:rsidRDefault="18CA0F2E">
            <w:r w:rsidRPr="18CA0F2E">
              <w:rPr>
                <w:rFonts w:ascii="Arial" w:eastAsia="Arial" w:hAnsi="Arial" w:cs="Arial"/>
                <w:color w:val="000000"/>
                <w:sz w:val="17"/>
                <w:szCs w:val="17"/>
              </w:rPr>
              <w:t>Use the canonical page that contains or leads directly to asset locations.</w:t>
            </w:r>
          </w:p>
        </w:tc>
      </w:tr>
      <w:tr w:rsidR="00EA7C9E" w14:paraId="6A9AA2E2" w14:textId="77777777" w:rsidTr="18CA0F2E">
        <w:tc>
          <w:tcPr>
            <w:tcW w:w="24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453D71E5" w14:textId="77777777" w:rsidR="00EA7C9E" w:rsidRDefault="18CA0F2E">
            <w:r w:rsidRPr="18CA0F2E">
              <w:rPr>
                <w:rFonts w:ascii="Arial" w:eastAsia="Arial" w:hAnsi="Arial" w:cs="Arial"/>
                <w:color w:val="000000"/>
                <w:sz w:val="17"/>
                <w:szCs w:val="17"/>
              </w:rPr>
              <w:t>page_type</w:t>
            </w:r>
          </w:p>
        </w:tc>
        <w:tc>
          <w:tcPr>
            <w:tcW w:w="695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6147315C" w14:textId="77777777" w:rsidR="00EA7C9E" w:rsidRDefault="18CA0F2E">
            <w:pPr>
              <w:spacing w:after="60"/>
            </w:pPr>
            <w:r w:rsidRPr="18CA0F2E">
              <w:rPr>
                <w:rFonts w:ascii="Arial" w:eastAsia="Arial" w:hAnsi="Arial" w:cs="Arial"/>
                <w:sz w:val="18"/>
                <w:szCs w:val="18"/>
              </w:rPr>
              <w:t>Classify as: static_html, javascript_heavy, interactive_map, paginated, table_format, hierarchical_selector, search_required, api_based, mixed, pdf_document, or html_filing.</w:t>
            </w:r>
          </w:p>
          <w:p w14:paraId="033D8818" w14:textId="77777777" w:rsidR="00EA7C9E" w:rsidRDefault="0068040D">
            <w:r>
              <w:rPr>
                <w:rFonts w:ascii="Arial" w:eastAsia="Arial" w:hAnsi="Arial" w:cs="Arial"/>
                <w:i/>
                <w:iCs/>
                <w:color w:val="8A6D00"/>
                <w:sz w:val="18"/>
                <w:szCs w:val="18"/>
              </w:rPr>
              <w:t>OPEN — Ken's page-classification comment: this field's alignment with the autonomous pipeline's own page classification requires a decision from Ken before it can be considered fully settled; left intentionally unresolved pending that conversation.</w:t>
            </w:r>
          </w:p>
        </w:tc>
      </w:tr>
      <w:tr w:rsidR="00EA7C9E" w14:paraId="2EC5EA09" w14:textId="77777777" w:rsidTr="18CA0F2E">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967B1B6" w14:textId="77777777" w:rsidR="00EA7C9E" w:rsidRDefault="18CA0F2E">
            <w:r w:rsidRPr="18CA0F2E">
              <w:rPr>
                <w:rFonts w:ascii="Arial" w:eastAsia="Arial" w:hAnsi="Arial" w:cs="Arial"/>
                <w:color w:val="000000"/>
                <w:sz w:val="17"/>
                <w:szCs w:val="17"/>
              </w:rPr>
              <w:t>content_type</w:t>
            </w:r>
          </w:p>
        </w:tc>
        <w:tc>
          <w:tcPr>
            <w:tcW w:w="6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A197C65" w14:textId="77777777" w:rsidR="00EA7C9E" w:rsidRDefault="0068040D">
            <w:r>
              <w:rPr>
                <w:rFonts w:ascii="Arial" w:eastAsia="Arial" w:hAnsi="Arial" w:cs="Arial"/>
                <w:color w:val="000000"/>
                <w:sz w:val="17"/>
                <w:szCs w:val="17"/>
              </w:rPr>
              <w:t>Classify each URL as one or more of: Specific Addresses (street address or city + country for individual facilities), Partial Addresses (city or region only, no street), Aggregate Counts (total count without individual locations), Asset Mentions (references to openings, closures, expansions without a specific count or address). A single URL may carry multiple values. See M2 §12.1 for full definitions.</w:t>
            </w:r>
          </w:p>
        </w:tc>
      </w:tr>
      <w:tr w:rsidR="00EA7C9E" w14:paraId="207A23E2" w14:textId="77777777" w:rsidTr="18CA0F2E">
        <w:tc>
          <w:tcPr>
            <w:tcW w:w="24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79B02FB6" w14:textId="77777777" w:rsidR="00EA7C9E" w:rsidRDefault="18CA0F2E">
            <w:r w:rsidRPr="18CA0F2E">
              <w:rPr>
                <w:rFonts w:ascii="Arial" w:eastAsia="Arial" w:hAnsi="Arial" w:cs="Arial"/>
                <w:color w:val="000000"/>
                <w:sz w:val="17"/>
                <w:szCs w:val="17"/>
              </w:rPr>
              <w:t>source_tier</w:t>
            </w:r>
          </w:p>
        </w:tc>
        <w:tc>
          <w:tcPr>
            <w:tcW w:w="695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77234E27" w14:textId="77777777" w:rsidR="00EA7C9E" w:rsidRDefault="0068040D">
            <w:r>
              <w:rPr>
                <w:rFonts w:ascii="Arial" w:eastAsia="Arial" w:hAnsi="Arial" w:cs="Arial"/>
                <w:color w:val="000000"/>
                <w:sz w:val="17"/>
                <w:szCs w:val="17"/>
              </w:rPr>
              <w:t>Populate source confidence tier (1–4, from M2) — unrelated to any collection routing concept.</w:t>
            </w:r>
          </w:p>
        </w:tc>
      </w:tr>
      <w:tr w:rsidR="00EA7C9E" w14:paraId="39A1E8F6" w14:textId="77777777" w:rsidTr="18CA0F2E">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8BF565E" w14:textId="77777777" w:rsidR="00EA7C9E" w:rsidRDefault="18CA0F2E">
            <w:r w:rsidRPr="18CA0F2E">
              <w:rPr>
                <w:rFonts w:ascii="Arial" w:eastAsia="Arial" w:hAnsi="Arial" w:cs="Arial"/>
                <w:color w:val="000000"/>
                <w:sz w:val="17"/>
                <w:szCs w:val="17"/>
              </w:rPr>
              <w:t>estimated_count</w:t>
            </w:r>
          </w:p>
        </w:tc>
        <w:tc>
          <w:tcPr>
            <w:tcW w:w="6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F610FA5" w14:textId="77777777" w:rsidR="00EA7C9E" w:rsidRDefault="18CA0F2E">
            <w:r w:rsidRPr="18CA0F2E">
              <w:rPr>
                <w:rFonts w:ascii="Arial" w:eastAsia="Arial" w:hAnsi="Arial" w:cs="Arial"/>
                <w:color w:val="000000"/>
                <w:sz w:val="17"/>
                <w:szCs w:val="17"/>
              </w:rPr>
              <w:t>Record only when the source provides a direct count or the collection page count can be observed.</w:t>
            </w:r>
          </w:p>
        </w:tc>
      </w:tr>
      <w:tr w:rsidR="00EA7C9E" w14:paraId="61D6ECCE" w14:textId="77777777" w:rsidTr="18CA0F2E">
        <w:tc>
          <w:tcPr>
            <w:tcW w:w="24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1372EBCE" w14:textId="77777777" w:rsidR="00EA7C9E" w:rsidRDefault="18CA0F2E">
            <w:r w:rsidRPr="18CA0F2E">
              <w:rPr>
                <w:rFonts w:ascii="Arial" w:eastAsia="Arial" w:hAnsi="Arial" w:cs="Arial"/>
                <w:color w:val="000000"/>
                <w:sz w:val="17"/>
                <w:szCs w:val="17"/>
              </w:rPr>
              <w:t>last_verified</w:t>
            </w:r>
          </w:p>
        </w:tc>
        <w:tc>
          <w:tcPr>
            <w:tcW w:w="695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3ACCE76C" w14:textId="77777777" w:rsidR="00EA7C9E" w:rsidRDefault="0068040D">
            <w:r>
              <w:rPr>
                <w:rFonts w:ascii="Arial" w:eastAsia="Arial" w:hAnsi="Arial" w:cs="Arial"/>
                <w:color w:val="000000"/>
                <w:sz w:val="17"/>
                <w:szCs w:val="17"/>
              </w:rPr>
              <w:t>Record the collection verification date.</w:t>
            </w:r>
          </w:p>
        </w:tc>
      </w:tr>
      <w:tr w:rsidR="00EA7C9E" w14:paraId="7DCD744D" w14:textId="77777777" w:rsidTr="18CA0F2E">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D477B1F" w14:textId="77777777" w:rsidR="00EA7C9E" w:rsidRDefault="18CA0F2E">
            <w:r w:rsidRPr="18CA0F2E">
              <w:rPr>
                <w:rFonts w:ascii="Arial" w:eastAsia="Arial" w:hAnsi="Arial" w:cs="Arial"/>
                <w:color w:val="000000"/>
                <w:sz w:val="17"/>
                <w:szCs w:val="17"/>
              </w:rPr>
              <w:t>filing_date / source date</w:t>
            </w:r>
          </w:p>
        </w:tc>
        <w:tc>
          <w:tcPr>
            <w:tcW w:w="6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A4B1767" w14:textId="77777777" w:rsidR="00EA7C9E" w:rsidRDefault="0068040D">
            <w:r>
              <w:rPr>
                <w:rFonts w:ascii="Arial" w:eastAsia="Arial" w:hAnsi="Arial" w:cs="Arial"/>
                <w:color w:val="000000"/>
                <w:sz w:val="17"/>
                <w:szCs w:val="17"/>
              </w:rPr>
              <w:t>For filings or reports, record the filing/publication year or report period used.</w:t>
            </w:r>
          </w:p>
        </w:tc>
      </w:tr>
      <w:tr w:rsidR="00EA7C9E" w14:paraId="2F283EDD" w14:textId="77777777" w:rsidTr="18CA0F2E">
        <w:tc>
          <w:tcPr>
            <w:tcW w:w="24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4DF39C6B" w14:textId="77777777" w:rsidR="00EA7C9E" w:rsidRDefault="0068040D">
            <w:r>
              <w:rPr>
                <w:rFonts w:ascii="Arial" w:eastAsia="Arial" w:hAnsi="Arial" w:cs="Arial"/>
                <w:color w:val="000000"/>
                <w:sz w:val="17"/>
                <w:szCs w:val="17"/>
              </w:rPr>
              <w:t>language</w:t>
            </w:r>
          </w:p>
        </w:tc>
        <w:tc>
          <w:tcPr>
            <w:tcW w:w="695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15C484D3" w14:textId="77777777" w:rsidR="00EA7C9E" w:rsidRDefault="0068040D">
            <w:r>
              <w:rPr>
                <w:rFonts w:ascii="Arial" w:eastAsia="Arial" w:hAnsi="Arial" w:cs="Arial"/>
                <w:color w:val="000000"/>
                <w:sz w:val="17"/>
                <w:szCs w:val="17"/>
              </w:rPr>
              <w:t>Record source language when it affects collection or downstream translation.</w:t>
            </w:r>
          </w:p>
        </w:tc>
      </w:tr>
      <w:tr w:rsidR="00EA7C9E" w14:paraId="5208FE93" w14:textId="77777777" w:rsidTr="18CA0F2E">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6005E35" w14:textId="77777777" w:rsidR="00EA7C9E" w:rsidRDefault="18CA0F2E">
            <w:r w:rsidRPr="18CA0F2E">
              <w:rPr>
                <w:rFonts w:ascii="Arial" w:eastAsia="Arial" w:hAnsi="Arial" w:cs="Arial"/>
                <w:color w:val="000000"/>
                <w:sz w:val="17"/>
                <w:szCs w:val="17"/>
              </w:rPr>
              <w:t>notes (and confidence_score)</w:t>
            </w:r>
          </w:p>
        </w:tc>
        <w:tc>
          <w:tcPr>
            <w:tcW w:w="6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72ADA64" w14:textId="77777777" w:rsidR="00EA7C9E" w:rsidRDefault="0068040D">
            <w:r>
              <w:rPr>
                <w:rFonts w:ascii="Arial" w:eastAsia="Arial" w:hAnsi="Arial" w:cs="Arial"/>
                <w:color w:val="000000"/>
                <w:sz w:val="17"/>
                <w:szCs w:val="17"/>
              </w:rPr>
              <w:t>Document uncertainty, partial collection, franchise ambiguity, or client-response-derived flags.</w:t>
            </w:r>
          </w:p>
        </w:tc>
      </w:tr>
    </w:tbl>
    <w:p w14:paraId="3E1B3BD9" w14:textId="77777777" w:rsidR="00EA7C9E" w:rsidRDefault="00EA7C9E">
      <w:pPr>
        <w:spacing w:after="100"/>
      </w:pPr>
    </w:p>
    <w:tbl>
      <w:tblPr>
        <w:tblW w:w="93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50"/>
      </w:tblGrid>
      <w:tr w:rsidR="00EA7C9E" w14:paraId="0E719793" w14:textId="77777777" w:rsidTr="18CA0F2E">
        <w:tc>
          <w:tcPr>
            <w:tcW w:w="9350" w:type="dxa"/>
            <w:tcBorders>
              <w:top w:val="single" w:sz="4" w:space="0" w:color="C9971F"/>
              <w:left w:val="single" w:sz="4" w:space="0" w:color="C9971F"/>
              <w:bottom w:val="single" w:sz="4" w:space="0" w:color="C9971F"/>
              <w:right w:val="single" w:sz="4" w:space="0" w:color="C9971F"/>
            </w:tcBorders>
            <w:shd w:val="clear" w:color="auto" w:fill="FFF8E7"/>
            <w:tcMar>
              <w:top w:w="140" w:type="dxa"/>
              <w:left w:w="160" w:type="dxa"/>
              <w:bottom w:w="140" w:type="dxa"/>
              <w:right w:w="160" w:type="dxa"/>
            </w:tcMar>
          </w:tcPr>
          <w:p w14:paraId="35D3C3A2" w14:textId="77777777" w:rsidR="00EA7C9E" w:rsidRDefault="0068040D">
            <w:pPr>
              <w:spacing w:after="80"/>
            </w:pPr>
            <w:r>
              <w:rPr>
                <w:rFonts w:ascii="Calibri" w:eastAsia="Calibri" w:hAnsi="Calibri" w:cs="Calibri"/>
                <w:b/>
                <w:bCs/>
                <w:color w:val="1F3864"/>
                <w:sz w:val="18"/>
                <w:szCs w:val="18"/>
              </w:rPr>
              <w:t>RULE 5.1 — Open-Before-Include</w:t>
            </w:r>
          </w:p>
          <w:p w14:paraId="1804E27D" w14:textId="77777777" w:rsidR="00EA7C9E" w:rsidRDefault="18CA0F2E">
            <w:pPr>
              <w:spacing w:after="100"/>
            </w:pPr>
            <w:r w:rsidRPr="18CA0F2E">
              <w:rPr>
                <w:rFonts w:ascii="Arial" w:eastAsia="Arial" w:hAnsi="Arial" w:cs="Arial"/>
                <w:sz w:val="18"/>
                <w:szCs w:val="18"/>
              </w:rPr>
              <w:t>IF a URL is discovered by search or enrichment THEN open the URL and confirm it contains asset locations, a direct asset count, a facility/portfolio locator, or a disclosure section that can reasonably support extraction.</w:t>
            </w:r>
          </w:p>
        </w:tc>
      </w:tr>
    </w:tbl>
    <w:p w14:paraId="36D0A4CA" w14:textId="77777777" w:rsidR="00EA7C9E" w:rsidRDefault="00EA7C9E">
      <w:pPr>
        <w:spacing w:after="100"/>
      </w:pPr>
    </w:p>
    <w:tbl>
      <w:tblPr>
        <w:tblW w:w="93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50"/>
      </w:tblGrid>
      <w:tr w:rsidR="00EA7C9E" w14:paraId="021D4959" w14:textId="77777777" w:rsidTr="18CA0F2E">
        <w:tc>
          <w:tcPr>
            <w:tcW w:w="9350" w:type="dxa"/>
            <w:tcBorders>
              <w:top w:val="single" w:sz="4" w:space="0" w:color="C9971F"/>
              <w:left w:val="single" w:sz="4" w:space="0" w:color="C9971F"/>
              <w:bottom w:val="single" w:sz="4" w:space="0" w:color="C9971F"/>
              <w:right w:val="single" w:sz="4" w:space="0" w:color="C9971F"/>
            </w:tcBorders>
            <w:shd w:val="clear" w:color="auto" w:fill="FFF8E7"/>
            <w:tcMar>
              <w:top w:w="140" w:type="dxa"/>
              <w:left w:w="160" w:type="dxa"/>
              <w:bottom w:w="140" w:type="dxa"/>
              <w:right w:w="160" w:type="dxa"/>
            </w:tcMar>
          </w:tcPr>
          <w:p w14:paraId="7D4EB0AC" w14:textId="77777777" w:rsidR="00EA7C9E" w:rsidRDefault="0068040D">
            <w:pPr>
              <w:spacing w:after="80"/>
            </w:pPr>
            <w:r>
              <w:rPr>
                <w:rFonts w:ascii="Calibri" w:eastAsia="Calibri" w:hAnsi="Calibri" w:cs="Calibri"/>
                <w:b/>
                <w:bCs/>
                <w:color w:val="1F3864"/>
                <w:sz w:val="18"/>
                <w:szCs w:val="18"/>
              </w:rPr>
              <w:t>RULE 5.2 — Access Gate</w:t>
            </w:r>
          </w:p>
          <w:p w14:paraId="4EDCA7C6" w14:textId="77777777" w:rsidR="00EA7C9E" w:rsidRDefault="18CA0F2E">
            <w:pPr>
              <w:spacing w:after="100"/>
            </w:pPr>
            <w:r w:rsidRPr="18CA0F2E">
              <w:rPr>
                <w:rFonts w:ascii="Arial" w:eastAsia="Arial" w:hAnsi="Arial" w:cs="Arial"/>
                <w:sz w:val="18"/>
                <w:szCs w:val="18"/>
              </w:rPr>
              <w:t>IF a URL returns 404, login wall, paywall, access denied, CAPTCHA, or an unrecoverable redirect THEN exclude it from all_sources as primary evidence and document the failed access condition in notes or the gap register.</w:t>
            </w:r>
          </w:p>
        </w:tc>
      </w:tr>
    </w:tbl>
    <w:p w14:paraId="38939CD2" w14:textId="77777777" w:rsidR="00EA7C9E" w:rsidRDefault="00EA7C9E">
      <w:pPr>
        <w:spacing w:after="100"/>
      </w:pPr>
    </w:p>
    <w:p w14:paraId="11F3F4B1" w14:textId="77777777" w:rsidR="00EA7C9E" w:rsidRDefault="0068040D">
      <w:pPr>
        <w:pStyle w:val="Heading1"/>
        <w:spacing w:before="360" w:after="160"/>
      </w:pPr>
      <w:r>
        <w:rPr>
          <w:rFonts w:ascii="Calibri" w:eastAsia="Calibri" w:hAnsi="Calibri" w:cs="Calibri"/>
          <w:b/>
          <w:bCs/>
          <w:color w:val="365F91"/>
          <w:sz w:val="28"/>
          <w:szCs w:val="28"/>
        </w:rPr>
        <w:t>6. Asset Location Inclusion and Exclusion Rules</w:t>
      </w:r>
    </w:p>
    <w:p w14:paraId="56FEF0F5" w14:textId="77777777" w:rsidR="00EA7C9E" w:rsidRDefault="0068040D">
      <w:pPr>
        <w:pStyle w:val="Heading2"/>
        <w:spacing w:before="260" w:after="120"/>
      </w:pPr>
      <w:r>
        <w:rPr>
          <w:rFonts w:ascii="Calibri" w:eastAsia="Calibri" w:hAnsi="Calibri" w:cs="Calibri"/>
          <w:b/>
          <w:bCs/>
          <w:color w:val="4F81BD"/>
          <w:sz w:val="24"/>
          <w:szCs w:val="24"/>
        </w:rPr>
        <w:t>6.1 Ownership and Control Principle</w:t>
      </w:r>
    </w:p>
    <w:tbl>
      <w:tblPr>
        <w:tblW w:w="93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50"/>
      </w:tblGrid>
      <w:tr w:rsidR="00EA7C9E" w14:paraId="11C03C66" w14:textId="77777777" w:rsidTr="18CA0F2E">
        <w:tc>
          <w:tcPr>
            <w:tcW w:w="9350" w:type="dxa"/>
            <w:tcBorders>
              <w:top w:val="single" w:sz="4" w:space="0" w:color="9DB8D9"/>
              <w:left w:val="single" w:sz="4" w:space="0" w:color="9DB8D9"/>
              <w:bottom w:val="single" w:sz="4" w:space="0" w:color="9DB8D9"/>
              <w:right w:val="single" w:sz="4" w:space="0" w:color="9DB8D9"/>
            </w:tcBorders>
            <w:shd w:val="clear" w:color="auto" w:fill="EEF3FA"/>
            <w:tcMar>
              <w:top w:w="140" w:type="dxa"/>
              <w:left w:w="160" w:type="dxa"/>
              <w:bottom w:w="140" w:type="dxa"/>
              <w:right w:w="160" w:type="dxa"/>
            </w:tcMar>
          </w:tcPr>
          <w:p w14:paraId="0D6ECBDC" w14:textId="77777777" w:rsidR="00EA7C9E" w:rsidRDefault="0068040D">
            <w:pPr>
              <w:spacing w:after="80"/>
            </w:pPr>
            <w:r>
              <w:rPr>
                <w:rFonts w:ascii="Calibri" w:eastAsia="Calibri" w:hAnsi="Calibri" w:cs="Calibri"/>
                <w:b/>
                <w:bCs/>
                <w:color w:val="1F3864"/>
                <w:sz w:val="18"/>
                <w:szCs w:val="18"/>
              </w:rPr>
              <w:lastRenderedPageBreak/>
              <w:t>CORE COLLECTION PRINCIPLE</w:t>
            </w:r>
          </w:p>
          <w:p w14:paraId="6E8F7D21" w14:textId="77777777" w:rsidR="00EA7C9E" w:rsidRDefault="18CA0F2E">
            <w:pPr>
              <w:spacing w:after="100"/>
            </w:pPr>
            <w:r w:rsidRPr="18CA0F2E">
              <w:rPr>
                <w:rFonts w:ascii="Arial" w:eastAsia="Arial" w:hAnsi="Arial" w:cs="Arial"/>
                <w:sz w:val="18"/>
                <w:szCs w:val="18"/>
              </w:rPr>
              <w:t>Collect locations that are owned, operated, leased, controlled, or otherwise economically material to the issuer or an in-scope subsidiary, consistent with M1/M2. Exclude third-party locations where the issuer is only a distributor, listing broker, franchisor, authorized reseller, or service intermediary — unless the source explicitly identifies company-owned or company-operated sites. Exclude properties held solely as mortgage loan interests — a mortgage loan is a financial instrument, not an ownership or control interest in the physical location (see Rule 6.5 and Section 9 edge cases).</w:t>
            </w:r>
          </w:p>
        </w:tc>
      </w:tr>
    </w:tbl>
    <w:p w14:paraId="16D9CDA1" w14:textId="77777777" w:rsidR="00EA7C9E" w:rsidRDefault="00EA7C9E">
      <w:pPr>
        <w:spacing w:after="100"/>
      </w:pPr>
    </w:p>
    <w:tbl>
      <w:tblPr>
        <w:tblW w:w="93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50"/>
      </w:tblGrid>
      <w:tr w:rsidR="00EA7C9E" w14:paraId="7575B40B" w14:textId="77777777" w:rsidTr="18CA0F2E">
        <w:tc>
          <w:tcPr>
            <w:tcW w:w="9350" w:type="dxa"/>
            <w:tcBorders>
              <w:top w:val="single" w:sz="4" w:space="0" w:color="C9971F"/>
              <w:left w:val="single" w:sz="4" w:space="0" w:color="C9971F"/>
              <w:bottom w:val="single" w:sz="4" w:space="0" w:color="C9971F"/>
              <w:right w:val="single" w:sz="4" w:space="0" w:color="C9971F"/>
            </w:tcBorders>
            <w:shd w:val="clear" w:color="auto" w:fill="FFF8E7"/>
            <w:tcMar>
              <w:top w:w="140" w:type="dxa"/>
              <w:left w:w="160" w:type="dxa"/>
              <w:bottom w:w="140" w:type="dxa"/>
              <w:right w:w="160" w:type="dxa"/>
            </w:tcMar>
          </w:tcPr>
          <w:p w14:paraId="3CB25249" w14:textId="77777777" w:rsidR="00EA7C9E" w:rsidRDefault="0068040D">
            <w:pPr>
              <w:spacing w:after="80"/>
            </w:pPr>
            <w:r>
              <w:rPr>
                <w:rFonts w:ascii="Calibri" w:eastAsia="Calibri" w:hAnsi="Calibri" w:cs="Calibri"/>
                <w:b/>
                <w:bCs/>
                <w:color w:val="1F3864"/>
                <w:sz w:val="18"/>
                <w:szCs w:val="18"/>
              </w:rPr>
              <w:t>RULE 6.1 — Company-Owned Locations</w:t>
            </w:r>
          </w:p>
          <w:p w14:paraId="200B8839" w14:textId="77777777" w:rsidR="00EA7C9E" w:rsidRDefault="18CA0F2E">
            <w:pPr>
              <w:spacing w:after="100"/>
            </w:pPr>
            <w:r w:rsidRPr="18CA0F2E">
              <w:rPr>
                <w:rFonts w:ascii="Arial" w:eastAsia="Arial" w:hAnsi="Arial" w:cs="Arial"/>
                <w:sz w:val="18"/>
                <w:szCs w:val="18"/>
              </w:rPr>
              <w:t>IF a source identifies stores, plants, properties, branches, labs, offices, warehouses, or facilities as company-owned, company-operated, leased, or directly controlled THEN collect the location when it maps to the relevant M2 asset type.</w:t>
            </w:r>
          </w:p>
        </w:tc>
      </w:tr>
    </w:tbl>
    <w:p w14:paraId="3F88F2D2" w14:textId="77777777" w:rsidR="00EA7C9E" w:rsidRDefault="00EA7C9E">
      <w:pPr>
        <w:spacing w:after="100"/>
      </w:pPr>
    </w:p>
    <w:tbl>
      <w:tblPr>
        <w:tblW w:w="93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50"/>
      </w:tblGrid>
      <w:tr w:rsidR="00EA7C9E" w14:paraId="591FF139" w14:textId="77777777">
        <w:tc>
          <w:tcPr>
            <w:tcW w:w="9350" w:type="dxa"/>
            <w:tcBorders>
              <w:top w:val="single" w:sz="4" w:space="0" w:color="C9971F"/>
              <w:left w:val="single" w:sz="4" w:space="0" w:color="C9971F"/>
              <w:bottom w:val="single" w:sz="4" w:space="0" w:color="C9971F"/>
              <w:right w:val="single" w:sz="4" w:space="0" w:color="C9971F"/>
            </w:tcBorders>
            <w:shd w:val="clear" w:color="auto" w:fill="FFF8E7"/>
            <w:tcMar>
              <w:top w:w="140" w:type="dxa"/>
              <w:left w:w="160" w:type="dxa"/>
              <w:bottom w:w="140" w:type="dxa"/>
              <w:right w:w="160" w:type="dxa"/>
            </w:tcMar>
          </w:tcPr>
          <w:p w14:paraId="03D840A1" w14:textId="77777777" w:rsidR="00EA7C9E" w:rsidRDefault="0068040D">
            <w:pPr>
              <w:spacing w:after="80"/>
            </w:pPr>
            <w:r>
              <w:rPr>
                <w:rFonts w:ascii="Calibri" w:eastAsia="Calibri" w:hAnsi="Calibri" w:cs="Calibri"/>
                <w:b/>
                <w:bCs/>
                <w:color w:val="1F3864"/>
                <w:sz w:val="18"/>
                <w:szCs w:val="18"/>
              </w:rPr>
              <w:t>RULE 6.2 — Franchise Ambiguity</w:t>
            </w:r>
          </w:p>
          <w:p w14:paraId="1A3407E7" w14:textId="77777777" w:rsidR="00EA7C9E" w:rsidRDefault="0068040D">
            <w:pPr>
              <w:spacing w:after="100"/>
            </w:pPr>
            <w:r>
              <w:rPr>
                <w:rFonts w:ascii="Arial" w:eastAsia="Arial" w:hAnsi="Arial" w:cs="Arial"/>
                <w:sz w:val="18"/>
                <w:szCs w:val="18"/>
              </w:rPr>
              <w:t>IF a store locator lists franchise and company stores separately THEN exclude explicitly franchise locations. If status is not explicitly stated, collect the location and add a verification comment. Franchise stores are not collected.</w:t>
            </w:r>
          </w:p>
        </w:tc>
      </w:tr>
    </w:tbl>
    <w:p w14:paraId="3975FC69" w14:textId="77777777" w:rsidR="00EA7C9E" w:rsidRDefault="00EA7C9E">
      <w:pPr>
        <w:spacing w:after="100"/>
      </w:pPr>
    </w:p>
    <w:tbl>
      <w:tblPr>
        <w:tblW w:w="93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50"/>
      </w:tblGrid>
      <w:tr w:rsidR="00EA7C9E" w14:paraId="1ECDC0E3" w14:textId="77777777">
        <w:tc>
          <w:tcPr>
            <w:tcW w:w="9350" w:type="dxa"/>
            <w:tcBorders>
              <w:top w:val="single" w:sz="4" w:space="0" w:color="C9971F"/>
              <w:left w:val="single" w:sz="4" w:space="0" w:color="C9971F"/>
              <w:bottom w:val="single" w:sz="4" w:space="0" w:color="C9971F"/>
              <w:right w:val="single" w:sz="4" w:space="0" w:color="C9971F"/>
            </w:tcBorders>
            <w:shd w:val="clear" w:color="auto" w:fill="FFF8E7"/>
            <w:tcMar>
              <w:top w:w="140" w:type="dxa"/>
              <w:left w:w="160" w:type="dxa"/>
              <w:bottom w:w="140" w:type="dxa"/>
              <w:right w:w="160" w:type="dxa"/>
            </w:tcMar>
          </w:tcPr>
          <w:p w14:paraId="7E6126C7" w14:textId="77777777" w:rsidR="00EA7C9E" w:rsidRDefault="0068040D">
            <w:pPr>
              <w:spacing w:after="80"/>
            </w:pPr>
            <w:r>
              <w:rPr>
                <w:rFonts w:ascii="Calibri" w:eastAsia="Calibri" w:hAnsi="Calibri" w:cs="Calibri"/>
                <w:b/>
                <w:bCs/>
                <w:color w:val="1F3864"/>
                <w:sz w:val="18"/>
                <w:szCs w:val="18"/>
              </w:rPr>
              <w:t>RULE 6.3 — Dealers, Distributors, and Authorized Retailers</w:t>
            </w:r>
          </w:p>
          <w:p w14:paraId="701989F0" w14:textId="77777777" w:rsidR="00EA7C9E" w:rsidRDefault="0068040D">
            <w:pPr>
              <w:spacing w:after="100"/>
            </w:pPr>
            <w:r>
              <w:rPr>
                <w:rFonts w:ascii="Arial" w:eastAsia="Arial" w:hAnsi="Arial" w:cs="Arial"/>
                <w:sz w:val="18"/>
                <w:szCs w:val="18"/>
              </w:rPr>
              <w:t>IF locations are independent dealers, authorized distributors, retail partners, or third-party businesses THEN exclude them unless the source confirms company-owned or operated status.</w:t>
            </w:r>
          </w:p>
        </w:tc>
      </w:tr>
    </w:tbl>
    <w:p w14:paraId="566D9250" w14:textId="77777777" w:rsidR="00EA7C9E" w:rsidRDefault="00EA7C9E">
      <w:pPr>
        <w:spacing w:after="100"/>
      </w:pPr>
    </w:p>
    <w:tbl>
      <w:tblPr>
        <w:tblW w:w="93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50"/>
      </w:tblGrid>
      <w:tr w:rsidR="00EA7C9E" w14:paraId="3C9622AE" w14:textId="77777777">
        <w:tc>
          <w:tcPr>
            <w:tcW w:w="9350" w:type="dxa"/>
            <w:tcBorders>
              <w:top w:val="single" w:sz="4" w:space="0" w:color="C9971F"/>
              <w:left w:val="single" w:sz="4" w:space="0" w:color="C9971F"/>
              <w:bottom w:val="single" w:sz="4" w:space="0" w:color="C9971F"/>
              <w:right w:val="single" w:sz="4" w:space="0" w:color="C9971F"/>
            </w:tcBorders>
            <w:shd w:val="clear" w:color="auto" w:fill="FFF8E7"/>
            <w:tcMar>
              <w:top w:w="140" w:type="dxa"/>
              <w:left w:w="160" w:type="dxa"/>
              <w:bottom w:w="140" w:type="dxa"/>
              <w:right w:w="160" w:type="dxa"/>
            </w:tcMar>
          </w:tcPr>
          <w:p w14:paraId="4492FCB3" w14:textId="77777777" w:rsidR="00EA7C9E" w:rsidRDefault="0068040D">
            <w:pPr>
              <w:spacing w:after="80"/>
            </w:pPr>
            <w:r>
              <w:rPr>
                <w:rFonts w:ascii="Calibri" w:eastAsia="Calibri" w:hAnsi="Calibri" w:cs="Calibri"/>
                <w:b/>
                <w:bCs/>
                <w:color w:val="1F3864"/>
                <w:sz w:val="18"/>
                <w:szCs w:val="18"/>
              </w:rPr>
              <w:t>RULE 6.4 — Brokerage and Listing Pages</w:t>
            </w:r>
          </w:p>
          <w:p w14:paraId="55F53F9C" w14:textId="77777777" w:rsidR="00EA7C9E" w:rsidRDefault="0068040D">
            <w:pPr>
              <w:spacing w:after="100"/>
            </w:pPr>
            <w:r>
              <w:rPr>
                <w:rFonts w:ascii="Arial" w:eastAsia="Arial" w:hAnsi="Arial" w:cs="Arial"/>
                <w:sz w:val="18"/>
                <w:szCs w:val="18"/>
              </w:rPr>
              <w:t>IF a real estate or commercial listing page shows properties where the issuer acts as broker, agent, advisor, or marketplace THEN exclude the listed properties.</w:t>
            </w:r>
          </w:p>
        </w:tc>
      </w:tr>
    </w:tbl>
    <w:p w14:paraId="66BD5356" w14:textId="77777777" w:rsidR="00EA7C9E" w:rsidRDefault="00EA7C9E">
      <w:pPr>
        <w:spacing w:after="100"/>
      </w:pPr>
    </w:p>
    <w:tbl>
      <w:tblPr>
        <w:tblW w:w="93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50"/>
      </w:tblGrid>
      <w:tr w:rsidR="00EA7C9E" w14:paraId="741D24C5" w14:textId="77777777">
        <w:tc>
          <w:tcPr>
            <w:tcW w:w="9350" w:type="dxa"/>
            <w:tcBorders>
              <w:top w:val="single" w:sz="4" w:space="0" w:color="C9971F"/>
              <w:left w:val="single" w:sz="4" w:space="0" w:color="C9971F"/>
              <w:bottom w:val="single" w:sz="4" w:space="0" w:color="C9971F"/>
              <w:right w:val="single" w:sz="4" w:space="0" w:color="C9971F"/>
            </w:tcBorders>
            <w:shd w:val="clear" w:color="auto" w:fill="FFF8E7"/>
            <w:tcMar>
              <w:top w:w="140" w:type="dxa"/>
              <w:left w:w="160" w:type="dxa"/>
              <w:bottom w:w="140" w:type="dxa"/>
              <w:right w:w="160" w:type="dxa"/>
            </w:tcMar>
          </w:tcPr>
          <w:p w14:paraId="0832FA30" w14:textId="77777777" w:rsidR="00EA7C9E" w:rsidRDefault="0068040D">
            <w:pPr>
              <w:spacing w:after="80"/>
            </w:pPr>
            <w:r>
              <w:rPr>
                <w:b/>
                <w:highlight w:val="yellow"/>
              </w:rPr>
              <w:t>RULE 6.5 — Owned Real Estate and Leased Land; Ownership and Control Determination</w:t>
            </w:r>
          </w:p>
          <w:p w14:paraId="26B4C527" w14:textId="77777777" w:rsidR="0091796C" w:rsidRDefault="00EE56CC">
            <w:r>
              <w:rPr>
                <w:highlight w:val="yellow"/>
              </w:rPr>
              <w:t>IF the issuer owns land/buildings, receives rental income, or holds a disclosed economic ownership interest in the property THEN collect the location even if the issuer does not operate the tenant business at that site. Ownership vs. financial-instrument test: collect when the issuer holds title, a leasehold interest, or a controlling equity stake. Do not collect when the issuer's interest is solely debt-like (mortgage loans, bonds, mezzanine debt) with no operational control or equity stake — even if the instrument is secured against real estate.</w:t>
            </w:r>
          </w:p>
          <w:p w14:paraId="7FFC281B" w14:textId="77777777" w:rsidR="0091796C" w:rsidRDefault="00EE56CC">
            <w:r>
              <w:rPr>
                <w:b/>
                <w:highlight w:val="yellow"/>
              </w:rPr>
              <w:t>Ownership stake determination (per the MSCI Entity Classification Methodology &amp; SOP, paras 79–88): Control ownership — the entity owns shares carrying the right to more than 50% of the subsidiary's voting rights (Parent/Child relationship) — always include. Participation ownership — the entity owns shares carrying the right to less than or equal to 50% of voting rights (Affiliate relationship) — include where materially exposed in capital-intensive sectors (energy, mining, real estate) per M1's revenue-materiality principle; no minimum percentage threshold applies. Record the ownership relationship (Parent/Child vs. Affiliate) and the basis for inclusion in notes. This replaces the previous ≥50%/“associate stake” (20–49%) tiering, which was not SOP terminology.</w:t>
            </w:r>
          </w:p>
          <w:p w14:paraId="079B83D5" w14:textId="77777777" w:rsidR="0091796C" w:rsidRDefault="00EE56CC">
            <w:r>
              <w:rPr>
                <w:b/>
                <w:highlight w:val="yellow"/>
              </w:rPr>
              <w:t xml:space="preserve">Determining the ownership relationship from official filings: treat an entity as a subsidiary (Control ownership / Parent-Child) whenever it is reported as a subsidiary, majority-owned, an indirect subsidiary, or indirectly majority-owned in an official filing — regardless of the specific percentage stated, or if no percentage is stated at all — because the filing's own characterization is the operative evidence, not a recomputed voting-rights percentage. Acceptable official-filing sources for this determination: SEC filings (Form 10-K, 10-Q, DEF 14A, 8-K), Form 20-F and Form 40-F (foreign private issuers), prospectuses, Exhibit 21 (Subsidiaries of the Registrant) or Exhibit 8.1, annual and interim </w:t>
            </w:r>
            <w:r>
              <w:rPr>
                <w:b/>
                <w:highlight w:val="yellow"/>
              </w:rPr>
              <w:lastRenderedPageBreak/>
              <w:t>reports, stock exchange filings, press releases, the entity's own website, registration authorities, regulatory authorities, SEDAR (Canadian filings), and internal filings. This list is broader than the SOP's own illustrative list (SEC documents, annual/quarterly filings, DEF 14A, 8-K, prospectuses, press releases, company websites, and government/local registries, SOP paras 210–231) — the fuller list above is authoritative for M3.</w:t>
            </w:r>
          </w:p>
        </w:tc>
      </w:tr>
    </w:tbl>
    <w:p w14:paraId="1D1881B8" w14:textId="77777777" w:rsidR="00EA7C9E" w:rsidRDefault="00EA7C9E">
      <w:pPr>
        <w:spacing w:after="100"/>
      </w:pPr>
    </w:p>
    <w:tbl>
      <w:tblPr>
        <w:tblW w:w="93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50"/>
      </w:tblGrid>
      <w:tr w:rsidR="00EA7C9E" w14:paraId="53056724" w14:textId="77777777" w:rsidTr="18CA0F2E">
        <w:tc>
          <w:tcPr>
            <w:tcW w:w="9350" w:type="dxa"/>
            <w:tcBorders>
              <w:top w:val="single" w:sz="4" w:space="0" w:color="C9971F"/>
              <w:left w:val="single" w:sz="4" w:space="0" w:color="C9971F"/>
              <w:bottom w:val="single" w:sz="4" w:space="0" w:color="C9971F"/>
              <w:right w:val="single" w:sz="4" w:space="0" w:color="C9971F"/>
            </w:tcBorders>
            <w:shd w:val="clear" w:color="auto" w:fill="FFF8E7"/>
            <w:tcMar>
              <w:top w:w="140" w:type="dxa"/>
              <w:left w:w="160" w:type="dxa"/>
              <w:bottom w:w="140" w:type="dxa"/>
              <w:right w:w="160" w:type="dxa"/>
            </w:tcMar>
          </w:tcPr>
          <w:p w14:paraId="503535E7" w14:textId="77777777" w:rsidR="00EA7C9E" w:rsidRDefault="0068040D">
            <w:pPr>
              <w:spacing w:after="80"/>
            </w:pPr>
            <w:r>
              <w:rPr>
                <w:rFonts w:ascii="Calibri" w:eastAsia="Calibri" w:hAnsi="Calibri" w:cs="Calibri"/>
                <w:b/>
                <w:bCs/>
                <w:color w:val="1F3864"/>
                <w:sz w:val="18"/>
                <w:szCs w:val="18"/>
              </w:rPr>
              <w:t>RULE 6.6 — Completed Projects Without Ownership</w:t>
            </w:r>
          </w:p>
          <w:p w14:paraId="2461B264" w14:textId="77777777" w:rsidR="00EA7C9E" w:rsidRDefault="18CA0F2E">
            <w:pPr>
              <w:spacing w:after="100"/>
            </w:pPr>
            <w:r w:rsidRPr="18CA0F2E">
              <w:rPr>
                <w:rFonts w:ascii="Arial" w:eastAsia="Arial" w:hAnsi="Arial" w:cs="Arial"/>
                <w:sz w:val="18"/>
                <w:szCs w:val="18"/>
              </w:rPr>
              <w:t>IF a page lists completed projects that the issuer does not own THEN exclude the project locations.</w:t>
            </w:r>
          </w:p>
        </w:tc>
      </w:tr>
    </w:tbl>
    <w:p w14:paraId="1152AE7E" w14:textId="77777777" w:rsidR="00EA7C9E" w:rsidRDefault="00EA7C9E">
      <w:pPr>
        <w:spacing w:after="100"/>
      </w:pPr>
    </w:p>
    <w:tbl>
      <w:tblPr>
        <w:tblW w:w="93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50"/>
      </w:tblGrid>
      <w:tr w:rsidR="00EA7C9E" w14:paraId="1B6A4190" w14:textId="77777777" w:rsidTr="18CA0F2E">
        <w:tc>
          <w:tcPr>
            <w:tcW w:w="9350" w:type="dxa"/>
            <w:tcBorders>
              <w:top w:val="single" w:sz="4" w:space="0" w:color="C9971F"/>
              <w:left w:val="single" w:sz="4" w:space="0" w:color="C9971F"/>
              <w:bottom w:val="single" w:sz="4" w:space="0" w:color="C9971F"/>
              <w:right w:val="single" w:sz="4" w:space="0" w:color="C9971F"/>
            </w:tcBorders>
            <w:shd w:val="clear" w:color="auto" w:fill="FFF8E7"/>
            <w:tcMar>
              <w:top w:w="140" w:type="dxa"/>
              <w:left w:w="160" w:type="dxa"/>
              <w:bottom w:w="140" w:type="dxa"/>
              <w:right w:w="160" w:type="dxa"/>
            </w:tcMar>
          </w:tcPr>
          <w:p w14:paraId="2BFCC628" w14:textId="77777777" w:rsidR="00EA7C9E" w:rsidRDefault="0068040D">
            <w:pPr>
              <w:spacing w:after="80"/>
            </w:pPr>
            <w:r>
              <w:rPr>
                <w:rFonts w:ascii="Calibri" w:eastAsia="Calibri" w:hAnsi="Calibri" w:cs="Calibri"/>
                <w:b/>
                <w:bCs/>
                <w:color w:val="1F3864"/>
                <w:sz w:val="18"/>
                <w:szCs w:val="18"/>
              </w:rPr>
              <w:t>RULE 6.7 — Out-of-Scope Physical Items</w:t>
            </w:r>
          </w:p>
          <w:p w14:paraId="1B4AB0B8" w14:textId="77777777" w:rsidR="00EA7C9E" w:rsidRDefault="18CA0F2E">
            <w:pPr>
              <w:spacing w:after="100"/>
            </w:pPr>
            <w:r w:rsidRPr="18CA0F2E">
              <w:rPr>
                <w:rFonts w:ascii="Arial" w:eastAsia="Arial" w:hAnsi="Arial" w:cs="Arial"/>
                <w:sz w:val="18"/>
                <w:szCs w:val="18"/>
              </w:rPr>
              <w:t>IF locations are billboards, posters, wallscapes, benches, shelters, ATMs, telecommunication towers, pipelines, electric lines, or similar out-of-scope items THEN exclude from asset location collection.</w:t>
            </w:r>
          </w:p>
        </w:tc>
      </w:tr>
      <w:tr w:rsidR="00EA7C9E" w14:paraId="65FD599D" w14:textId="77777777" w:rsidTr="18CA0F2E">
        <w:tc>
          <w:tcPr>
            <w:tcW w:w="9350" w:type="dxa"/>
            <w:tcBorders>
              <w:top w:val="single" w:sz="4" w:space="0" w:color="C9971F"/>
              <w:left w:val="single" w:sz="4" w:space="0" w:color="C9971F"/>
              <w:bottom w:val="single" w:sz="4" w:space="0" w:color="C9971F"/>
              <w:right w:val="single" w:sz="4" w:space="0" w:color="C9971F"/>
            </w:tcBorders>
            <w:shd w:val="clear" w:color="auto" w:fill="FFF8E7"/>
            <w:tcMar>
              <w:top w:w="140" w:type="dxa"/>
              <w:left w:w="160" w:type="dxa"/>
              <w:bottom w:w="140" w:type="dxa"/>
              <w:right w:w="160" w:type="dxa"/>
            </w:tcMar>
          </w:tcPr>
          <w:p w14:paraId="5661E610" w14:textId="77777777" w:rsidR="00EA7C9E" w:rsidRDefault="0068040D">
            <w:pPr>
              <w:spacing w:after="80"/>
            </w:pPr>
            <w:r>
              <w:rPr>
                <w:b/>
                <w:highlight w:val="yellow"/>
              </w:rPr>
              <w:t>RULE 6.9 — Movable Assets</w:t>
            </w:r>
          </w:p>
          <w:p w14:paraId="04C3C8DC" w14:textId="77777777" w:rsidR="0091796C" w:rsidRDefault="00EE56CC">
            <w:r>
              <w:rPr>
                <w:highlight w:val="yellow"/>
              </w:rPr>
              <w:t>IF a listed asset is a vehicle, vessel, aircraft, piece of equipment, or inventory THEN exclude it from asset location collection, UNLESS it is permanently stationed at an operationally material fixed base (e.g. a company-owned airport hangar, a dedicated fleet depot, or a permanently moored vessel), in which case collect the fixed base as the location, not the movable asset itself. Mirrors M1's exclusion table (§3.4): “Vehicles, vessels, aircraft, equipment, and inventory are excluded unless permanently stationed at an operationally material fixed base.”</w:t>
            </w:r>
          </w:p>
        </w:tc>
      </w:tr>
      <w:tr w:rsidR="00EA7C9E" w14:paraId="54178D6C" w14:textId="77777777" w:rsidTr="18CA0F2E">
        <w:tc>
          <w:tcPr>
            <w:tcW w:w="9350" w:type="dxa"/>
            <w:tcBorders>
              <w:top w:val="single" w:sz="4" w:space="0" w:color="C9971F"/>
              <w:left w:val="single" w:sz="4" w:space="0" w:color="C9971F"/>
              <w:bottom w:val="single" w:sz="4" w:space="0" w:color="C9971F"/>
              <w:right w:val="single" w:sz="4" w:space="0" w:color="C9971F"/>
            </w:tcBorders>
            <w:shd w:val="clear" w:color="auto" w:fill="FFF8E7"/>
            <w:tcMar>
              <w:top w:w="140" w:type="dxa"/>
              <w:left w:w="160" w:type="dxa"/>
              <w:bottom w:w="140" w:type="dxa"/>
              <w:right w:w="160" w:type="dxa"/>
            </w:tcMar>
          </w:tcPr>
          <w:p w14:paraId="4363D6FE" w14:textId="77777777" w:rsidR="00EA7C9E" w:rsidRDefault="0068040D">
            <w:pPr>
              <w:spacing w:after="80"/>
            </w:pPr>
            <w:r>
              <w:rPr>
                <w:b/>
                <w:highlight w:val="yellow"/>
              </w:rPr>
              <w:t>RULE 6.10 — Unconfirmed Construction</w:t>
            </w:r>
          </w:p>
          <w:p w14:paraId="683BAAE2" w14:textId="77777777" w:rsidR="0091796C" w:rsidRDefault="00EE56CC">
            <w:r>
              <w:rPr>
                <w:highlight w:val="yellow"/>
              </w:rPr>
              <w:t>IF an asset's operational status cannot be confirmed from public evidence — for example, a facility shown only as “under construction,” “planned,” or “proposed” with no confirmation that it is operational THEN exclude it from collection until operational status is confirmed. Mirrors M1's exclusion table (§3.4): “Assets under construction are excluded when operational status cannot be confirmed from public evidence.” Log the candidate location in the gap register with a note for potential re-collection once completed/operational.</w:t>
            </w:r>
          </w:p>
        </w:tc>
      </w:tr>
    </w:tbl>
    <w:p w14:paraId="2699429A" w14:textId="77777777" w:rsidR="00EA7C9E" w:rsidRDefault="00EA7C9E">
      <w:pPr>
        <w:spacing w:after="100"/>
      </w:pPr>
    </w:p>
    <w:p w14:paraId="609CC3AB" w14:textId="77777777" w:rsidR="00EA7C9E" w:rsidRDefault="0068040D">
      <w:pPr>
        <w:pStyle w:val="Heading2"/>
        <w:spacing w:before="260" w:after="120"/>
      </w:pPr>
      <w:r>
        <w:rPr>
          <w:rFonts w:ascii="Calibri" w:eastAsia="Calibri" w:hAnsi="Calibri" w:cs="Calibri"/>
          <w:b/>
          <w:bCs/>
          <w:color w:val="4F81BD"/>
          <w:sz w:val="24"/>
          <w:szCs w:val="24"/>
        </w:rPr>
        <w:t>6.2 Asset Scope: In-Scope and Out-of-Scope</w:t>
      </w:r>
    </w:p>
    <w:p w14:paraId="790B5A06" w14:textId="77777777" w:rsidR="00EA7C9E" w:rsidRDefault="18CA0F2E">
      <w:pPr>
        <w:spacing w:after="160"/>
      </w:pPr>
      <w:r w:rsidRPr="18CA0F2E">
        <w:rPr>
          <w:rFonts w:ascii="Arial" w:eastAsia="Arial" w:hAnsi="Arial" w:cs="Arial"/>
          <w:sz w:val="18"/>
          <w:szCs w:val="18"/>
        </w:rPr>
        <w:t>The table below consolidates the inclusion and exclusion decisions from §6.1 into a quick-reference format for agents. It does not add new rules — it summarises the ownership and control principle. For the operative IF/THEN rules, refer to §6.1.</w:t>
      </w:r>
    </w:p>
    <w:tbl>
      <w:tblPr>
        <w:tblW w:w="93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50"/>
        <w:gridCol w:w="4700"/>
        <w:gridCol w:w="2200"/>
      </w:tblGrid>
      <w:tr w:rsidR="00EA7C9E" w14:paraId="3A309713" w14:textId="77777777" w:rsidTr="18CA0F2E">
        <w:trPr>
          <w:tblHeader/>
        </w:trPr>
        <w:tc>
          <w:tcPr>
            <w:tcW w:w="24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3898F64" w14:textId="77777777" w:rsidR="00EA7C9E" w:rsidRDefault="0068040D">
            <w:r>
              <w:rPr>
                <w:rFonts w:ascii="Arial" w:eastAsia="Arial" w:hAnsi="Arial" w:cs="Arial"/>
                <w:b/>
                <w:bCs/>
                <w:color w:val="FFFFFF"/>
                <w:sz w:val="17"/>
                <w:szCs w:val="17"/>
              </w:rPr>
              <w:t>Category</w:t>
            </w:r>
          </w:p>
        </w:tc>
        <w:tc>
          <w:tcPr>
            <w:tcW w:w="4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F4EC8DF" w14:textId="77777777" w:rsidR="00EA7C9E" w:rsidRDefault="0068040D">
            <w:r>
              <w:rPr>
                <w:rFonts w:ascii="Arial" w:eastAsia="Arial" w:hAnsi="Arial" w:cs="Arial"/>
                <w:b/>
                <w:bCs/>
                <w:color w:val="FFFFFF"/>
                <w:sz w:val="17"/>
                <w:szCs w:val="17"/>
              </w:rPr>
              <w:t>Asset Types</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C7CC8CF" w14:textId="77777777" w:rsidR="00EA7C9E" w:rsidRDefault="0068040D">
            <w:r>
              <w:rPr>
                <w:rFonts w:ascii="Arial" w:eastAsia="Arial" w:hAnsi="Arial" w:cs="Arial"/>
                <w:b/>
                <w:bCs/>
                <w:color w:val="FFFFFF"/>
                <w:sz w:val="17"/>
                <w:szCs w:val="17"/>
              </w:rPr>
              <w:t>Collect?</w:t>
            </w:r>
          </w:p>
        </w:tc>
      </w:tr>
      <w:tr w:rsidR="00EA7C9E" w14:paraId="08FE7CC7" w14:textId="77777777" w:rsidTr="18CA0F2E">
        <w:tc>
          <w:tcPr>
            <w:tcW w:w="24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52080A0" w14:textId="77777777" w:rsidR="00EA7C9E" w:rsidRDefault="0068040D">
            <w:r>
              <w:rPr>
                <w:rFonts w:ascii="Arial" w:eastAsia="Arial" w:hAnsi="Arial" w:cs="Arial"/>
                <w:color w:val="000000"/>
                <w:sz w:val="17"/>
                <w:szCs w:val="17"/>
              </w:rPr>
              <w:t>In scope — operational sites</w:t>
            </w:r>
          </w:p>
        </w:tc>
        <w:tc>
          <w:tcPr>
            <w:tcW w:w="4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AF37A53" w14:textId="77777777" w:rsidR="00EA7C9E" w:rsidRDefault="18CA0F2E">
            <w:r w:rsidRPr="18CA0F2E">
              <w:rPr>
                <w:rFonts w:ascii="Arial" w:eastAsia="Arial" w:hAnsi="Arial" w:cs="Arial"/>
                <w:color w:val="000000"/>
                <w:sz w:val="17"/>
                <w:szCs w:val="17"/>
              </w:rPr>
              <w:t>Headquarters, corporate offices, branch offices, manufacturing plants, warehouses, mines, R&amp;D centers, logistics bases, data centers, MRO hangars, training centers, distribution centers.</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9A8BA43" w14:textId="77777777" w:rsidR="00EA7C9E" w:rsidRDefault="18CA0F2E">
            <w:r w:rsidRPr="18CA0F2E">
              <w:rPr>
                <w:rFonts w:ascii="Arial" w:eastAsia="Arial" w:hAnsi="Arial" w:cs="Arial"/>
                <w:color w:val="000000"/>
                <w:sz w:val="17"/>
                <w:szCs w:val="17"/>
              </w:rPr>
              <w:t>YES — when owned, operated, leased, or controlled by the issuer.</w:t>
            </w:r>
          </w:p>
        </w:tc>
      </w:tr>
      <w:tr w:rsidR="00EA7C9E" w14:paraId="4DA954B9" w14:textId="77777777" w:rsidTr="18CA0F2E">
        <w:tc>
          <w:tcPr>
            <w:tcW w:w="245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26058901" w14:textId="77777777" w:rsidR="00EA7C9E" w:rsidRDefault="0068040D">
            <w:r>
              <w:rPr>
                <w:rFonts w:ascii="Arial" w:eastAsia="Arial" w:hAnsi="Arial" w:cs="Arial"/>
                <w:color w:val="000000"/>
                <w:sz w:val="17"/>
                <w:szCs w:val="17"/>
              </w:rPr>
              <w:t>In scope — owned real estate</w:t>
            </w:r>
          </w:p>
        </w:tc>
        <w:tc>
          <w:tcPr>
            <w:tcW w:w="47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3D65B35F" w14:textId="77777777" w:rsidR="00EA7C9E" w:rsidRDefault="18CA0F2E">
            <w:r w:rsidRPr="18CA0F2E">
              <w:rPr>
                <w:rFonts w:ascii="Arial" w:eastAsia="Arial" w:hAnsi="Arial" w:cs="Arial"/>
                <w:color w:val="000000"/>
                <w:sz w:val="17"/>
                <w:szCs w:val="17"/>
              </w:rPr>
              <w:t>Land and buildings owned by the issuer, even if tenanted or operated by third parties.</w:t>
            </w:r>
          </w:p>
        </w:tc>
        <w:tc>
          <w:tcPr>
            <w:tcW w:w="22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019F0C59" w14:textId="77777777" w:rsidR="00EA7C9E" w:rsidRDefault="18CA0F2E">
            <w:r w:rsidRPr="18CA0F2E">
              <w:rPr>
                <w:rFonts w:ascii="Arial" w:eastAsia="Arial" w:hAnsi="Arial" w:cs="Arial"/>
                <w:color w:val="000000"/>
                <w:sz w:val="17"/>
                <w:szCs w:val="17"/>
              </w:rPr>
              <w:t>YES — collect property location; tenant name not required.</w:t>
            </w:r>
          </w:p>
        </w:tc>
      </w:tr>
      <w:tr w:rsidR="00EA7C9E" w14:paraId="39D1EE94" w14:textId="77777777" w:rsidTr="18CA0F2E">
        <w:tc>
          <w:tcPr>
            <w:tcW w:w="24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424255B" w14:textId="77777777" w:rsidR="00EA7C9E" w:rsidRDefault="0068040D">
            <w:r>
              <w:rPr>
                <w:rFonts w:ascii="Arial" w:eastAsia="Arial" w:hAnsi="Arial" w:cs="Arial"/>
                <w:color w:val="000000"/>
                <w:sz w:val="17"/>
                <w:szCs w:val="17"/>
              </w:rPr>
              <w:t>In scope — partial ownership</w:t>
            </w:r>
          </w:p>
        </w:tc>
        <w:tc>
          <w:tcPr>
            <w:tcW w:w="4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9BA0BCC" w14:textId="77777777" w:rsidR="00EA7C9E" w:rsidRDefault="0068040D">
            <w:r>
              <w:rPr>
                <w:rFonts w:ascii="Arial" w:eastAsia="Arial" w:hAnsi="Arial" w:cs="Arial"/>
                <w:color w:val="000000"/>
                <w:sz w:val="17"/>
                <w:szCs w:val="17"/>
              </w:rPr>
              <w:t>Assets where the issuer holds a disclosed economic ownership stake.</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1634EC6" w14:textId="77777777" w:rsidR="00EA7C9E" w:rsidRDefault="18CA0F2E">
            <w:r w:rsidRPr="18CA0F2E">
              <w:rPr>
                <w:rFonts w:ascii="Arial" w:eastAsia="Arial" w:hAnsi="Arial" w:cs="Arial"/>
                <w:color w:val="000000"/>
                <w:sz w:val="17"/>
                <w:szCs w:val="17"/>
              </w:rPr>
              <w:t>YES — collect with ownership note.</w:t>
            </w:r>
          </w:p>
        </w:tc>
      </w:tr>
      <w:tr w:rsidR="00EA7C9E" w14:paraId="16E82727" w14:textId="77777777" w:rsidTr="18CA0F2E">
        <w:tc>
          <w:tcPr>
            <w:tcW w:w="245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45BA65C7" w14:textId="77777777" w:rsidR="00EA7C9E" w:rsidRDefault="0068040D">
            <w:r>
              <w:rPr>
                <w:rFonts w:ascii="Arial" w:eastAsia="Arial" w:hAnsi="Arial" w:cs="Arial"/>
                <w:color w:val="000000"/>
                <w:sz w:val="17"/>
                <w:szCs w:val="17"/>
              </w:rPr>
              <w:t>Out of scope — franchise / third-party</w:t>
            </w:r>
          </w:p>
        </w:tc>
        <w:tc>
          <w:tcPr>
            <w:tcW w:w="47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1ADF5E1C" w14:textId="77777777" w:rsidR="00EA7C9E" w:rsidRDefault="0068040D">
            <w:r>
              <w:rPr>
                <w:rFonts w:ascii="Arial" w:eastAsia="Arial" w:hAnsi="Arial" w:cs="Arial"/>
                <w:color w:val="000000"/>
                <w:sz w:val="17"/>
                <w:szCs w:val="17"/>
              </w:rPr>
              <w:t>Independently owned franchise stores, dealer networks, authorized retailers, and service partners.</w:t>
            </w:r>
          </w:p>
        </w:tc>
        <w:tc>
          <w:tcPr>
            <w:tcW w:w="22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062A1159" w14:textId="77777777" w:rsidR="00EA7C9E" w:rsidRDefault="18CA0F2E">
            <w:r w:rsidRPr="18CA0F2E">
              <w:rPr>
                <w:rFonts w:ascii="Arial" w:eastAsia="Arial" w:hAnsi="Arial" w:cs="Arial"/>
                <w:color w:val="000000"/>
                <w:sz w:val="17"/>
                <w:szCs w:val="17"/>
              </w:rPr>
              <w:t>NO — unless source confirms company-owned or operated.</w:t>
            </w:r>
          </w:p>
        </w:tc>
      </w:tr>
      <w:tr w:rsidR="00EA7C9E" w14:paraId="02068294" w14:textId="77777777" w:rsidTr="18CA0F2E">
        <w:tc>
          <w:tcPr>
            <w:tcW w:w="24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332AFE6" w14:textId="77777777" w:rsidR="00EA7C9E" w:rsidRDefault="0068040D">
            <w:r>
              <w:rPr>
                <w:rFonts w:ascii="Arial" w:eastAsia="Arial" w:hAnsi="Arial" w:cs="Arial"/>
                <w:color w:val="000000"/>
                <w:sz w:val="17"/>
                <w:szCs w:val="17"/>
              </w:rPr>
              <w:t>Out of scope — brokerage listings</w:t>
            </w:r>
          </w:p>
        </w:tc>
        <w:tc>
          <w:tcPr>
            <w:tcW w:w="4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A92F541" w14:textId="77777777" w:rsidR="00EA7C9E" w:rsidRDefault="0068040D">
            <w:r>
              <w:rPr>
                <w:rFonts w:ascii="Arial" w:eastAsia="Arial" w:hAnsi="Arial" w:cs="Arial"/>
                <w:color w:val="000000"/>
                <w:sz w:val="17"/>
                <w:szCs w:val="17"/>
              </w:rPr>
              <w:t>Properties listed for sale or lease by the issuer acting as broker/agent.</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2D78B43" w14:textId="77777777" w:rsidR="00EA7C9E" w:rsidRDefault="0068040D">
            <w:r>
              <w:rPr>
                <w:rFonts w:ascii="Arial" w:eastAsia="Arial" w:hAnsi="Arial" w:cs="Arial"/>
                <w:color w:val="000000"/>
                <w:sz w:val="17"/>
                <w:szCs w:val="17"/>
              </w:rPr>
              <w:t>NO — not issuer-owned assets.</w:t>
            </w:r>
          </w:p>
        </w:tc>
      </w:tr>
      <w:tr w:rsidR="00EA7C9E" w14:paraId="02E5C12A" w14:textId="77777777" w:rsidTr="18CA0F2E">
        <w:tc>
          <w:tcPr>
            <w:tcW w:w="245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4ECC1732" w14:textId="77777777" w:rsidR="00EA7C9E" w:rsidRDefault="0068040D">
            <w:r>
              <w:rPr>
                <w:rFonts w:ascii="Arial" w:eastAsia="Arial" w:hAnsi="Arial" w:cs="Arial"/>
                <w:color w:val="000000"/>
                <w:sz w:val="17"/>
                <w:szCs w:val="17"/>
              </w:rPr>
              <w:t>Out of scope — linear assets</w:t>
            </w:r>
          </w:p>
        </w:tc>
        <w:tc>
          <w:tcPr>
            <w:tcW w:w="47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06A2B22F" w14:textId="77777777" w:rsidR="00EA7C9E" w:rsidRDefault="0068040D">
            <w:r>
              <w:rPr>
                <w:rFonts w:ascii="Arial" w:eastAsia="Arial" w:hAnsi="Arial" w:cs="Arial"/>
                <w:color w:val="000000"/>
                <w:sz w:val="17"/>
                <w:szCs w:val="17"/>
              </w:rPr>
              <w:t>Billboards, pipelines, electric lines, telecommunication towers, railroad tracks.</w:t>
            </w:r>
          </w:p>
        </w:tc>
        <w:tc>
          <w:tcPr>
            <w:tcW w:w="22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2A9A7776" w14:textId="77777777" w:rsidR="00EA7C9E" w:rsidRDefault="0068040D">
            <w:r>
              <w:rPr>
                <w:rFonts w:ascii="Arial" w:eastAsia="Arial" w:hAnsi="Arial" w:cs="Arial"/>
                <w:color w:val="000000"/>
                <w:sz w:val="17"/>
                <w:szCs w:val="17"/>
              </w:rPr>
              <w:t>NO — not collectible as point locations.</w:t>
            </w:r>
          </w:p>
        </w:tc>
      </w:tr>
      <w:tr w:rsidR="00EA7C9E" w14:paraId="5ADCC638" w14:textId="77777777" w:rsidTr="18CA0F2E">
        <w:tc>
          <w:tcPr>
            <w:tcW w:w="24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3300CD3" w14:textId="77777777" w:rsidR="00EA7C9E" w:rsidRDefault="0068040D">
            <w:r>
              <w:rPr>
                <w:rFonts w:ascii="Arial" w:eastAsia="Arial" w:hAnsi="Arial" w:cs="Arial"/>
                <w:color w:val="000000"/>
                <w:sz w:val="17"/>
                <w:szCs w:val="17"/>
              </w:rPr>
              <w:lastRenderedPageBreak/>
              <w:t>Out of scope — individually-owned rentals</w:t>
            </w:r>
          </w:p>
        </w:tc>
        <w:tc>
          <w:tcPr>
            <w:tcW w:w="4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568C6B5" w14:textId="77777777" w:rsidR="00EA7C9E" w:rsidRDefault="0068040D">
            <w:r>
              <w:rPr>
                <w:rFonts w:ascii="Arial" w:eastAsia="Arial" w:hAnsi="Arial" w:cs="Arial"/>
                <w:color w:val="000000"/>
                <w:sz w:val="17"/>
                <w:szCs w:val="17"/>
              </w:rPr>
              <w:t>Apartments/units rented to individuals, where each property is owned by a separate landlord/investor.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F9BE63F" w14:textId="77777777" w:rsidR="00EA7C9E" w:rsidRDefault="0068040D">
            <w:r>
              <w:rPr>
                <w:rFonts w:ascii="Arial" w:eastAsia="Arial" w:hAnsi="Arial" w:cs="Arial"/>
                <w:color w:val="000000"/>
                <w:sz w:val="17"/>
                <w:szCs w:val="17"/>
              </w:rPr>
              <w:t>NO — distinguish from REIT-owned portfolios.</w:t>
            </w:r>
          </w:p>
        </w:tc>
      </w:tr>
      <w:tr w:rsidR="00EA7C9E" w14:paraId="28E44869" w14:textId="77777777" w:rsidTr="18CA0F2E">
        <w:tc>
          <w:tcPr>
            <w:tcW w:w="245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62AD292F" w14:textId="77777777" w:rsidR="00EA7C9E" w:rsidRDefault="0068040D">
            <w:r>
              <w:rPr>
                <w:rFonts w:ascii="Arial" w:eastAsia="Arial" w:hAnsi="Arial" w:cs="Arial"/>
                <w:color w:val="000000"/>
                <w:sz w:val="17"/>
                <w:szCs w:val="17"/>
              </w:rPr>
              <w:t>Out of scope — non-building items</w:t>
            </w:r>
          </w:p>
        </w:tc>
        <w:tc>
          <w:tcPr>
            <w:tcW w:w="47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2811DDEC" w14:textId="77777777" w:rsidR="00EA7C9E" w:rsidRDefault="0068040D">
            <w:r>
              <w:rPr>
                <w:rFonts w:ascii="Arial" w:eastAsia="Arial" w:hAnsi="Arial" w:cs="Arial"/>
                <w:color w:val="000000"/>
                <w:sz w:val="17"/>
                <w:szCs w:val="17"/>
              </w:rPr>
              <w:t>ATMs, benches, shelters, kiosks, LED signs, posters.</w:t>
            </w:r>
          </w:p>
        </w:tc>
        <w:tc>
          <w:tcPr>
            <w:tcW w:w="22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507B6526" w14:textId="77777777" w:rsidR="00EA7C9E" w:rsidRDefault="0068040D">
            <w:r>
              <w:rPr>
                <w:rFonts w:ascii="Arial" w:eastAsia="Arial" w:hAnsi="Arial" w:cs="Arial"/>
                <w:color w:val="000000"/>
                <w:sz w:val="17"/>
                <w:szCs w:val="17"/>
              </w:rPr>
              <w:t>NO — not physical buildings or structures.</w:t>
            </w:r>
          </w:p>
        </w:tc>
      </w:tr>
      <w:tr w:rsidR="00EA7C9E" w14:paraId="46D44956" w14:textId="77777777" w:rsidTr="18CA0F2E">
        <w:tc>
          <w:tcPr>
            <w:tcW w:w="24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8BAA34F" w14:textId="77777777" w:rsidR="00EA7C9E" w:rsidRDefault="0068040D">
            <w:r>
              <w:rPr>
                <w:rFonts w:ascii="Arial" w:eastAsia="Arial" w:hAnsi="Arial" w:cs="Arial"/>
                <w:color w:val="000000"/>
                <w:sz w:val="17"/>
                <w:szCs w:val="17"/>
              </w:rPr>
              <w:t>Out of scope — mortgage-only holdings</w:t>
            </w:r>
          </w:p>
        </w:tc>
        <w:tc>
          <w:tcPr>
            <w:tcW w:w="4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B17EC43" w14:textId="77777777" w:rsidR="00EA7C9E" w:rsidRDefault="0068040D">
            <w:r>
              <w:rPr>
                <w:rFonts w:ascii="Arial" w:eastAsia="Arial" w:hAnsi="Arial" w:cs="Arial"/>
                <w:color w:val="000000"/>
                <w:sz w:val="17"/>
                <w:szCs w:val="17"/>
              </w:rPr>
              <w:t>Properties where the issuer holds only a mortgage loan interest with no ownership or operational control.</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FCF82A9" w14:textId="77777777" w:rsidR="00EA7C9E" w:rsidRDefault="0068040D">
            <w:r>
              <w:rPr>
                <w:rFonts w:ascii="Arial" w:eastAsia="Arial" w:hAnsi="Arial" w:cs="Arial"/>
                <w:color w:val="000000"/>
                <w:sz w:val="17"/>
                <w:szCs w:val="17"/>
              </w:rPr>
              <w:t>NO — a mortgage loan is a financial instrument, not an ownership or control interest in the physical location.</w:t>
            </w:r>
          </w:p>
        </w:tc>
      </w:tr>
      <w:tr w:rsidR="0091796C" w14:paraId="3A160E74" w14:textId="77777777">
        <w:tc>
          <w:tcPr>
            <w:tcW w:w="2450" w:type="dxa"/>
          </w:tcPr>
          <w:p w14:paraId="590E4E12" w14:textId="77777777" w:rsidR="0091796C" w:rsidRDefault="00EE56CC">
            <w:r>
              <w:rPr>
                <w:highlight w:val="yellow"/>
              </w:rPr>
              <w:t>Out of scope — movable assets</w:t>
            </w:r>
          </w:p>
        </w:tc>
        <w:tc>
          <w:tcPr>
            <w:tcW w:w="4700" w:type="dxa"/>
          </w:tcPr>
          <w:p w14:paraId="14D5DC9D" w14:textId="77777777" w:rsidR="0091796C" w:rsidRDefault="00EE56CC">
            <w:r>
              <w:rPr>
                <w:highlight w:val="yellow"/>
              </w:rPr>
              <w:t>Vehicles, vessels, aircraft, equipment, and inventory.</w:t>
            </w:r>
          </w:p>
        </w:tc>
        <w:tc>
          <w:tcPr>
            <w:tcW w:w="2200" w:type="dxa"/>
          </w:tcPr>
          <w:p w14:paraId="6B7D1EDE" w14:textId="77777777" w:rsidR="0091796C" w:rsidRDefault="00EE56CC">
            <w:r>
              <w:rPr>
                <w:highlight w:val="yellow"/>
              </w:rPr>
              <w:t>NO — unless permanently stationed at an operationally material fixed base (Rule 6.9); collect the fixed base instead.</w:t>
            </w:r>
          </w:p>
        </w:tc>
      </w:tr>
      <w:tr w:rsidR="0091796C" w14:paraId="5FD1E791" w14:textId="77777777">
        <w:tc>
          <w:tcPr>
            <w:tcW w:w="2450" w:type="dxa"/>
          </w:tcPr>
          <w:p w14:paraId="7B354FE1" w14:textId="77777777" w:rsidR="0091796C" w:rsidRDefault="00EE56CC">
            <w:r>
              <w:rPr>
                <w:highlight w:val="yellow"/>
              </w:rPr>
              <w:t>Out of scope — unconfirmed construction</w:t>
            </w:r>
          </w:p>
        </w:tc>
        <w:tc>
          <w:tcPr>
            <w:tcW w:w="4700" w:type="dxa"/>
          </w:tcPr>
          <w:p w14:paraId="47465F7A" w14:textId="77777777" w:rsidR="0091796C" w:rsidRDefault="00EE56CC">
            <w:r>
              <w:rPr>
                <w:highlight w:val="yellow"/>
              </w:rPr>
              <w:t>Facilities shown as under construction, planned, or proposed with no confirmation of operational status.</w:t>
            </w:r>
          </w:p>
        </w:tc>
        <w:tc>
          <w:tcPr>
            <w:tcW w:w="2200" w:type="dxa"/>
          </w:tcPr>
          <w:p w14:paraId="71C9A528" w14:textId="77777777" w:rsidR="0091796C" w:rsidRDefault="00EE56CC">
            <w:r>
              <w:rPr>
                <w:highlight w:val="yellow"/>
              </w:rPr>
              <w:t>NO — until operational status is confirmed from public evidence (Rule 6.10).</w:t>
            </w:r>
          </w:p>
        </w:tc>
      </w:tr>
    </w:tbl>
    <w:p w14:paraId="12AD7F38" w14:textId="77777777" w:rsidR="00EA7C9E" w:rsidRDefault="00EA7C9E">
      <w:pPr>
        <w:spacing w:after="100"/>
      </w:pPr>
    </w:p>
    <w:p w14:paraId="24F63D25" w14:textId="77777777" w:rsidR="00EA7C9E" w:rsidRDefault="0068040D">
      <w:pPr>
        <w:pStyle w:val="Heading2"/>
        <w:spacing w:before="260" w:after="120"/>
      </w:pPr>
      <w:r>
        <w:rPr>
          <w:rFonts w:ascii="Calibri" w:eastAsia="Calibri" w:hAnsi="Calibri" w:cs="Calibri"/>
          <w:b/>
          <w:bCs/>
          <w:color w:val="4F81BD"/>
          <w:sz w:val="24"/>
          <w:szCs w:val="24"/>
        </w:rPr>
        <w:t>6.3 Granularity and Count Rules</w:t>
      </w:r>
    </w:p>
    <w:tbl>
      <w:tblPr>
        <w:tblW w:w="93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0"/>
        <w:gridCol w:w="5750"/>
      </w:tblGrid>
      <w:tr w:rsidR="00EA7C9E" w14:paraId="264427FD" w14:textId="77777777" w:rsidTr="18CA0F2E">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59477F4" w14:textId="77777777" w:rsidR="00EA7C9E" w:rsidRDefault="0068040D">
            <w:r>
              <w:rPr>
                <w:rFonts w:ascii="Arial" w:eastAsia="Arial" w:hAnsi="Arial" w:cs="Arial"/>
                <w:b/>
                <w:bCs/>
                <w:color w:val="FFFFFF"/>
                <w:sz w:val="17"/>
                <w:szCs w:val="17"/>
              </w:rPr>
              <w:t>Scenario</w:t>
            </w:r>
          </w:p>
        </w:tc>
        <w:tc>
          <w:tcPr>
            <w:tcW w:w="57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BCA985D" w14:textId="77777777" w:rsidR="00EA7C9E" w:rsidRDefault="0068040D">
            <w:r>
              <w:rPr>
                <w:rFonts w:ascii="Arial" w:eastAsia="Arial" w:hAnsi="Arial" w:cs="Arial"/>
                <w:b/>
                <w:bCs/>
                <w:color w:val="FFFFFF"/>
                <w:sz w:val="17"/>
                <w:szCs w:val="17"/>
              </w:rPr>
              <w:t>Collection Rule</w:t>
            </w:r>
          </w:p>
        </w:tc>
      </w:tr>
      <w:tr w:rsidR="00EA7C9E" w14:paraId="148D156F" w14:textId="77777777" w:rsidTr="18CA0F2E">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FBEE6A9" w14:textId="77777777" w:rsidR="00EA7C9E" w:rsidRDefault="0068040D">
            <w:r>
              <w:rPr>
                <w:rFonts w:ascii="Arial" w:eastAsia="Arial" w:hAnsi="Arial" w:cs="Arial"/>
                <w:color w:val="000000"/>
                <w:sz w:val="17"/>
                <w:szCs w:val="17"/>
              </w:rPr>
              <w:t>Multiple buildings at one named park or center</w:t>
            </w:r>
          </w:p>
        </w:tc>
        <w:tc>
          <w:tcPr>
            <w:tcW w:w="5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9A39B63" w14:textId="77777777" w:rsidR="00EA7C9E" w:rsidRDefault="18CA0F2E">
            <w:r w:rsidRPr="18CA0F2E">
              <w:rPr>
                <w:rFonts w:ascii="Arial" w:eastAsia="Arial" w:hAnsi="Arial" w:cs="Arial"/>
                <w:color w:val="000000"/>
                <w:sz w:val="17"/>
                <w:szCs w:val="17"/>
              </w:rPr>
              <w:t>Collect separate buildings/assets when the source distinguishes them as separate locations or assets.</w:t>
            </w:r>
          </w:p>
        </w:tc>
      </w:tr>
      <w:tr w:rsidR="00EA7C9E" w14:paraId="62162CBF" w14:textId="77777777" w:rsidTr="18CA0F2E">
        <w:tc>
          <w:tcPr>
            <w:tcW w:w="36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037C0F88" w14:textId="77777777" w:rsidR="00EA7C9E" w:rsidRDefault="0068040D">
            <w:r>
              <w:rPr>
                <w:rFonts w:ascii="Arial" w:eastAsia="Arial" w:hAnsi="Arial" w:cs="Arial"/>
                <w:color w:val="000000"/>
                <w:sz w:val="17"/>
                <w:szCs w:val="17"/>
              </w:rPr>
              <w:t>Tenant names in owned real estate portfolio</w:t>
            </w:r>
          </w:p>
        </w:tc>
        <w:tc>
          <w:tcPr>
            <w:tcW w:w="575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496C7D77" w14:textId="77777777" w:rsidR="00EA7C9E" w:rsidRDefault="18CA0F2E">
            <w:r w:rsidRPr="18CA0F2E">
              <w:rPr>
                <w:rFonts w:ascii="Arial" w:eastAsia="Arial" w:hAnsi="Arial" w:cs="Arial"/>
                <w:color w:val="000000"/>
                <w:sz w:val="17"/>
                <w:szCs w:val="17"/>
              </w:rPr>
              <w:t>Collect unique owned property locations; tenant names are not required for location collection.</w:t>
            </w:r>
          </w:p>
        </w:tc>
      </w:tr>
      <w:tr w:rsidR="00EA7C9E" w14:paraId="40863BEA" w14:textId="77777777" w:rsidTr="18CA0F2E">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7BF9885" w14:textId="77777777" w:rsidR="00EA7C9E" w:rsidRDefault="0068040D">
            <w:r>
              <w:rPr>
                <w:rFonts w:ascii="Arial" w:eastAsia="Arial" w:hAnsi="Arial" w:cs="Arial"/>
                <w:color w:val="000000"/>
                <w:sz w:val="17"/>
                <w:szCs w:val="17"/>
              </w:rPr>
              <w:t>Master locator plus subset pages</w:t>
            </w:r>
          </w:p>
        </w:tc>
        <w:tc>
          <w:tcPr>
            <w:tcW w:w="5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C4AE6D4" w14:textId="77777777" w:rsidR="00EA7C9E" w:rsidRDefault="18CA0F2E">
            <w:r w:rsidRPr="18CA0F2E">
              <w:rPr>
                <w:rFonts w:ascii="Arial" w:eastAsia="Arial" w:hAnsi="Arial" w:cs="Arial"/>
                <w:color w:val="000000"/>
                <w:sz w:val="17"/>
                <w:szCs w:val="17"/>
              </w:rPr>
              <w:t>Prefer master URL only if it demonstrably covers the full population. If counts do not reconcile, revisit subset pages.</w:t>
            </w:r>
          </w:p>
        </w:tc>
      </w:tr>
      <w:tr w:rsidR="00EA7C9E" w14:paraId="3F432CC9" w14:textId="77777777" w:rsidTr="18CA0F2E">
        <w:tc>
          <w:tcPr>
            <w:tcW w:w="36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78B5653C" w14:textId="77777777" w:rsidR="00EA7C9E" w:rsidRDefault="18CA0F2E">
            <w:r w:rsidRPr="18CA0F2E">
              <w:rPr>
                <w:rFonts w:ascii="Arial" w:eastAsia="Arial" w:hAnsi="Arial" w:cs="Arial"/>
                <w:color w:val="000000"/>
                <w:sz w:val="17"/>
                <w:szCs w:val="17"/>
              </w:rPr>
              <w:t>Supplied URL lacks locations but an official locator exists</w:t>
            </w:r>
          </w:p>
        </w:tc>
        <w:tc>
          <w:tcPr>
            <w:tcW w:w="575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61F997D8" w14:textId="77777777" w:rsidR="00EA7C9E" w:rsidRDefault="0068040D">
            <w:r>
              <w:rPr>
                <w:rFonts w:ascii="Arial" w:eastAsia="Arial" w:hAnsi="Arial" w:cs="Arial"/>
                <w:color w:val="000000"/>
                <w:sz w:val="17"/>
                <w:szCs w:val="17"/>
              </w:rPr>
              <w:t>Use the alternate official locator page and record it as the source URL.</w:t>
            </w:r>
          </w:p>
        </w:tc>
      </w:tr>
      <w:tr w:rsidR="00EA7C9E" w14:paraId="7909D915" w14:textId="77777777" w:rsidTr="18CA0F2E">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F19E367" w14:textId="77777777" w:rsidR="00EA7C9E" w:rsidRDefault="0068040D">
            <w:r>
              <w:rPr>
                <w:rFonts w:ascii="Arial" w:eastAsia="Arial" w:hAnsi="Arial" w:cs="Arial"/>
                <w:color w:val="000000"/>
                <w:sz w:val="17"/>
                <w:szCs w:val="17"/>
              </w:rPr>
              <w:t>Subsidiary list with no address or country detail</w:t>
            </w:r>
          </w:p>
        </w:tc>
        <w:tc>
          <w:tcPr>
            <w:tcW w:w="5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F35ABB9" w14:textId="77777777" w:rsidR="00EA7C9E" w:rsidRDefault="0068040D">
            <w:r>
              <w:rPr>
                <w:rFonts w:ascii="Arial" w:eastAsia="Arial" w:hAnsi="Arial" w:cs="Arial"/>
                <w:color w:val="000000"/>
                <w:sz w:val="17"/>
                <w:szCs w:val="17"/>
              </w:rPr>
              <w:t>Do not collect from the list alone; use it only as a lead for URL/domain discovery if routing requires it.</w:t>
            </w:r>
          </w:p>
        </w:tc>
      </w:tr>
      <w:tr w:rsidR="00EA7C9E" w14:paraId="4CAD2F59" w14:textId="77777777" w:rsidTr="18CA0F2E">
        <w:tc>
          <w:tcPr>
            <w:tcW w:w="36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09D9E4A8" w14:textId="77777777" w:rsidR="00EA7C9E" w:rsidRDefault="18CA0F2E">
            <w:r w:rsidRPr="18CA0F2E">
              <w:rPr>
                <w:rFonts w:ascii="Arial" w:eastAsia="Arial" w:hAnsi="Arial" w:cs="Arial"/>
                <w:color w:val="000000"/>
                <w:sz w:val="17"/>
                <w:szCs w:val="17"/>
              </w:rPr>
              <w:t>Acquired or renamed issuer</w:t>
            </w:r>
          </w:p>
        </w:tc>
        <w:tc>
          <w:tcPr>
            <w:tcW w:w="575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0725B569" w14:textId="77777777" w:rsidR="00EA7C9E" w:rsidRDefault="0068040D">
            <w:r>
              <w:rPr>
                <w:rFonts w:ascii="Arial" w:eastAsia="Arial" w:hAnsi="Arial" w:cs="Arial"/>
                <w:color w:val="000000"/>
                <w:sz w:val="17"/>
                <w:szCs w:val="17"/>
              </w:rPr>
              <w:t>Collect from the successor/redirected operating website when the issuer ID now points to the successor entity.</w:t>
            </w:r>
          </w:p>
        </w:tc>
      </w:tr>
      <w:tr w:rsidR="00EA7C9E" w14:paraId="72871341" w14:textId="77777777" w:rsidTr="18CA0F2E">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AFE37A2" w14:textId="77777777" w:rsidR="00EA7C9E" w:rsidRDefault="0068040D">
            <w:r>
              <w:rPr>
                <w:rFonts w:ascii="Arial" w:eastAsia="Arial" w:hAnsi="Arial" w:cs="Arial"/>
                <w:color w:val="000000"/>
                <w:sz w:val="17"/>
                <w:szCs w:val="17"/>
              </w:rPr>
              <w:t>Mines or power plants with large footprint</w:t>
            </w:r>
          </w:p>
        </w:tc>
        <w:tc>
          <w:tcPr>
            <w:tcW w:w="5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5A91492" w14:textId="77777777" w:rsidR="00EA7C9E" w:rsidRDefault="0068040D">
            <w:r>
              <w:rPr>
                <w:rFonts w:ascii="Arial" w:eastAsia="Arial" w:hAnsi="Arial" w:cs="Arial"/>
                <w:color w:val="000000"/>
                <w:sz w:val="17"/>
                <w:szCs w:val="17"/>
              </w:rPr>
              <w:t>Collect the centroid coordinate for the facility rather than individual sub-structures.</w:t>
            </w:r>
          </w:p>
        </w:tc>
      </w:tr>
      <w:tr w:rsidR="00EA7C9E" w14:paraId="18C17EE9" w14:textId="77777777" w:rsidTr="18CA0F2E">
        <w:tc>
          <w:tcPr>
            <w:tcW w:w="36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42FAAC4F" w14:textId="77777777" w:rsidR="00EA7C9E" w:rsidRDefault="0068040D">
            <w:r>
              <w:rPr>
                <w:rFonts w:ascii="Arial" w:eastAsia="Arial" w:hAnsi="Arial" w:cs="Arial"/>
                <w:color w:val="000000"/>
                <w:sz w:val="17"/>
                <w:szCs w:val="17"/>
              </w:rPr>
              <w:t>Issuer has ceased operations at a location mid-year</w:t>
            </w:r>
          </w:p>
        </w:tc>
        <w:tc>
          <w:tcPr>
            <w:tcW w:w="575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25B12ABE" w14:textId="77777777" w:rsidR="00EA7C9E" w:rsidRDefault="18CA0F2E">
            <w:r w:rsidRPr="18CA0F2E">
              <w:rPr>
                <w:rFonts w:ascii="Arial" w:eastAsia="Arial" w:hAnsi="Arial" w:cs="Arial"/>
                <w:color w:val="000000"/>
                <w:sz w:val="17"/>
                <w:szCs w:val="17"/>
              </w:rPr>
              <w:t>If confirmed that the issuer no longer operates at the location, exclude it from collection scope.</w:t>
            </w:r>
          </w:p>
        </w:tc>
      </w:tr>
    </w:tbl>
    <w:p w14:paraId="522E79D9" w14:textId="77777777" w:rsidR="00EA7C9E" w:rsidRDefault="00EA7C9E">
      <w:pPr>
        <w:spacing w:after="100"/>
      </w:pPr>
    </w:p>
    <w:p w14:paraId="5C05656D" w14:textId="77777777" w:rsidR="00EA7C9E" w:rsidRDefault="0068040D">
      <w:pPr>
        <w:pStyle w:val="Heading2"/>
        <w:spacing w:before="260" w:after="120"/>
      </w:pPr>
      <w:r>
        <w:rPr>
          <w:rFonts w:ascii="Calibri" w:eastAsia="Calibri" w:hAnsi="Calibri" w:cs="Calibri"/>
          <w:b/>
          <w:bCs/>
          <w:color w:val="4F81BD"/>
          <w:sz w:val="24"/>
          <w:szCs w:val="24"/>
        </w:rPr>
        <w:t>6.4 Subsidiary Collection Rules</w:t>
      </w:r>
    </w:p>
    <w:p w14:paraId="56110081" w14:textId="77777777" w:rsidR="00EA7C9E" w:rsidRDefault="0068040D">
      <w:pPr>
        <w:spacing w:after="160"/>
      </w:pPr>
      <w:r>
        <w:rPr>
          <w:rFonts w:ascii="Arial" w:eastAsia="Arial" w:hAnsi="Arial" w:cs="Arial"/>
          <w:sz w:val="18"/>
          <w:szCs w:val="18"/>
        </w:rPr>
        <w:t>Collection of subsidiary locations follows these principles derived from the M3 decision tree and client responses. The M3 routing flow (§3) handles subsidiaries that have their own Issuer ID via the N5–N7 child evaluation. The rules below apply to subsidiaries appearing within the Input Issuer's own website or reports.</w:t>
      </w:r>
    </w:p>
    <w:p w14:paraId="654D4302" w14:textId="77777777" w:rsidR="00EA7C9E" w:rsidRDefault="18CA0F2E">
      <w:pPr>
        <w:spacing w:after="160"/>
      </w:pPr>
      <w:r w:rsidRPr="18CA0F2E">
        <w:rPr>
          <w:rFonts w:ascii="Arial" w:eastAsia="Arial" w:hAnsi="Arial" w:cs="Arial"/>
          <w:sz w:val="18"/>
          <w:szCs w:val="18"/>
        </w:rPr>
        <w:t>• Before collecting any subsidiary location from the Input Issuer's website: first check whether the subsidiary has an assigned issuer_id in the input data. If it does, exclude it from Input-Issuer-level collection and confirm it is handled through the N5–N7 child evaluation. If it does not appear in the input data as a separate entity, it may be collected from the Input Issuer's website or report.</w:t>
      </w:r>
    </w:p>
    <w:p w14:paraId="60107E03" w14:textId="77777777" w:rsidR="00EA7C9E" w:rsidRDefault="18CA0F2E">
      <w:pPr>
        <w:spacing w:after="160"/>
      </w:pPr>
      <w:r w:rsidRPr="18CA0F2E">
        <w:rPr>
          <w:rFonts w:ascii="Arial" w:eastAsia="Arial" w:hAnsi="Arial" w:cs="Arial"/>
          <w:sz w:val="18"/>
          <w:szCs w:val="18"/>
        </w:rPr>
        <w:t>• If shareholding information is not available in the same report or website section, the collector collects all listed locations. No additional research is carried out to identify the shareholding for each subsidiary.</w:t>
      </w:r>
    </w:p>
    <w:p w14:paraId="73BF3492" w14:textId="77777777" w:rsidR="00EA7C9E" w:rsidRDefault="18CA0F2E">
      <w:pPr>
        <w:spacing w:after="160"/>
      </w:pPr>
      <w:r w:rsidRPr="18CA0F2E">
        <w:rPr>
          <w:rFonts w:ascii="Arial" w:eastAsia="Arial" w:hAnsi="Arial" w:cs="Arial"/>
          <w:sz w:val="18"/>
          <w:szCs w:val="18"/>
        </w:rPr>
        <w:lastRenderedPageBreak/>
        <w:t>• If a subsidiary maintains a separate website from the Input Issuer and that website was not included in the URL list provided for collection, identifying and researching the subsidiary's website is out of scope for that collection run.</w:t>
      </w:r>
    </w:p>
    <w:p w14:paraId="0950AC12" w14:textId="77777777" w:rsidR="00EA7C9E" w:rsidRDefault="18CA0F2E">
      <w:pPr>
        <w:spacing w:after="160"/>
      </w:pPr>
      <w:r w:rsidRPr="18CA0F2E">
        <w:rPr>
          <w:rFonts w:ascii="Arial" w:eastAsia="Arial" w:hAnsi="Arial" w:cs="Arial"/>
          <w:sz w:val="18"/>
          <w:szCs w:val="18"/>
        </w:rPr>
        <w:t>• A reassignment of assets from the Input Issuer to a subsidiary is only recognizable if the subsidiary has its own website or report listing the asset. That disclosure is what allows the determination that the asset has moved.</w:t>
      </w:r>
    </w:p>
    <w:p w14:paraId="76E5D8B8" w14:textId="77777777" w:rsidR="00EA7C9E" w:rsidRDefault="00EA7C9E">
      <w:pPr>
        <w:spacing w:after="100"/>
      </w:pPr>
    </w:p>
    <w:tbl>
      <w:tblPr>
        <w:tblW w:w="93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50"/>
      </w:tblGrid>
      <w:tr w:rsidR="00EA7C9E" w14:paraId="2198AC47" w14:textId="77777777" w:rsidTr="18CA0F2E">
        <w:tc>
          <w:tcPr>
            <w:tcW w:w="9350" w:type="dxa"/>
            <w:tcBorders>
              <w:top w:val="single" w:sz="4" w:space="0" w:color="C9971F"/>
              <w:left w:val="single" w:sz="4" w:space="0" w:color="C9971F"/>
              <w:bottom w:val="single" w:sz="4" w:space="0" w:color="C9971F"/>
              <w:right w:val="single" w:sz="4" w:space="0" w:color="C9971F"/>
            </w:tcBorders>
            <w:shd w:val="clear" w:color="auto" w:fill="FFF8E7"/>
            <w:tcMar>
              <w:top w:w="140" w:type="dxa"/>
              <w:left w:w="160" w:type="dxa"/>
              <w:bottom w:w="140" w:type="dxa"/>
              <w:right w:w="160" w:type="dxa"/>
            </w:tcMar>
          </w:tcPr>
          <w:p w14:paraId="6AB81529" w14:textId="77777777" w:rsidR="00EA7C9E" w:rsidRDefault="0068040D">
            <w:pPr>
              <w:spacing w:after="80"/>
            </w:pPr>
            <w:r>
              <w:rPr>
                <w:rFonts w:ascii="Calibri" w:eastAsia="Calibri" w:hAnsi="Calibri" w:cs="Calibri"/>
                <w:b/>
                <w:bCs/>
                <w:color w:val="1F3864"/>
                <w:sz w:val="18"/>
                <w:szCs w:val="18"/>
              </w:rPr>
              <w:t>RULE 6.8 — Multi-Parent Child Handling</w:t>
            </w:r>
          </w:p>
          <w:p w14:paraId="3310ABB9" w14:textId="77777777" w:rsidR="00EA7C9E" w:rsidRDefault="18CA0F2E">
            <w:pPr>
              <w:spacing w:after="100"/>
            </w:pPr>
            <w:r w:rsidRPr="18CA0F2E">
              <w:rPr>
                <w:rFonts w:ascii="Arial" w:eastAsia="Arial" w:hAnsi="Arial" w:cs="Arial"/>
                <w:sz w:val="18"/>
                <w:szCs w:val="18"/>
              </w:rPr>
              <w:t>IF the same child_issuer_id appears under multiple Input Issuer rows in the input data THEN: (1) route the child independently under each Input Issuer using the N5–N7 (and N7a where applicable) chain; (2) flag it in the notes field as a multi-parent child; (3) at the deduplication step (§7.2), retain the highest-priority routing outcome — precedence: O6/O8 (Collect at child's own Issuer ID, individually or shared) &gt; O3/O4 (Collect at input issuer's own URL) &gt; O5 (Skip). If conflicting outcomes cannot be resolved by this hierarchy, log the child for human review in the gap register.</w:t>
            </w:r>
          </w:p>
        </w:tc>
      </w:tr>
    </w:tbl>
    <w:p w14:paraId="7915F1FC" w14:textId="77777777" w:rsidR="00EA7C9E" w:rsidRDefault="00EA7C9E">
      <w:pPr>
        <w:spacing w:after="100"/>
      </w:pPr>
    </w:p>
    <w:p w14:paraId="59F15AB7" w14:textId="77777777" w:rsidR="00EA7C9E" w:rsidRDefault="0068040D">
      <w:pPr>
        <w:pStyle w:val="Heading1"/>
        <w:spacing w:before="360" w:after="160"/>
      </w:pPr>
      <w:r>
        <w:rPr>
          <w:rFonts w:ascii="Calibri" w:eastAsia="Calibri" w:hAnsi="Calibri" w:cs="Calibri"/>
          <w:b/>
          <w:bCs/>
          <w:color w:val="365F91"/>
          <w:sz w:val="28"/>
          <w:szCs w:val="28"/>
        </w:rPr>
        <w:t>7. Output and Handoff</w:t>
      </w:r>
    </w:p>
    <w:p w14:paraId="1B31F639" w14:textId="77777777" w:rsidR="00EA7C9E" w:rsidRDefault="18CA0F2E">
      <w:pPr>
        <w:pStyle w:val="Heading2"/>
        <w:spacing w:before="260" w:after="120"/>
      </w:pPr>
      <w:r w:rsidRPr="18CA0F2E">
        <w:rPr>
          <w:rFonts w:ascii="Calibri" w:eastAsia="Calibri" w:hAnsi="Calibri" w:cs="Calibri"/>
          <w:b/>
          <w:bCs/>
          <w:color w:val="4F81BD"/>
          <w:sz w:val="24"/>
          <w:szCs w:val="24"/>
        </w:rPr>
        <w:t>7.1 all_sources Output Contract</w:t>
      </w:r>
    </w:p>
    <w:p w14:paraId="66BFB714" w14:textId="77777777" w:rsidR="00EA7C9E" w:rsidRDefault="18CA0F2E">
      <w:pPr>
        <w:spacing w:after="160"/>
      </w:pPr>
      <w:r>
        <w:rPr>
          <w:highlight w:val="yellow"/>
        </w:rPr>
        <w:t>The collection phase writes URL-level evidence, not final extracted asset records. Per M2 §12.1, the all_sources output is a fixed 12-column schema: URL, Domain, URL entity/site, Is_Subsidiary, Relationship type, Relationship to parent, Legitimate proof, Source_Tier, Content_Type, Page_Number, Page_Type, and Notes. M3 adopts these exact column names as the authoritative schema for its output — aligning the M3/M2 handoff, which previously used a different field list under the same “12-column” label (url, page_type, source_tier, estimated_count, relationship_type, content_type, last_verified, issuer_id, is_subsidiary, filing_date, language, confidence_score). The table below maps M3's routing-specific requirements onto M2's column names.</w:t>
      </w:r>
    </w:p>
    <w:tbl>
      <w:tblPr>
        <w:tblW w:w="93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6950"/>
      </w:tblGrid>
      <w:tr w:rsidR="00EA7C9E" w14:paraId="18B17950" w14:textId="77777777" w:rsidTr="18CA0F2E">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3DF7A51" w14:textId="77777777" w:rsidR="00EA7C9E" w:rsidRDefault="0068040D">
            <w:r>
              <w:rPr>
                <w:rFonts w:ascii="Arial" w:eastAsia="Arial" w:hAnsi="Arial" w:cs="Arial"/>
                <w:b/>
                <w:bCs/>
                <w:color w:val="FFFFFF"/>
                <w:sz w:val="17"/>
                <w:szCs w:val="17"/>
              </w:rPr>
              <w:t>Output Field</w:t>
            </w:r>
          </w:p>
        </w:tc>
        <w:tc>
          <w:tcPr>
            <w:tcW w:w="69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F645F87" w14:textId="77777777" w:rsidR="00EA7C9E" w:rsidRDefault="0068040D">
            <w:r>
              <w:rPr>
                <w:rFonts w:ascii="Arial" w:eastAsia="Arial" w:hAnsi="Arial" w:cs="Arial"/>
                <w:b/>
                <w:bCs/>
                <w:color w:val="FFFFFF"/>
                <w:sz w:val="17"/>
                <w:szCs w:val="17"/>
              </w:rPr>
              <w:t>M3 Rule</w:t>
            </w:r>
          </w:p>
        </w:tc>
      </w:tr>
      <w:tr w:rsidR="00EA7C9E" w14:paraId="15F3F05D" w14:textId="77777777" w:rsidTr="18CA0F2E">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B87BF89" w14:textId="77777777" w:rsidR="00EA7C9E" w:rsidRDefault="18CA0F2E">
            <w:r>
              <w:rPr>
                <w:highlight w:val="yellow"/>
              </w:rPr>
              <w:t>URL</w:t>
            </w:r>
          </w:p>
        </w:tc>
        <w:tc>
          <w:tcPr>
            <w:tcW w:w="6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1CBE3EE" w14:textId="77777777" w:rsidR="00EA7C9E" w:rsidRDefault="18CA0F2E">
            <w:r>
              <w:rPr>
                <w:highlight w:val="yellow"/>
              </w:rPr>
              <w:t>Canonical page URL that contains or leads directly to asset locations, opened and confirmed per Rule 5.1 (Open-Before-Include).</w:t>
            </w:r>
          </w:p>
        </w:tc>
      </w:tr>
      <w:tr w:rsidR="00EA7C9E" w14:paraId="3B368E80" w14:textId="77777777" w:rsidTr="18CA0F2E">
        <w:tc>
          <w:tcPr>
            <w:tcW w:w="24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4A58DD87" w14:textId="77777777" w:rsidR="00EA7C9E" w:rsidRDefault="0068040D">
            <w:r>
              <w:rPr>
                <w:highlight w:val="yellow"/>
              </w:rPr>
              <w:t>Domain</w:t>
            </w:r>
          </w:p>
        </w:tc>
        <w:tc>
          <w:tcPr>
            <w:tcW w:w="695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4E37514B" w14:textId="77777777" w:rsidR="00EA7C9E" w:rsidRDefault="0068040D">
            <w:r>
              <w:rPr>
                <w:highlight w:val="yellow"/>
              </w:rPr>
              <w:t>Hostname of the URL (path ignored). Used for the N7 hostname-level match against the Input Issuer's Parent URL (§3.2, RULE N7).</w:t>
            </w:r>
          </w:p>
        </w:tc>
      </w:tr>
      <w:tr w:rsidR="00EA7C9E" w14:paraId="46008C37" w14:textId="77777777" w:rsidTr="18CA0F2E">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7059FB0" w14:textId="77777777" w:rsidR="00EA7C9E" w:rsidRDefault="0068040D">
            <w:r>
              <w:rPr>
                <w:highlight w:val="yellow"/>
              </w:rPr>
              <w:t>URL entity/site</w:t>
            </w:r>
          </w:p>
        </w:tc>
        <w:tc>
          <w:tcPr>
            <w:tcW w:w="6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DCBFEF2" w14:textId="77777777" w:rsidR="00EA7C9E" w:rsidRDefault="0068040D">
            <w:r>
              <w:rPr>
                <w:highlight w:val="yellow"/>
              </w:rPr>
              <w:t>The entity this URL is attributed to: the Input Issuer's Issuer ID for O3/O4/O9 rows; the child's own Issuer ID for O6/O8 rows.</w:t>
            </w:r>
          </w:p>
        </w:tc>
      </w:tr>
      <w:tr w:rsidR="00EA7C9E" w14:paraId="29708DC2" w14:textId="77777777" w:rsidTr="18CA0F2E">
        <w:tc>
          <w:tcPr>
            <w:tcW w:w="24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1E0FEF07" w14:textId="77777777" w:rsidR="00EA7C9E" w:rsidRDefault="0068040D">
            <w:r>
              <w:rPr>
                <w:highlight w:val="yellow"/>
              </w:rPr>
              <w:t>Is_Subsidiary</w:t>
            </w:r>
          </w:p>
        </w:tc>
        <w:tc>
          <w:tcPr>
            <w:tcW w:w="695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6451993C" w14:textId="77777777" w:rsidR="00EA7C9E" w:rsidRDefault="0068040D">
            <w:r>
              <w:rPr>
                <w:highlight w:val="yellow"/>
              </w:rPr>
              <w:t>Yes for O6/O8 (child-level collection); No for O3/O4/O9 (input-issuer-level or folded); blank only for O1/O5/unresolved-O2 rows.</w:t>
            </w:r>
          </w:p>
        </w:tc>
      </w:tr>
      <w:tr w:rsidR="00EA7C9E" w14:paraId="5A5A2C68" w14:textId="77777777" w:rsidTr="18CA0F2E">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DFB01B9" w14:textId="77777777" w:rsidR="00EA7C9E" w:rsidRDefault="0068040D">
            <w:r>
              <w:rPr>
                <w:highlight w:val="yellow"/>
              </w:rPr>
              <w:t>Relationship type</w:t>
            </w:r>
          </w:p>
        </w:tc>
        <w:tc>
          <w:tcPr>
            <w:tcW w:w="6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17E0388" w14:textId="77777777" w:rsidR="00EA7C9E" w:rsidRDefault="0068040D">
            <w:r>
              <w:rPr>
                <w:highlight w:val="yellow"/>
              </w:rPr>
              <w:t>Must reflect the resolved outcome: input_issuer_anchor (O3/O4), child_collected (O6), child_collected_shared_url (O8), child_folded_nonoperating (O9 — formerly skip_child_nonoperating under the Child Scope Gate, now N8), skip_entity (O1), skip_child (O5), or enrichment_gap (O2, if unresolved).</w:t>
            </w:r>
          </w:p>
        </w:tc>
      </w:tr>
      <w:tr w:rsidR="00EA7C9E" w14:paraId="684CA4A5" w14:textId="77777777" w:rsidTr="18CA0F2E">
        <w:tc>
          <w:tcPr>
            <w:tcW w:w="24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50666DDE" w14:textId="77777777" w:rsidR="00EA7C9E" w:rsidRDefault="0068040D">
            <w:r>
              <w:rPr>
                <w:highlight w:val="yellow"/>
              </w:rPr>
              <w:t>Relationship to parent</w:t>
            </w:r>
          </w:p>
        </w:tc>
        <w:tc>
          <w:tcPr>
            <w:tcW w:w="695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0491CC06" w14:textId="77777777" w:rsidR="00EA7C9E" w:rsidRDefault="0068040D">
            <w:r>
              <w:rPr>
                <w:highlight w:val="yellow"/>
              </w:rPr>
              <w:t>Ownership basis per RULE 6.5: Control (Parent/Child, &gt;50% voting rights) or Participation (Affiliate, ≤ 50% voting rights). Flag multi-parent children per RULE 6.8 (§6.4).</w:t>
            </w:r>
          </w:p>
        </w:tc>
      </w:tr>
      <w:tr w:rsidR="00EA7C9E" w14:paraId="7A64E9DA" w14:textId="77777777" w:rsidTr="18CA0F2E">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F553D0F" w14:textId="77777777" w:rsidR="00EA7C9E" w:rsidRDefault="0068040D">
            <w:r>
              <w:rPr>
                <w:highlight w:val="yellow"/>
              </w:rPr>
              <w:t>Legitimate proof</w:t>
            </w:r>
          </w:p>
        </w:tc>
        <w:tc>
          <w:tcPr>
            <w:tcW w:w="6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4145099" w14:textId="77777777" w:rsidR="00EA7C9E" w:rsidRDefault="0068040D">
            <w:r>
              <w:rPr>
                <w:highlight w:val="yellow"/>
              </w:rPr>
              <w:t>Confirmation per Rule 5.1 that the URL was opened and verified as belonging to the routed entity (official domain, regulatory filing, or reputable third party) and supports asset-location evidence, per M2's URL verification requirement (§12.1).</w:t>
            </w:r>
          </w:p>
        </w:tc>
      </w:tr>
      <w:tr w:rsidR="00EA7C9E" w14:paraId="298B62AD" w14:textId="77777777" w:rsidTr="18CA0F2E">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5B9DBCA" w14:textId="77777777" w:rsidR="00EA7C9E" w:rsidRDefault="0068040D">
            <w:r>
              <w:rPr>
                <w:highlight w:val="yellow"/>
              </w:rPr>
              <w:t>Source_Tier</w:t>
            </w:r>
          </w:p>
        </w:tc>
        <w:tc>
          <w:tcPr>
            <w:tcW w:w="6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631A4C8" w14:textId="77777777" w:rsidR="00EA7C9E" w:rsidRDefault="0068040D">
            <w:r>
              <w:rPr>
                <w:highlight w:val="yellow"/>
              </w:rPr>
              <w:t>Populate source confidence tier (1–4) from M2 rules. Do not use routing outcome as a proxy for source reliability.</w:t>
            </w:r>
          </w:p>
        </w:tc>
      </w:tr>
      <w:tr w:rsidR="00EA7C9E" w14:paraId="547279BD" w14:textId="77777777" w:rsidTr="18CA0F2E">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3554E67" w14:textId="77777777" w:rsidR="00EA7C9E" w:rsidRDefault="0068040D">
            <w:r>
              <w:rPr>
                <w:highlight w:val="yellow"/>
              </w:rPr>
              <w:t>Content_Type</w:t>
            </w:r>
          </w:p>
        </w:tc>
        <w:tc>
          <w:tcPr>
            <w:tcW w:w="6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AADB12A" w14:textId="77777777" w:rsidR="00EA7C9E" w:rsidRDefault="0068040D">
            <w:r>
              <w:rPr>
                <w:highlight w:val="yellow"/>
              </w:rPr>
              <w:t>Classify each URL per M2 §12.1: Specific Addresses, Partial Addresses, Aggregate Counts, or Asset Mentions. Multiple values allowed per URL.</w:t>
            </w:r>
          </w:p>
        </w:tc>
      </w:tr>
      <w:tr w:rsidR="00EA7C9E" w14:paraId="6C8FF2C5" w14:textId="77777777" w:rsidTr="18CA0F2E">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6B52D90" w14:textId="77777777" w:rsidR="00EA7C9E" w:rsidRDefault="0068040D">
            <w:r>
              <w:rPr>
                <w:highlight w:val="yellow"/>
              </w:rPr>
              <w:lastRenderedPageBreak/>
              <w:t>Page_Number</w:t>
            </w:r>
          </w:p>
        </w:tc>
        <w:tc>
          <w:tcPr>
            <w:tcW w:w="6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FA1C85A" w14:textId="77777777" w:rsidR="00EA7C9E" w:rsidRDefault="0068040D">
            <w:r>
              <w:rPr>
                <w:highlight w:val="yellow"/>
              </w:rPr>
              <w:t>For pdf_document and html_filing sources, record the page number(s) or section reference used, per M2 §12.2.</w:t>
            </w:r>
          </w:p>
        </w:tc>
      </w:tr>
      <w:tr w:rsidR="00EA7C9E" w14:paraId="24F8EC50" w14:textId="77777777" w:rsidTr="18CA0F2E">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96153BE" w14:textId="77777777" w:rsidR="00EA7C9E" w:rsidRDefault="0068040D">
            <w:r>
              <w:rPr>
                <w:highlight w:val="yellow"/>
              </w:rPr>
              <w:t>Page_Type</w:t>
            </w:r>
          </w:p>
        </w:tc>
        <w:tc>
          <w:tcPr>
            <w:tcW w:w="6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5D69AAE" w14:textId="77777777" w:rsidR="00EA7C9E" w:rsidRDefault="0068040D">
            <w:r>
              <w:rPr>
                <w:highlight w:val="yellow"/>
              </w:rPr>
              <w:t>Classify as: static_html, javascript_heavy, interactive_map, paginated, table_format, hierarchical_selector, search_required, api_based, mixed, pdf_document, or html_filing.</w:t>
            </w:r>
          </w:p>
        </w:tc>
      </w:tr>
      <w:tr w:rsidR="00EA7C9E" w14:paraId="38C632E5" w14:textId="77777777" w:rsidTr="18CA0F2E">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C8E9080" w14:textId="77777777" w:rsidR="00EA7C9E" w:rsidRDefault="0068040D">
            <w:r>
              <w:rPr>
                <w:highlight w:val="yellow"/>
              </w:rPr>
              <w:t>Notes</w:t>
            </w:r>
          </w:p>
        </w:tc>
        <w:tc>
          <w:tcPr>
            <w:tcW w:w="6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44A7DBB" w14:textId="77777777" w:rsidR="00EA7C9E" w:rsidRDefault="0068040D">
            <w:r>
              <w:rPr>
                <w:highlight w:val="yellow"/>
              </w:rPr>
              <w:t>Record routing outcome detail, enrichment status, exclusion rationale, unresolved gaps, source date/filing period, source language, and confidence assessment. Consolidates M3's prior stand-alone estimated_count, last_verified, filing_date, language, and confidence_score fields into this single field so the schema matches M2 §12.1's 12 columns exactly rather than adding M3-only fields alongside them.</w:t>
            </w:r>
          </w:p>
        </w:tc>
      </w:tr>
      <w:tr w:rsidR="00EA7C9E" w14:paraId="5B0DDC42" w14:textId="77777777" w:rsidTr="18CA0F2E">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69B4B5E" w14:textId="77777777" w:rsidR="00EA7C9E" w:rsidRDefault="0068040D">
            <w:r>
              <w:rPr>
                <w:highlight w:val="yellow"/>
              </w:rPr>
              <w:t>No-data audit rows</w:t>
            </w:r>
          </w:p>
        </w:tc>
        <w:tc>
          <w:tcPr>
            <w:tcW w:w="6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EA71643" w14:textId="77777777" w:rsidR="00EA7C9E" w:rsidRDefault="0068040D">
            <w:r>
              <w:rPr>
                <w:highlight w:val="yellow"/>
              </w:rPr>
              <w:t>Retain no-data/gap rows where the pipeline needs an audit trail.</w:t>
            </w:r>
          </w:p>
        </w:tc>
      </w:tr>
    </w:tbl>
    <w:p w14:paraId="0C6C3C18" w14:textId="77777777" w:rsidR="00EA7C9E" w:rsidRDefault="00EA7C9E">
      <w:pPr>
        <w:spacing w:after="100"/>
      </w:pPr>
    </w:p>
    <w:p w14:paraId="2F4A2DC6" w14:textId="77777777" w:rsidR="00EA7C9E" w:rsidRDefault="0068040D">
      <w:pPr>
        <w:pStyle w:val="Heading2"/>
        <w:spacing w:before="260" w:after="120"/>
      </w:pPr>
      <w:r>
        <w:rPr>
          <w:rFonts w:ascii="Calibri" w:eastAsia="Calibri" w:hAnsi="Calibri" w:cs="Calibri"/>
          <w:b/>
          <w:bCs/>
          <w:color w:val="4F81BD"/>
          <w:sz w:val="24"/>
          <w:szCs w:val="24"/>
        </w:rPr>
        <w:t>7.2 Deduplication Before Handoff</w:t>
      </w:r>
    </w:p>
    <w:tbl>
      <w:tblPr>
        <w:tblW w:w="93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50"/>
      </w:tblGrid>
      <w:tr w:rsidR="00EA7C9E" w14:paraId="2496FEFA" w14:textId="77777777">
        <w:tc>
          <w:tcPr>
            <w:tcW w:w="9350" w:type="dxa"/>
            <w:tcBorders>
              <w:top w:val="single" w:sz="4" w:space="0" w:color="C9971F"/>
              <w:left w:val="single" w:sz="4" w:space="0" w:color="C9971F"/>
              <w:bottom w:val="single" w:sz="4" w:space="0" w:color="C9971F"/>
              <w:right w:val="single" w:sz="4" w:space="0" w:color="C9971F"/>
            </w:tcBorders>
            <w:shd w:val="clear" w:color="auto" w:fill="FFF8E7"/>
            <w:tcMar>
              <w:top w:w="140" w:type="dxa"/>
              <w:left w:w="160" w:type="dxa"/>
              <w:bottom w:w="140" w:type="dxa"/>
              <w:right w:w="160" w:type="dxa"/>
            </w:tcMar>
          </w:tcPr>
          <w:p w14:paraId="4BCAE297" w14:textId="77777777" w:rsidR="00EA7C9E" w:rsidRDefault="0068040D">
            <w:pPr>
              <w:spacing w:after="80"/>
            </w:pPr>
            <w:r>
              <w:rPr>
                <w:rFonts w:ascii="Calibri" w:eastAsia="Calibri" w:hAnsi="Calibri" w:cs="Calibri"/>
                <w:b/>
                <w:bCs/>
                <w:color w:val="1F3864"/>
                <w:sz w:val="18"/>
                <w:szCs w:val="18"/>
              </w:rPr>
              <w:t>RULE 7.1 — Input-Issuer / Child Deduplication</w:t>
            </w:r>
          </w:p>
          <w:p w14:paraId="416396A5" w14:textId="77777777" w:rsidR="00EA7C9E" w:rsidRDefault="0068040D">
            <w:pPr>
              <w:spacing w:after="100"/>
            </w:pPr>
            <w:r>
              <w:rPr>
                <w:rFonts w:ascii="Arial" w:eastAsia="Arial" w:hAnsi="Arial" w:cs="Arial"/>
                <w:sz w:val="18"/>
                <w:szCs w:val="18"/>
              </w:rPr>
              <w:t>IF a child resolves to O6 (Collect at the child's own Issuer ID) THEN retain only one row per unique URL, attributed to the child issuer, and note the hostname-match relationship. IF a child resolves to O4 (no Issuer ID) THEN no separate child row should exist at all — verify none was accidentally created during collection. IF a set of children resolves to O8 (multi-child, same-URL) THEN retain ONE row PER sibling child sharing that URL, each attributed to its own Issuer ID — these are not duplicates of each other and must not be deduplicated down to a single row or reassigned to the parent.</w:t>
            </w:r>
          </w:p>
        </w:tc>
      </w:tr>
    </w:tbl>
    <w:p w14:paraId="4FC077CA" w14:textId="77777777" w:rsidR="00EA7C9E" w:rsidRDefault="00EA7C9E">
      <w:pPr>
        <w:spacing w:after="100"/>
      </w:pPr>
    </w:p>
    <w:tbl>
      <w:tblPr>
        <w:tblW w:w="93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50"/>
      </w:tblGrid>
      <w:tr w:rsidR="00EA7C9E" w14:paraId="251E215D" w14:textId="77777777">
        <w:tc>
          <w:tcPr>
            <w:tcW w:w="9350" w:type="dxa"/>
            <w:tcBorders>
              <w:top w:val="single" w:sz="4" w:space="0" w:color="C9971F"/>
              <w:left w:val="single" w:sz="4" w:space="0" w:color="C9971F"/>
              <w:bottom w:val="single" w:sz="4" w:space="0" w:color="C9971F"/>
              <w:right w:val="single" w:sz="4" w:space="0" w:color="C9971F"/>
            </w:tcBorders>
            <w:shd w:val="clear" w:color="auto" w:fill="FFF8E7"/>
            <w:tcMar>
              <w:top w:w="140" w:type="dxa"/>
              <w:left w:w="160" w:type="dxa"/>
              <w:bottom w:w="140" w:type="dxa"/>
              <w:right w:w="160" w:type="dxa"/>
            </w:tcMar>
          </w:tcPr>
          <w:p w14:paraId="25C0585A" w14:textId="77777777" w:rsidR="00EA7C9E" w:rsidRDefault="0068040D">
            <w:pPr>
              <w:spacing w:after="80"/>
            </w:pPr>
            <w:r>
              <w:rPr>
                <w:b/>
                <w:highlight w:val="yellow"/>
              </w:rPr>
              <w:t>RULE 7.2 — N8 Folds (O9) Logged Separately from O5</w:t>
            </w:r>
          </w:p>
          <w:p w14:paraId="5F0A319C" w14:textId="77777777" w:rsidR="0091796C" w:rsidRDefault="00EE56CC">
            <w:r>
              <w:rPr>
                <w:highlight w:val="yellow"/>
              </w:rPr>
              <w:t>IF a child is folded into the Input Issuer's own collection by N8 (Financing Company/SPV, §3.2) THEN log it with failure_reason “child is Fin Co/SPV, folded into Input Issuer (N8)” — distinct from an O5 skip (no URL, or non-matching hostname), because O9 still results in collection (at the Input Issuer's URL) whereas O5 results in no collection at all for that child. Rated-child status (child_univ_source) does not receive separate treatment: a rated child that resolves to O5 or O9 is logged the same way as any other O5/O9 case (§3.5).</w:t>
            </w:r>
          </w:p>
        </w:tc>
      </w:tr>
    </w:tbl>
    <w:p w14:paraId="0FF2B1A6" w14:textId="77777777" w:rsidR="00EA7C9E" w:rsidRDefault="00EA7C9E">
      <w:pPr>
        <w:spacing w:after="100"/>
      </w:pPr>
    </w:p>
    <w:tbl>
      <w:tblPr>
        <w:tblW w:w="93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50"/>
      </w:tblGrid>
      <w:tr w:rsidR="00EA7C9E" w14:paraId="6B806406" w14:textId="77777777">
        <w:tc>
          <w:tcPr>
            <w:tcW w:w="9350" w:type="dxa"/>
            <w:tcBorders>
              <w:top w:val="single" w:sz="4" w:space="0" w:color="C9971F"/>
              <w:left w:val="single" w:sz="4" w:space="0" w:color="C9971F"/>
              <w:bottom w:val="single" w:sz="4" w:space="0" w:color="C9971F"/>
              <w:right w:val="single" w:sz="4" w:space="0" w:color="C9971F"/>
            </w:tcBorders>
            <w:shd w:val="clear" w:color="auto" w:fill="FFF8E7"/>
            <w:tcMar>
              <w:top w:w="140" w:type="dxa"/>
              <w:left w:w="160" w:type="dxa"/>
              <w:bottom w:w="140" w:type="dxa"/>
              <w:right w:w="160" w:type="dxa"/>
            </w:tcMar>
          </w:tcPr>
          <w:p w14:paraId="6C95DE01" w14:textId="77777777" w:rsidR="00EA7C9E" w:rsidRDefault="0068040D">
            <w:pPr>
              <w:spacing w:after="80"/>
            </w:pPr>
            <w:r>
              <w:rPr>
                <w:rFonts w:ascii="Calibri" w:eastAsia="Calibri" w:hAnsi="Calibri" w:cs="Calibri"/>
                <w:b/>
                <w:bCs/>
                <w:color w:val="1F3864"/>
                <w:sz w:val="18"/>
                <w:szCs w:val="18"/>
              </w:rPr>
              <w:t>RULE 7.3 — URL Union With Count Reconciliation</w:t>
            </w:r>
          </w:p>
          <w:p w14:paraId="4C72CF1D" w14:textId="77777777" w:rsidR="00EA7C9E" w:rsidRDefault="0068040D">
            <w:pPr>
              <w:spacing w:after="100"/>
            </w:pPr>
            <w:r>
              <w:rPr>
                <w:rFonts w:ascii="Arial" w:eastAsia="Arial" w:hAnsi="Arial" w:cs="Arial"/>
                <w:sz w:val="18"/>
                <w:szCs w:val="18"/>
              </w:rPr>
              <w:t>IF master and subset URLs appear to cover the same population THEN retain the URL set needed to reconcile counts. If a master source under-collects against observed counts, add subset pages or flag for review.</w:t>
            </w:r>
          </w:p>
        </w:tc>
      </w:tr>
    </w:tbl>
    <w:p w14:paraId="378A27E0" w14:textId="77777777" w:rsidR="00EA7C9E" w:rsidRDefault="00EA7C9E">
      <w:pPr>
        <w:spacing w:after="100"/>
      </w:pPr>
    </w:p>
    <w:p w14:paraId="4A289337" w14:textId="77777777" w:rsidR="00EA7C9E" w:rsidRDefault="0068040D">
      <w:pPr>
        <w:pStyle w:val="Heading2"/>
        <w:spacing w:before="260" w:after="120"/>
      </w:pPr>
      <w:r>
        <w:rPr>
          <w:rFonts w:ascii="Calibri" w:eastAsia="Calibri" w:hAnsi="Calibri" w:cs="Calibri"/>
          <w:b/>
          <w:bCs/>
          <w:color w:val="4F81BD"/>
          <w:sz w:val="24"/>
          <w:szCs w:val="24"/>
        </w:rPr>
        <w:t>7.3 Completeness QA Handoff</w:t>
      </w:r>
    </w:p>
    <w:p w14:paraId="11A492D4" w14:textId="77777777" w:rsidR="00EA7C9E" w:rsidRDefault="0068040D">
      <w:pPr>
        <w:spacing w:after="160"/>
      </w:pPr>
      <w:r>
        <w:rPr>
          <w:rFonts w:ascii="Arial" w:eastAsia="Arial" w:hAnsi="Arial" w:cs="Arial"/>
          <w:sz w:val="18"/>
          <w:szCs w:val="18"/>
        </w:rPr>
        <w:t>The Completeness QA step runs after the all_sources JSON is merged and deduplicated, and before extraction begins. Its purpose is to validate that the collection routing has produced a source set sufficient to support completeness assessment against the issuer's expected M2 asset types.</w:t>
      </w:r>
    </w:p>
    <w:p w14:paraId="71A18D6E" w14:textId="77777777" w:rsidR="00EA7C9E" w:rsidRDefault="0068040D">
      <w:pPr>
        <w:spacing w:after="160"/>
      </w:pPr>
      <w:r>
        <w:rPr>
          <w:rFonts w:ascii="Arial" w:eastAsia="Arial" w:hAnsi="Arial" w:cs="Arial"/>
          <w:sz w:val="18"/>
          <w:szCs w:val="18"/>
        </w:rPr>
        <w:t>Pre-conditions for handoff. The merged all_sources JSON must satisfy all of the following before it is handed to Completeness QA:</w:t>
      </w:r>
    </w:p>
    <w:p w14:paraId="5DBB9A90" w14:textId="77777777" w:rsidR="00EA7C9E" w:rsidRDefault="0068040D">
      <w:pPr>
        <w:spacing w:after="160"/>
      </w:pPr>
      <w:r>
        <w:rPr>
          <w:highlight w:val="yellow"/>
        </w:rPr>
        <w:t>1. Every entity row has an assigned outcome from O1–O6, O8, or O9 (§3.3). Rows still pending an O2 fallback resolution are not yet handoff-ready.</w:t>
      </w:r>
    </w:p>
    <w:p w14:paraId="01256BD8" w14:textId="77777777" w:rsidR="00EA7C9E" w:rsidRDefault="0068040D">
      <w:pPr>
        <w:spacing w:after="160"/>
      </w:pPr>
      <w:r>
        <w:rPr>
          <w:rFonts w:ascii="Arial" w:eastAsia="Arial" w:hAnsi="Arial" w:cs="Arial"/>
          <w:sz w:val="18"/>
          <w:szCs w:val="18"/>
        </w:rPr>
        <w:t>2. All O1/O5 skip rows and unresolved O2 rows are logged in the gap register with entity name, issuer_id (if available), and reason.</w:t>
      </w:r>
    </w:p>
    <w:p w14:paraId="13A6F5AB" w14:textId="77777777" w:rsidR="00EA7C9E" w:rsidRDefault="0068040D">
      <w:pPr>
        <w:spacing w:after="160"/>
      </w:pPr>
      <w:r>
        <w:rPr>
          <w:highlight w:val="yellow"/>
        </w:rPr>
        <w:t>3. All N8 folds (O9) are logged distinctly from O5 skips, per Rule 7.2.</w:t>
      </w:r>
    </w:p>
    <w:p w14:paraId="072B5D71" w14:textId="77777777" w:rsidR="00EA7C9E" w:rsidRDefault="0068040D">
      <w:pPr>
        <w:spacing w:after="160"/>
      </w:pPr>
      <w:r>
        <w:rPr>
          <w:rFonts w:ascii="Arial" w:eastAsia="Arial" w:hAnsi="Arial" w:cs="Arial"/>
          <w:sz w:val="18"/>
          <w:szCs w:val="18"/>
        </w:rPr>
        <w:lastRenderedPageBreak/>
        <w:t>4. Count reconciliation is documented for any master/subset URL pairs (Rule 7.3).</w:t>
      </w:r>
    </w:p>
    <w:p w14:paraId="25AC7F7F" w14:textId="77777777" w:rsidR="00EA7C9E" w:rsidRDefault="0068040D">
      <w:pPr>
        <w:spacing w:after="160"/>
      </w:pPr>
      <w:r>
        <w:rPr>
          <w:rFonts w:ascii="Arial" w:eastAsia="Arial" w:hAnsi="Arial" w:cs="Arial"/>
          <w:sz w:val="18"/>
          <w:szCs w:val="18"/>
        </w:rPr>
        <w:t>5. No duplicate URLs exist across Input Issuer and child (O6) collection rows (Rule 7.1).</w:t>
      </w:r>
    </w:p>
    <w:p w14:paraId="65A3F93F" w14:textId="77777777" w:rsidR="00EA7C9E" w:rsidRDefault="0068040D">
      <w:pPr>
        <w:spacing w:after="160"/>
      </w:pPr>
      <w:r>
        <w:rPr>
          <w:rFonts w:ascii="Arial" w:eastAsia="Arial" w:hAnsi="Arial" w:cs="Arial"/>
          <w:sz w:val="18"/>
          <w:szCs w:val="18"/>
        </w:rPr>
        <w:t>6. All franchise, dealer, owned-property, and mortgage-exclusion decisions are recorded in the confidence_score / notes field.</w:t>
      </w:r>
    </w:p>
    <w:p w14:paraId="5E9DE0BB" w14:textId="77777777" w:rsidR="00EA7C9E" w:rsidRDefault="00EA7C9E">
      <w:pPr>
        <w:spacing w:after="100"/>
      </w:pPr>
    </w:p>
    <w:p w14:paraId="69C34B3C" w14:textId="77777777" w:rsidR="00EA7C9E" w:rsidRDefault="0068040D">
      <w:pPr>
        <w:spacing w:after="160"/>
      </w:pPr>
      <w:r>
        <w:rPr>
          <w:rFonts w:ascii="Arial" w:eastAsia="Arial" w:hAnsi="Arial" w:cs="Arial"/>
          <w:sz w:val="18"/>
          <w:szCs w:val="18"/>
        </w:rPr>
        <w:t>Completeness QA scope. Completeness QA checks whether the collected sources can reasonably support assessment of the issuer's expected M2 asset types. It does not extract asset records — that is the Extraction phase. If Completeness QA identifies a source gap for a weight-4/5 asset type (e.g., no Tier 1 or Tier 2 source exists), it flags the issue for the collection agent or escalates to the gap register per M2 Section 10.</w:t>
      </w:r>
    </w:p>
    <w:p w14:paraId="042A2CD2" w14:textId="77777777" w:rsidR="00EA7C9E" w:rsidRDefault="0068040D">
      <w:pPr>
        <w:spacing w:after="160"/>
      </w:pPr>
      <w:r>
        <w:rPr>
          <w:rFonts w:ascii="Arial" w:eastAsia="Arial" w:hAnsi="Arial" w:cs="Arial"/>
          <w:sz w:val="18"/>
          <w:szCs w:val="18"/>
        </w:rPr>
        <w:t>Passing condition. Handoff to Extraction is approved when all M2 weight-4/5 asset types either have a qualifying source in all_sources, or are documented as gap-filled, Flag Gap, or Not Disclosed per M2 rules. Partially-collected weight-3 types may proceed with a partial-collection flag in the notes field.</w:t>
      </w:r>
    </w:p>
    <w:p w14:paraId="6106169B" w14:textId="77777777" w:rsidR="00EA7C9E" w:rsidRDefault="0068040D">
      <w:pPr>
        <w:spacing w:after="160"/>
      </w:pPr>
      <w:r>
        <w:rPr>
          <w:highlight w:val="yellow"/>
        </w:rPr>
        <w:t>Gap Register Schema. The gap register is a separate structured log (JSON or CSV) with the following minimum fields per row: entity_name (string), issuer_id (string, if available), input_issuer_id (string), gap_date (ISO 8601), last_known_source (URL or null), failure_reason (string — e.g. “issuer_url absent — no derivable source (RULE N3/O2 exhausted)”, “issuer_url candidate found, attribution unconfirmed (RULE N3/O2, Rule 5.1)”, “child is Fin Co/SPV, folded into Input Issuer (N8)”, “no URL found”, or “URL inaccessible”). One row per O1 outcome, per N8 fold (O9), per O5 outcome, and per unresolved O2 case. This register feeds into M6 for event-triggered re-collection.</w:t>
      </w:r>
    </w:p>
    <w:p w14:paraId="419E197E" w14:textId="77777777" w:rsidR="00EA7C9E" w:rsidRDefault="00EA7C9E">
      <w:pPr>
        <w:spacing w:after="100"/>
      </w:pPr>
    </w:p>
    <w:tbl>
      <w:tblPr>
        <w:tblW w:w="93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6750"/>
      </w:tblGrid>
      <w:tr w:rsidR="00EA7C9E" w14:paraId="1CF9FA37"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944C0CD" w14:textId="77777777" w:rsidR="00EA7C9E" w:rsidRDefault="0068040D">
            <w:r>
              <w:rPr>
                <w:rFonts w:ascii="Arial" w:eastAsia="Arial" w:hAnsi="Arial" w:cs="Arial"/>
                <w:b/>
                <w:bCs/>
                <w:color w:val="FFFFFF"/>
                <w:sz w:val="17"/>
                <w:szCs w:val="17"/>
              </w:rPr>
              <w:t>Handoff Item</w:t>
            </w:r>
          </w:p>
        </w:tc>
        <w:tc>
          <w:tcPr>
            <w:tcW w:w="67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DA56400" w14:textId="77777777" w:rsidR="00EA7C9E" w:rsidRDefault="0068040D">
            <w:r>
              <w:rPr>
                <w:rFonts w:ascii="Arial" w:eastAsia="Arial" w:hAnsi="Arial" w:cs="Arial"/>
                <w:b/>
                <w:bCs/>
                <w:color w:val="FFFFFF"/>
                <w:sz w:val="17"/>
                <w:szCs w:val="17"/>
              </w:rPr>
              <w:t>Required Content</w:t>
            </w:r>
          </w:p>
        </w:tc>
      </w:tr>
      <w:tr w:rsidR="00EA7C9E" w14:paraId="56B13D18" w14:textId="77777777">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D00DBE2" w14:textId="77777777" w:rsidR="00EA7C9E" w:rsidRDefault="0068040D">
            <w:r>
              <w:rPr>
                <w:rFonts w:ascii="Arial" w:eastAsia="Arial" w:hAnsi="Arial" w:cs="Arial"/>
                <w:color w:val="000000"/>
                <w:sz w:val="17"/>
                <w:szCs w:val="17"/>
              </w:rPr>
              <w:t>Merged all_sources JSON</w:t>
            </w:r>
          </w:p>
        </w:tc>
        <w:tc>
          <w:tcPr>
            <w:tcW w:w="6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5004703" w14:textId="77777777" w:rsidR="00EA7C9E" w:rsidRDefault="0068040D">
            <w:r>
              <w:t>Deduplicated Input Issuer and child (O6) source rows with routing notes.</w:t>
            </w:r>
          </w:p>
        </w:tc>
      </w:tr>
      <w:tr w:rsidR="00EA7C9E" w14:paraId="275A07D3" w14:textId="77777777">
        <w:tc>
          <w:tcPr>
            <w:tcW w:w="26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688196FC" w14:textId="77777777" w:rsidR="00EA7C9E" w:rsidRDefault="0068040D">
            <w:r>
              <w:rPr>
                <w:rFonts w:ascii="Arial" w:eastAsia="Arial" w:hAnsi="Arial" w:cs="Arial"/>
                <w:color w:val="000000"/>
                <w:sz w:val="17"/>
                <w:szCs w:val="17"/>
              </w:rPr>
              <w:t>Gap register</w:t>
            </w:r>
          </w:p>
        </w:tc>
        <w:tc>
          <w:tcPr>
            <w:tcW w:w="675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4E8A3682" w14:textId="77777777" w:rsidR="00EA7C9E" w:rsidRDefault="0068040D">
            <w:r>
              <w:rPr>
                <w:highlight w:val="yellow"/>
              </w:rPr>
              <w:t>Skipped/unresolved entities, failed access URLs, N8 folds (O9), and sources requiring event-triggered follow-up.</w:t>
            </w:r>
          </w:p>
        </w:tc>
      </w:tr>
      <w:tr w:rsidR="00EA7C9E" w14:paraId="156A0B1A" w14:textId="77777777">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3EAE106" w14:textId="77777777" w:rsidR="00EA7C9E" w:rsidRDefault="0068040D">
            <w:r>
              <w:rPr>
                <w:rFonts w:ascii="Arial" w:eastAsia="Arial" w:hAnsi="Arial" w:cs="Arial"/>
                <w:color w:val="000000"/>
                <w:sz w:val="17"/>
                <w:szCs w:val="17"/>
              </w:rPr>
              <w:t>Client-response flags</w:t>
            </w:r>
          </w:p>
        </w:tc>
        <w:tc>
          <w:tcPr>
            <w:tcW w:w="6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4C785F0" w14:textId="77777777" w:rsidR="00EA7C9E" w:rsidRDefault="0068040D">
            <w:r>
              <w:rPr>
                <w:rFonts w:ascii="Arial" w:eastAsia="Arial" w:hAnsi="Arial" w:cs="Arial"/>
                <w:color w:val="000000"/>
                <w:sz w:val="17"/>
                <w:szCs w:val="17"/>
              </w:rPr>
              <w:t>Any rule applied from client responses, especially franchise/dealer exclusions, owned property inclusions, or asset granularity decisions.</w:t>
            </w:r>
          </w:p>
        </w:tc>
      </w:tr>
      <w:tr w:rsidR="00EA7C9E" w14:paraId="1A627FB1" w14:textId="77777777">
        <w:tc>
          <w:tcPr>
            <w:tcW w:w="26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20389FCA" w14:textId="77777777" w:rsidR="00EA7C9E" w:rsidRDefault="0068040D">
            <w:r>
              <w:rPr>
                <w:rFonts w:ascii="Arial" w:eastAsia="Arial" w:hAnsi="Arial" w:cs="Arial"/>
                <w:color w:val="000000"/>
                <w:sz w:val="17"/>
                <w:szCs w:val="17"/>
              </w:rPr>
              <w:t>Count reconciliation notes</w:t>
            </w:r>
          </w:p>
        </w:tc>
        <w:tc>
          <w:tcPr>
            <w:tcW w:w="675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3756DCD4" w14:textId="77777777" w:rsidR="00EA7C9E" w:rsidRDefault="0068040D">
            <w:r>
              <w:rPr>
                <w:rFonts w:ascii="Arial" w:eastAsia="Arial" w:hAnsi="Arial" w:cs="Arial"/>
                <w:color w:val="000000"/>
                <w:sz w:val="17"/>
                <w:szCs w:val="17"/>
              </w:rPr>
              <w:t>Observed source counts, delivered/expected count differences, and partial-collection flags.</w:t>
            </w:r>
          </w:p>
        </w:tc>
      </w:tr>
      <w:tr w:rsidR="00EA7C9E" w14:paraId="21AB5BAB" w14:textId="77777777">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FC97880" w14:textId="77777777" w:rsidR="00EA7C9E" w:rsidRDefault="0068040D">
            <w:r>
              <w:rPr>
                <w:rFonts w:ascii="Arial" w:eastAsia="Arial" w:hAnsi="Arial" w:cs="Arial"/>
                <w:color w:val="000000"/>
                <w:sz w:val="17"/>
                <w:szCs w:val="17"/>
              </w:rPr>
              <w:t>Source provenance</w:t>
            </w:r>
          </w:p>
        </w:tc>
        <w:tc>
          <w:tcPr>
            <w:tcW w:w="6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F20A01C" w14:textId="77777777" w:rsidR="00EA7C9E" w:rsidRDefault="0068040D">
            <w:r>
              <w:rPr>
                <w:rFonts w:ascii="Arial" w:eastAsia="Arial" w:hAnsi="Arial" w:cs="Arial"/>
                <w:color w:val="000000"/>
                <w:sz w:val="17"/>
                <w:szCs w:val="17"/>
              </w:rPr>
              <w:t>Primary source URLs and filing/report pages used for each routed entity.</w:t>
            </w:r>
          </w:p>
        </w:tc>
      </w:tr>
    </w:tbl>
    <w:p w14:paraId="45E86E96" w14:textId="77777777" w:rsidR="00EA7C9E" w:rsidRDefault="00EA7C9E">
      <w:pPr>
        <w:spacing w:after="100"/>
      </w:pPr>
    </w:p>
    <w:p w14:paraId="00E74491" w14:textId="77777777" w:rsidR="00EA7C9E" w:rsidRDefault="0068040D">
      <w:pPr>
        <w:pStyle w:val="Heading1"/>
        <w:spacing w:before="360" w:after="160"/>
      </w:pPr>
      <w:r>
        <w:rPr>
          <w:rFonts w:ascii="Calibri" w:eastAsia="Calibri" w:hAnsi="Calibri" w:cs="Calibri"/>
          <w:b/>
          <w:bCs/>
          <w:color w:val="365F91"/>
          <w:sz w:val="28"/>
          <w:szCs w:val="28"/>
        </w:rPr>
        <w:t>8. Application Procedure</w:t>
      </w:r>
    </w:p>
    <w:tbl>
      <w:tblPr>
        <w:tblW w:w="93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50"/>
      </w:tblGrid>
      <w:tr w:rsidR="00EA7C9E" w14:paraId="4EDF031C" w14:textId="77777777">
        <w:tc>
          <w:tcPr>
            <w:tcW w:w="9350" w:type="dxa"/>
            <w:tcBorders>
              <w:top w:val="single" w:sz="4" w:space="0" w:color="C9971F"/>
              <w:left w:val="single" w:sz="4" w:space="0" w:color="C9971F"/>
              <w:bottom w:val="single" w:sz="4" w:space="0" w:color="C9971F"/>
              <w:right w:val="single" w:sz="4" w:space="0" w:color="C9971F"/>
            </w:tcBorders>
            <w:shd w:val="clear" w:color="auto" w:fill="FFF8E7"/>
            <w:tcMar>
              <w:top w:w="140" w:type="dxa"/>
              <w:left w:w="160" w:type="dxa"/>
              <w:bottom w:w="140" w:type="dxa"/>
              <w:right w:w="160" w:type="dxa"/>
            </w:tcMar>
          </w:tcPr>
          <w:p w14:paraId="433E1A82" w14:textId="77777777" w:rsidR="00EA7C9E" w:rsidRDefault="0068040D">
            <w:pPr>
              <w:spacing w:after="80"/>
            </w:pPr>
            <w:r>
              <w:rPr>
                <w:rFonts w:ascii="Calibri" w:eastAsia="Calibri" w:hAnsi="Calibri" w:cs="Calibri"/>
                <w:b/>
                <w:bCs/>
                <w:color w:val="1F3864"/>
                <w:sz w:val="18"/>
                <w:szCs w:val="18"/>
              </w:rPr>
              <w:t>AGENT INSTRUCTIONS — START HERE</w:t>
            </w:r>
          </w:p>
          <w:p w14:paraId="408BD108" w14:textId="77777777" w:rsidR="00EA7C9E" w:rsidRDefault="0068040D">
            <w:pPr>
              <w:spacing w:after="100"/>
            </w:pPr>
            <w:r>
              <w:rPr>
                <w:rFonts w:ascii="Arial" w:eastAsia="Arial" w:hAnsi="Arial" w:cs="Arial"/>
                <w:sz w:val="18"/>
                <w:szCs w:val="18"/>
              </w:rPr>
              <w:t>Execute the steps in order. Do not search for child asset pages before the Input Issuer gate and child routing outcomes are known. Do not infer locations from non-owned third-party pages. Do not invent URLs or asset counts when the M2 fallback (O2) fails.</w:t>
            </w:r>
          </w:p>
        </w:tc>
      </w:tr>
    </w:tbl>
    <w:p w14:paraId="5C8735E4" w14:textId="77777777" w:rsidR="00EA7C9E" w:rsidRDefault="00EA7C9E">
      <w:pPr>
        <w:spacing w:after="100"/>
      </w:pPr>
    </w:p>
    <w:tbl>
      <w:tblPr>
        <w:tblW w:w="93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0"/>
        <w:gridCol w:w="4400"/>
        <w:gridCol w:w="4200"/>
      </w:tblGrid>
      <w:tr w:rsidR="00EA7C9E" w14:paraId="39F21A22"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A2B5B2C" w14:textId="77777777" w:rsidR="00EA7C9E" w:rsidRDefault="0068040D">
            <w:r>
              <w:rPr>
                <w:rFonts w:ascii="Arial" w:eastAsia="Arial" w:hAnsi="Arial" w:cs="Arial"/>
                <w:b/>
                <w:bCs/>
                <w:color w:val="FFFFFF"/>
                <w:sz w:val="17"/>
                <w:szCs w:val="17"/>
              </w:rPr>
              <w:t>Step</w:t>
            </w:r>
          </w:p>
        </w:tc>
        <w:tc>
          <w:tcPr>
            <w:tcW w:w="4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C557DAC" w14:textId="77777777" w:rsidR="00EA7C9E" w:rsidRDefault="0068040D">
            <w:r>
              <w:rPr>
                <w:rFonts w:ascii="Arial" w:eastAsia="Arial" w:hAnsi="Arial" w:cs="Arial"/>
                <w:b/>
                <w:bCs/>
                <w:color w:val="FFFFFF"/>
                <w:sz w:val="17"/>
                <w:szCs w:val="17"/>
              </w:rPr>
              <w:t>Checklist Item</w:t>
            </w:r>
          </w:p>
        </w:tc>
        <w:tc>
          <w:tcPr>
            <w:tcW w:w="4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6C335C1" w14:textId="77777777" w:rsidR="00EA7C9E" w:rsidRDefault="0068040D">
            <w:r>
              <w:rPr>
                <w:rFonts w:ascii="Arial" w:eastAsia="Arial" w:hAnsi="Arial" w:cs="Arial"/>
                <w:b/>
                <w:bCs/>
                <w:color w:val="FFFFFF"/>
                <w:sz w:val="17"/>
                <w:szCs w:val="17"/>
              </w:rPr>
              <w:t>Evidence of Completion</w:t>
            </w:r>
          </w:p>
        </w:tc>
      </w:tr>
      <w:tr w:rsidR="00EA7C9E" w14:paraId="2C5BD691" w14:textId="77777777">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7E16F48" w14:textId="77777777" w:rsidR="00EA7C9E" w:rsidRDefault="0068040D">
            <w:r>
              <w:rPr>
                <w:rFonts w:ascii="Arial" w:eastAsia="Arial" w:hAnsi="Arial" w:cs="Arial"/>
                <w:color w:val="000000"/>
                <w:sz w:val="17"/>
                <w:szCs w:val="17"/>
              </w:rPr>
              <w:t>1</w:t>
            </w:r>
          </w:p>
        </w:tc>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E76EA55" w14:textId="77777777" w:rsidR="00EA7C9E" w:rsidRDefault="0068040D">
            <w:r>
              <w:rPr>
                <w:rFonts w:ascii="Arial" w:eastAsia="Arial" w:hAnsi="Arial" w:cs="Arial"/>
                <w:color w:val="000000"/>
                <w:sz w:val="17"/>
                <w:szCs w:val="17"/>
              </w:rPr>
              <w:t>Load M1/M2 context and the issuer's GICS sub-industry taxonomy.</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3089C29" w14:textId="77777777" w:rsidR="00EA7C9E" w:rsidRDefault="0068040D">
            <w:r>
              <w:rPr>
                <w:rFonts w:ascii="Arial" w:eastAsia="Arial" w:hAnsi="Arial" w:cs="Arial"/>
                <w:color w:val="000000"/>
                <w:sz w:val="17"/>
                <w:szCs w:val="17"/>
              </w:rPr>
              <w:t>GICS sub-industry and M2 asset expectations recorded.</w:t>
            </w:r>
          </w:p>
        </w:tc>
      </w:tr>
      <w:tr w:rsidR="00EA7C9E" w14:paraId="33E87D0C" w14:textId="77777777">
        <w:tc>
          <w:tcPr>
            <w:tcW w:w="7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5A435450" w14:textId="77777777" w:rsidR="00EA7C9E" w:rsidRDefault="0068040D">
            <w:r>
              <w:rPr>
                <w:rFonts w:ascii="Arial" w:eastAsia="Arial" w:hAnsi="Arial" w:cs="Arial"/>
                <w:color w:val="000000"/>
                <w:sz w:val="17"/>
                <w:szCs w:val="17"/>
              </w:rPr>
              <w:t>2</w:t>
            </w:r>
          </w:p>
        </w:tc>
        <w:tc>
          <w:tcPr>
            <w:tcW w:w="44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64066085" w14:textId="77777777" w:rsidR="00EA7C9E" w:rsidRDefault="0068040D">
            <w:r>
              <w:rPr>
                <w:rFonts w:ascii="Arial" w:eastAsia="Arial" w:hAnsi="Arial" w:cs="Arial"/>
                <w:color w:val="000000"/>
                <w:sz w:val="17"/>
                <w:szCs w:val="17"/>
              </w:rPr>
              <w:t>Validate input fields: Parent URL, issuer subtype, child Issuer IDs, child URLs.</w:t>
            </w:r>
          </w:p>
        </w:tc>
        <w:tc>
          <w:tcPr>
            <w:tcW w:w="42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63B1B7E3" w14:textId="77777777" w:rsidR="00EA7C9E" w:rsidRDefault="0068040D">
            <w:r>
              <w:rPr>
                <w:rFonts w:ascii="Arial" w:eastAsia="Arial" w:hAnsi="Arial" w:cs="Arial"/>
                <w:color w:val="000000"/>
                <w:sz w:val="17"/>
                <w:szCs w:val="17"/>
              </w:rPr>
              <w:t>Missing inputs documented before routing.</w:t>
            </w:r>
          </w:p>
        </w:tc>
      </w:tr>
      <w:tr w:rsidR="00EA7C9E" w14:paraId="776AA420" w14:textId="77777777">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911F951" w14:textId="77777777" w:rsidR="00EA7C9E" w:rsidRDefault="0068040D">
            <w:r>
              <w:rPr>
                <w:rFonts w:ascii="Arial" w:eastAsia="Arial" w:hAnsi="Arial" w:cs="Arial"/>
                <w:color w:val="000000"/>
                <w:sz w:val="17"/>
                <w:szCs w:val="17"/>
              </w:rPr>
              <w:t>3</w:t>
            </w:r>
          </w:p>
        </w:tc>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1968EF6" w14:textId="77777777" w:rsidR="00EA7C9E" w:rsidRDefault="0068040D">
            <w:r>
              <w:rPr>
                <w:rFonts w:ascii="Arial" w:eastAsia="Arial" w:hAnsi="Arial" w:cs="Arial"/>
                <w:color w:val="000000"/>
                <w:sz w:val="17"/>
                <w:szCs w:val="17"/>
              </w:rPr>
              <w:t>Run N2–N4 for the Input Issuer.</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7F75AFE" w14:textId="77777777" w:rsidR="00EA7C9E" w:rsidRDefault="0068040D">
            <w:r>
              <w:rPr>
                <w:highlight w:val="yellow"/>
              </w:rPr>
              <w:t>Input Issuer resolved to O1, O2, or O3 (or continues to N5 per child if it has children).</w:t>
            </w:r>
          </w:p>
        </w:tc>
      </w:tr>
      <w:tr w:rsidR="00EA7C9E" w14:paraId="00CDDBC0" w14:textId="77777777">
        <w:tc>
          <w:tcPr>
            <w:tcW w:w="7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5127685E" w14:textId="77777777" w:rsidR="00EA7C9E" w:rsidRDefault="0068040D">
            <w:r>
              <w:rPr>
                <w:rFonts w:ascii="Arial" w:eastAsia="Arial" w:hAnsi="Arial" w:cs="Arial"/>
                <w:color w:val="000000"/>
                <w:sz w:val="17"/>
                <w:szCs w:val="17"/>
              </w:rPr>
              <w:t>4</w:t>
            </w:r>
          </w:p>
        </w:tc>
        <w:tc>
          <w:tcPr>
            <w:tcW w:w="44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6FDBCB04" w14:textId="77777777" w:rsidR="00EA7C9E" w:rsidRDefault="0068040D">
            <w:r>
              <w:rPr>
                <w:highlight w:val="yellow"/>
              </w:rPr>
              <w:t>Run N5–N7 (and N7a where applicable), then N8, for every child of an in-scope Input Issuer.</w:t>
            </w:r>
          </w:p>
        </w:tc>
        <w:tc>
          <w:tcPr>
            <w:tcW w:w="42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5E0855BB" w14:textId="77777777" w:rsidR="00EA7C9E" w:rsidRDefault="0068040D">
            <w:r>
              <w:rPr>
                <w:highlight w:val="yellow"/>
              </w:rPr>
              <w:t>Each child resolved to O4, O5, O6, O8, or O9.</w:t>
            </w:r>
          </w:p>
        </w:tc>
      </w:tr>
      <w:tr w:rsidR="00EA7C9E" w14:paraId="708AC323" w14:textId="77777777">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4740F0B" w14:textId="77777777" w:rsidR="00EA7C9E" w:rsidRDefault="0068040D">
            <w:r>
              <w:rPr>
                <w:rFonts w:ascii="Arial" w:eastAsia="Arial" w:hAnsi="Arial" w:cs="Arial"/>
                <w:color w:val="000000"/>
                <w:sz w:val="17"/>
                <w:szCs w:val="17"/>
              </w:rPr>
              <w:t>5</w:t>
            </w:r>
          </w:p>
        </w:tc>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371FEFA" w14:textId="77777777" w:rsidR="00EA7C9E" w:rsidRDefault="0068040D">
            <w:r>
              <w:rPr>
                <w:rFonts w:ascii="Arial" w:eastAsia="Arial" w:hAnsi="Arial" w:cs="Arial"/>
                <w:color w:val="000000"/>
                <w:sz w:val="17"/>
                <w:szCs w:val="17"/>
              </w:rPr>
              <w:t>Where N3 returned No, run the M2 fallback (Rule N3) and re-enter N3 if a URL is resolved.</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74F8413" w14:textId="77777777" w:rsidR="00EA7C9E" w:rsidRDefault="0068040D">
            <w:r>
              <w:rPr>
                <w:rFonts w:ascii="Arial" w:eastAsia="Arial" w:hAnsi="Arial" w:cs="Arial"/>
                <w:color w:val="000000"/>
                <w:sz w:val="17"/>
                <w:szCs w:val="17"/>
              </w:rPr>
              <w:t>child_url or issuer URL populated, or gap logged per §3.5.</w:t>
            </w:r>
          </w:p>
        </w:tc>
      </w:tr>
      <w:tr w:rsidR="00EA7C9E" w14:paraId="0FC2248F" w14:textId="77777777">
        <w:tc>
          <w:tcPr>
            <w:tcW w:w="7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166D07AF" w14:textId="77777777" w:rsidR="00EA7C9E" w:rsidRDefault="0068040D">
            <w:r>
              <w:rPr>
                <w:rFonts w:ascii="Arial" w:eastAsia="Arial" w:hAnsi="Arial" w:cs="Arial"/>
                <w:color w:val="000000"/>
                <w:sz w:val="17"/>
                <w:szCs w:val="17"/>
              </w:rPr>
              <w:lastRenderedPageBreak/>
              <w:t>6</w:t>
            </w:r>
          </w:p>
        </w:tc>
        <w:tc>
          <w:tcPr>
            <w:tcW w:w="44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6FCC82B0" w14:textId="77777777" w:rsidR="00EA7C9E" w:rsidRDefault="0068040D">
            <w:r>
              <w:rPr>
                <w:highlight w:val="yellow"/>
              </w:rPr>
              <w:t>Collect URLs only for routed outcomes: O3, O4, O9 (no separate action — verify no row created), or O6, O8.</w:t>
            </w:r>
          </w:p>
        </w:tc>
        <w:tc>
          <w:tcPr>
            <w:tcW w:w="42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13BE8A09" w14:textId="77777777" w:rsidR="00EA7C9E" w:rsidRDefault="0068040D">
            <w:r>
              <w:rPr>
                <w:rFonts w:ascii="Arial" w:eastAsia="Arial" w:hAnsi="Arial" w:cs="Arial"/>
                <w:color w:val="000000"/>
                <w:sz w:val="17"/>
                <w:szCs w:val="17"/>
              </w:rPr>
              <w:t>Source URLs opened and verified per Rule 5.1.</w:t>
            </w:r>
          </w:p>
        </w:tc>
      </w:tr>
      <w:tr w:rsidR="00EA7C9E" w14:paraId="3898E773" w14:textId="77777777">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60138A6" w14:textId="77777777" w:rsidR="00EA7C9E" w:rsidRDefault="0068040D">
            <w:r>
              <w:rPr>
                <w:rFonts w:ascii="Arial" w:eastAsia="Arial" w:hAnsi="Arial" w:cs="Arial"/>
                <w:color w:val="000000"/>
                <w:sz w:val="17"/>
                <w:szCs w:val="17"/>
              </w:rPr>
              <w:t>7</w:t>
            </w:r>
          </w:p>
        </w:tc>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7E702B6" w14:textId="77777777" w:rsidR="00EA7C9E" w:rsidRDefault="0068040D">
            <w:r>
              <w:rPr>
                <w:rFonts w:ascii="Arial" w:eastAsia="Arial" w:hAnsi="Arial" w:cs="Arial"/>
                <w:color w:val="000000"/>
                <w:sz w:val="17"/>
                <w:szCs w:val="17"/>
              </w:rPr>
              <w:t>Apply source confidence tier and page_type classification (M2).</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45FC1C2" w14:textId="77777777" w:rsidR="00EA7C9E" w:rsidRDefault="0068040D">
            <w:r>
              <w:rPr>
                <w:rFonts w:ascii="Arial" w:eastAsia="Arial" w:hAnsi="Arial" w:cs="Arial"/>
                <w:color w:val="000000"/>
                <w:sz w:val="17"/>
                <w:szCs w:val="17"/>
              </w:rPr>
              <w:t>source_tier and page_type populated for each URL.</w:t>
            </w:r>
          </w:p>
        </w:tc>
      </w:tr>
      <w:tr w:rsidR="00EA7C9E" w14:paraId="1EA83E0B" w14:textId="77777777">
        <w:tc>
          <w:tcPr>
            <w:tcW w:w="7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5CF3F48D" w14:textId="77777777" w:rsidR="00EA7C9E" w:rsidRDefault="0068040D">
            <w:r>
              <w:rPr>
                <w:rFonts w:ascii="Arial" w:eastAsia="Arial" w:hAnsi="Arial" w:cs="Arial"/>
                <w:color w:val="000000"/>
                <w:sz w:val="17"/>
                <w:szCs w:val="17"/>
              </w:rPr>
              <w:t>8</w:t>
            </w:r>
          </w:p>
        </w:tc>
        <w:tc>
          <w:tcPr>
            <w:tcW w:w="44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15F9B3E5" w14:textId="77777777" w:rsidR="00EA7C9E" w:rsidRDefault="0068040D">
            <w:r>
              <w:rPr>
                <w:rFonts w:ascii="Arial" w:eastAsia="Arial" w:hAnsi="Arial" w:cs="Arial"/>
                <w:color w:val="000000"/>
                <w:sz w:val="17"/>
                <w:szCs w:val="17"/>
              </w:rPr>
              <w:t>Apply ownership/control and exclusion rules (Section 6).</w:t>
            </w:r>
          </w:p>
        </w:tc>
        <w:tc>
          <w:tcPr>
            <w:tcW w:w="42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27771689" w14:textId="77777777" w:rsidR="00EA7C9E" w:rsidRDefault="0068040D">
            <w:r>
              <w:rPr>
                <w:rFonts w:ascii="Arial" w:eastAsia="Arial" w:hAnsi="Arial" w:cs="Arial"/>
                <w:color w:val="000000"/>
                <w:sz w:val="17"/>
                <w:szCs w:val="17"/>
              </w:rPr>
              <w:t>Franchise/dealer/brokerage/completed-project decisions documented.</w:t>
            </w:r>
          </w:p>
        </w:tc>
      </w:tr>
      <w:tr w:rsidR="00EA7C9E" w14:paraId="2E493BC0" w14:textId="77777777">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760EF48" w14:textId="77777777" w:rsidR="00EA7C9E" w:rsidRDefault="0068040D">
            <w:r>
              <w:rPr>
                <w:rFonts w:ascii="Arial" w:eastAsia="Arial" w:hAnsi="Arial" w:cs="Arial"/>
                <w:color w:val="000000"/>
                <w:sz w:val="17"/>
                <w:szCs w:val="17"/>
              </w:rPr>
              <w:t>9</w:t>
            </w:r>
          </w:p>
        </w:tc>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CC87B58" w14:textId="77777777" w:rsidR="00EA7C9E" w:rsidRDefault="0068040D">
            <w:r>
              <w:rPr>
                <w:rFonts w:ascii="Arial" w:eastAsia="Arial" w:hAnsi="Arial" w:cs="Arial"/>
                <w:color w:val="000000"/>
                <w:sz w:val="17"/>
                <w:szCs w:val="17"/>
              </w:rPr>
              <w:t>Deduplicate Input-Issuer/child and master/subset URL overlaps (Rules 7.1–7.3).</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2309ECF" w14:textId="77777777" w:rsidR="00EA7C9E" w:rsidRDefault="0068040D">
            <w:r>
              <w:rPr>
                <w:rFonts w:ascii="Arial" w:eastAsia="Arial" w:hAnsi="Arial" w:cs="Arial"/>
                <w:color w:val="000000"/>
                <w:sz w:val="17"/>
                <w:szCs w:val="17"/>
              </w:rPr>
              <w:t>Retained URL set reconciles coverage and avoids duplicate child rows.</w:t>
            </w:r>
          </w:p>
        </w:tc>
      </w:tr>
      <w:tr w:rsidR="00EA7C9E" w14:paraId="4544601B" w14:textId="77777777">
        <w:tc>
          <w:tcPr>
            <w:tcW w:w="7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4A85F257" w14:textId="77777777" w:rsidR="00EA7C9E" w:rsidRDefault="0068040D">
            <w:r>
              <w:rPr>
                <w:rFonts w:ascii="Arial" w:eastAsia="Arial" w:hAnsi="Arial" w:cs="Arial"/>
                <w:color w:val="000000"/>
                <w:sz w:val="17"/>
                <w:szCs w:val="17"/>
              </w:rPr>
              <w:t>10</w:t>
            </w:r>
          </w:p>
        </w:tc>
        <w:tc>
          <w:tcPr>
            <w:tcW w:w="44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0FAED949" w14:textId="77777777" w:rsidR="00EA7C9E" w:rsidRDefault="0068040D">
            <w:r>
              <w:rPr>
                <w:rFonts w:ascii="Arial" w:eastAsia="Arial" w:hAnsi="Arial" w:cs="Arial"/>
                <w:color w:val="000000"/>
                <w:sz w:val="17"/>
                <w:szCs w:val="17"/>
              </w:rPr>
              <w:t>Prepare all_sources and gap register handoff (Section 7).</w:t>
            </w:r>
          </w:p>
        </w:tc>
        <w:tc>
          <w:tcPr>
            <w:tcW w:w="42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41D28BA7" w14:textId="77777777" w:rsidR="00EA7C9E" w:rsidRDefault="0068040D">
            <w:r>
              <w:rPr>
                <w:rFonts w:ascii="Arial" w:eastAsia="Arial" w:hAnsi="Arial" w:cs="Arial"/>
                <w:color w:val="000000"/>
                <w:sz w:val="17"/>
                <w:szCs w:val="17"/>
              </w:rPr>
              <w:t>Merged JSON and notes ready for Completeness QA.</w:t>
            </w:r>
          </w:p>
        </w:tc>
      </w:tr>
    </w:tbl>
    <w:p w14:paraId="6B27CEDD" w14:textId="77777777" w:rsidR="00EA7C9E" w:rsidRDefault="00EA7C9E">
      <w:pPr>
        <w:spacing w:after="100"/>
      </w:pPr>
    </w:p>
    <w:p w14:paraId="7137D311" w14:textId="77777777" w:rsidR="00EA7C9E" w:rsidRDefault="0068040D">
      <w:pPr>
        <w:pStyle w:val="Heading1"/>
        <w:spacing w:before="360" w:after="160"/>
      </w:pPr>
      <w:r>
        <w:rPr>
          <w:rFonts w:ascii="Calibri" w:eastAsia="Calibri" w:hAnsi="Calibri" w:cs="Calibri"/>
          <w:b/>
          <w:bCs/>
          <w:color w:val="365F91"/>
          <w:sz w:val="28"/>
          <w:szCs w:val="28"/>
        </w:rPr>
        <w:t>9. Edge Cases</w:t>
      </w:r>
    </w:p>
    <w:tbl>
      <w:tblPr>
        <w:tblW w:w="93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00"/>
        <w:gridCol w:w="6150"/>
      </w:tblGrid>
      <w:tr w:rsidR="00EA7C9E" w14:paraId="51A3395E" w14:textId="77777777">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5A92AD7" w14:textId="77777777" w:rsidR="00EA7C9E" w:rsidRDefault="0068040D">
            <w:r>
              <w:rPr>
                <w:rFonts w:ascii="Arial" w:eastAsia="Arial" w:hAnsi="Arial" w:cs="Arial"/>
                <w:b/>
                <w:bCs/>
                <w:color w:val="FFFFFF"/>
                <w:sz w:val="17"/>
                <w:szCs w:val="17"/>
              </w:rPr>
              <w:t>Edge Case</w:t>
            </w:r>
          </w:p>
        </w:tc>
        <w:tc>
          <w:tcPr>
            <w:tcW w:w="61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5DD30BA" w14:textId="77777777" w:rsidR="00EA7C9E" w:rsidRDefault="0068040D">
            <w:r>
              <w:rPr>
                <w:rFonts w:ascii="Arial" w:eastAsia="Arial" w:hAnsi="Arial" w:cs="Arial"/>
                <w:b/>
                <w:bCs/>
                <w:color w:val="FFFFFF"/>
                <w:sz w:val="17"/>
                <w:szCs w:val="17"/>
              </w:rPr>
              <w:t>Rule</w:t>
            </w:r>
          </w:p>
        </w:tc>
      </w:tr>
      <w:tr w:rsidR="00EA7C9E" w14:paraId="32C0CDFE"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DDCB744" w14:textId="77777777" w:rsidR="00EA7C9E" w:rsidRDefault="0068040D">
            <w:r>
              <w:rPr>
                <w:rFonts w:ascii="Arial" w:eastAsia="Arial" w:hAnsi="Arial" w:cs="Arial"/>
                <w:color w:val="000000"/>
                <w:sz w:val="17"/>
                <w:szCs w:val="17"/>
              </w:rPr>
              <w:t>Issuer is classified Other Corporate</w:t>
            </w:r>
          </w:p>
        </w:tc>
        <w:tc>
          <w:tcPr>
            <w:tcW w:w="61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76FB008" w14:textId="77777777" w:rsidR="00EA7C9E" w:rsidRDefault="0068040D">
            <w:r>
              <w:rPr>
                <w:highlight w:val="yellow"/>
              </w:rPr>
              <w:t>Continues past N2 like an OpCo — Other Corporate is not skipped at N2 (§2.2, §3.5); it is evaluated normally on URL (N3) and children (N4). This mirrors how an Other Corporate child has always been treated by N8, the child subtype gate (relocated after N7a). Example: Orient Overseas (International) Ltd (Other Corporate) and its operating subsidiary Orient Overseas Container Line Ltd (OpCo) both continue past N2 on their own, separate Input Issuer entries (their own N1 entries in the hierarchy).</w:t>
            </w:r>
          </w:p>
        </w:tc>
      </w:tr>
      <w:tr w:rsidR="00EA7C9E" w14:paraId="54D0E4CE" w14:textId="77777777">
        <w:tc>
          <w:tcPr>
            <w:tcW w:w="32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29AB4DC2" w14:textId="77777777" w:rsidR="00EA7C9E" w:rsidRDefault="0068040D">
            <w:r>
              <w:rPr>
                <w:rFonts w:ascii="Arial" w:eastAsia="Arial" w:hAnsi="Arial" w:cs="Arial"/>
                <w:color w:val="000000"/>
                <w:sz w:val="17"/>
                <w:szCs w:val="17"/>
              </w:rPr>
              <w:t>Input Issuer has no URL and M2 fallback fails</w:t>
            </w:r>
          </w:p>
        </w:tc>
        <w:tc>
          <w:tcPr>
            <w:tcW w:w="615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2BD2E611" w14:textId="77777777" w:rsidR="00EA7C9E" w:rsidRDefault="0068040D">
            <w:r>
              <w:rPr>
                <w:rFonts w:ascii="Arial" w:eastAsia="Arial" w:hAnsi="Arial" w:cs="Arial"/>
                <w:color w:val="000000"/>
                <w:sz w:val="17"/>
                <w:szCs w:val="17"/>
              </w:rPr>
              <w:t>Log a gap-register entry (§3.5, §7.3) and do not proceed to collection for this issuer. Do not fabricate a URL.</w:t>
            </w:r>
          </w:p>
        </w:tc>
      </w:tr>
      <w:tr w:rsidR="00EA7C9E" w14:paraId="6EAD86AA"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CE68960" w14:textId="77777777" w:rsidR="00EA7C9E" w:rsidRDefault="0068040D">
            <w:r>
              <w:rPr>
                <w:rFonts w:ascii="Arial" w:eastAsia="Arial" w:hAnsi="Arial" w:cs="Arial"/>
                <w:color w:val="000000"/>
                <w:sz w:val="17"/>
                <w:szCs w:val="17"/>
              </w:rPr>
              <w:t>Child is independently rated (CORE/ACWI/WORLD) with a distinct-hostname URL</w:t>
            </w:r>
          </w:p>
        </w:tc>
        <w:tc>
          <w:tcPr>
            <w:tcW w:w="61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3312035" w14:textId="77777777" w:rsidR="00EA7C9E" w:rsidRDefault="0068040D">
            <w:r>
              <w:rPr>
                <w:rFonts w:ascii="Arial" w:eastAsia="Arial" w:hAnsi="Arial" w:cs="Arial"/>
                <w:color w:val="000000"/>
                <w:sz w:val="17"/>
                <w:szCs w:val="17"/>
              </w:rPr>
              <w:t>Resolves via N7 → O5 (Skip), exactly like any non-rated child with a distinct hostname. This is a confirmed decision (§3.5), not a gap: rated status is not a routing factor anywhere in this tree, and no override or enrichment is attempted for it at this stage.</w:t>
            </w:r>
          </w:p>
        </w:tc>
      </w:tr>
      <w:tr w:rsidR="00EA7C9E" w14:paraId="1DBC1D6E" w14:textId="77777777">
        <w:tc>
          <w:tcPr>
            <w:tcW w:w="32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121419CD" w14:textId="77777777" w:rsidR="00EA7C9E" w:rsidRDefault="0068040D">
            <w:r>
              <w:rPr>
                <w:highlight w:val="yellow"/>
              </w:rPr>
              <w:t>Child hostname-matches the Input Issuer but is itself Financing Company or SPV</w:t>
            </w:r>
          </w:p>
        </w:tc>
        <w:tc>
          <w:tcPr>
            <w:tcW w:w="615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282E92A2" w14:textId="77777777" w:rsidR="00EA7C9E" w:rsidRDefault="0068040D">
            <w:r>
              <w:rPr>
                <w:highlight w:val="yellow"/>
              </w:rPr>
              <w:t>Resolves via N8 → O9 (fold into the Input Issuer's own collection), not a separate child row (§3.1, §3.2). If the child does NOT hostname-match at N7 in the first place, it resolves to O5 (Skip) before N8 is ever reached — N8 only runs for children that already survived N7/N7a.</w:t>
            </w:r>
          </w:p>
        </w:tc>
      </w:tr>
      <w:tr w:rsidR="00EA7C9E" w14:paraId="2053E52B"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4C1D0DD" w14:textId="77777777" w:rsidR="00EA7C9E" w:rsidRDefault="0068040D">
            <w:r>
              <w:rPr>
                <w:rFonts w:ascii="Arial" w:eastAsia="Arial" w:hAnsi="Arial" w:cs="Arial"/>
                <w:color w:val="000000"/>
                <w:sz w:val="17"/>
                <w:szCs w:val="17"/>
              </w:rPr>
              <w:t>Two or more children at the same hierarchy level share the exact same URL (e.g. IHG-style: 2+ subsidiary rows sharing ihg.com)</w:t>
            </w:r>
          </w:p>
        </w:tc>
        <w:tc>
          <w:tcPr>
            <w:tcW w:w="61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A768833" w14:textId="77777777" w:rsidR="00EA7C9E" w:rsidRDefault="0068040D">
            <w:r>
              <w:rPr>
                <w:rFonts w:ascii="Arial" w:eastAsia="Arial" w:hAnsi="Arial" w:cs="Arial"/>
                <w:color w:val="000000"/>
                <w:sz w:val="17"/>
                <w:szCs w:val="17"/>
              </w:rPr>
              <w:t>CONFIRMED via N7a/O8 (§3.1, §3.2, §3.5) — not out of scope. Collect the shared URL separately under EACH sibling child's own Issuer ID; do not default to the parent and do not merge into one row. Example: ihg.com registered as child_url for 2 IHG subsidiaries with no way to tell which owns it — collect under both child Issuer IDs individually (O8).</w:t>
            </w:r>
          </w:p>
        </w:tc>
      </w:tr>
      <w:tr w:rsidR="00EA7C9E" w14:paraId="167F2832" w14:textId="77777777">
        <w:tc>
          <w:tcPr>
            <w:tcW w:w="32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4D8B77E4" w14:textId="77777777" w:rsidR="00EA7C9E" w:rsidRDefault="0068040D">
            <w:r>
              <w:rPr>
                <w:rFonts w:ascii="Arial" w:eastAsia="Arial" w:hAnsi="Arial" w:cs="Arial"/>
                <w:color w:val="000000"/>
                <w:sz w:val="17"/>
                <w:szCs w:val="17"/>
              </w:rPr>
              <w:t>Child URL shares the Input Issuer's hostname but differs only by path (e.g. a country-code path segment)</w:t>
            </w:r>
          </w:p>
        </w:tc>
        <w:tc>
          <w:tcPr>
            <w:tcW w:w="615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7A83346D" w14:textId="77777777" w:rsidR="00EA7C9E" w:rsidRDefault="0068040D">
            <w:r>
              <w:rPr>
                <w:rFonts w:ascii="Arial" w:eastAsia="Arial" w:hAnsi="Arial" w:cs="Arial"/>
                <w:color w:val="000000"/>
                <w:sz w:val="17"/>
                <w:szCs w:val="17"/>
              </w:rPr>
              <w:t>N7 is a hostname-level, path-agnostic comparison — this still continues Yes → N7a → (ordinarily) O6. Do not treat a path-only difference as a distinct URL.</w:t>
            </w:r>
          </w:p>
        </w:tc>
      </w:tr>
      <w:tr w:rsidR="00EA7C9E" w14:paraId="64BAE4F4"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735BD8A" w14:textId="77777777" w:rsidR="00EA7C9E" w:rsidRDefault="0068040D">
            <w:r>
              <w:rPr>
                <w:rFonts w:ascii="Arial" w:eastAsia="Arial" w:hAnsi="Arial" w:cs="Arial"/>
                <w:color w:val="000000"/>
                <w:sz w:val="17"/>
                <w:szCs w:val="17"/>
              </w:rPr>
              <w:t>Child URL is a subdomain or country-code subdomain of the Input Issuer's domain (e.g. tt.scotiabank.com vs. scotiabank.com)</w:t>
            </w:r>
          </w:p>
        </w:tc>
        <w:tc>
          <w:tcPr>
            <w:tcW w:w="61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3B51386" w14:textId="77777777" w:rsidR="00EA7C9E" w:rsidRDefault="0068040D">
            <w:r>
              <w:rPr>
                <w:rFonts w:ascii="Arial" w:eastAsia="Arial" w:hAnsi="Arial" w:cs="Arial"/>
                <w:color w:val="000000"/>
                <w:sz w:val="17"/>
                <w:szCs w:val="17"/>
              </w:rPr>
              <w:t>Treated as a distinct hostname — N7 resolves No → O5 (Skip). Subdomains are not treated the same as path segments.</w:t>
            </w:r>
          </w:p>
        </w:tc>
      </w:tr>
      <w:tr w:rsidR="00EA7C9E" w14:paraId="24AAD90B" w14:textId="77777777">
        <w:tc>
          <w:tcPr>
            <w:tcW w:w="32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70EE4658" w14:textId="77777777" w:rsidR="00EA7C9E" w:rsidRDefault="0068040D">
            <w:r>
              <w:rPr>
                <w:rFonts w:ascii="Arial" w:eastAsia="Arial" w:hAnsi="Arial" w:cs="Arial"/>
                <w:color w:val="000000"/>
                <w:sz w:val="17"/>
                <w:szCs w:val="17"/>
              </w:rPr>
              <w:t>Official site redirects after merger/acquisition</w:t>
            </w:r>
          </w:p>
        </w:tc>
        <w:tc>
          <w:tcPr>
            <w:tcW w:w="615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000D98C8" w14:textId="77777777" w:rsidR="00EA7C9E" w:rsidRDefault="0068040D">
            <w:r>
              <w:rPr>
                <w:rFonts w:ascii="Arial" w:eastAsia="Arial" w:hAnsi="Arial" w:cs="Arial"/>
                <w:color w:val="000000"/>
                <w:sz w:val="17"/>
                <w:szCs w:val="17"/>
              </w:rPr>
              <w:t>Use successor site when the issuer ID or client response indicates the successor is the current collection target.</w:t>
            </w:r>
          </w:p>
        </w:tc>
      </w:tr>
      <w:tr w:rsidR="00EA7C9E" w14:paraId="49B10AB8"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955512A" w14:textId="77777777" w:rsidR="00EA7C9E" w:rsidRDefault="0068040D">
            <w:r>
              <w:rPr>
                <w:rFonts w:ascii="Arial" w:eastAsia="Arial" w:hAnsi="Arial" w:cs="Arial"/>
                <w:color w:val="000000"/>
                <w:sz w:val="17"/>
                <w:szCs w:val="17"/>
              </w:rPr>
              <w:t>Independent dealer locator is the only visible page</w:t>
            </w:r>
          </w:p>
        </w:tc>
        <w:tc>
          <w:tcPr>
            <w:tcW w:w="61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9179B63" w14:textId="77777777" w:rsidR="00EA7C9E" w:rsidRDefault="0068040D">
            <w:r>
              <w:rPr>
                <w:rFonts w:ascii="Arial" w:eastAsia="Arial" w:hAnsi="Arial" w:cs="Arial"/>
                <w:color w:val="000000"/>
                <w:sz w:val="17"/>
                <w:szCs w:val="17"/>
              </w:rPr>
              <w:t>Exclude as non-owned third-party network; record as out-of-scope source.</w:t>
            </w:r>
          </w:p>
        </w:tc>
      </w:tr>
      <w:tr w:rsidR="00EA7C9E" w14:paraId="45E2F5DD" w14:textId="77777777">
        <w:tc>
          <w:tcPr>
            <w:tcW w:w="32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27F501F2" w14:textId="77777777" w:rsidR="00EA7C9E" w:rsidRDefault="0068040D">
            <w:r>
              <w:rPr>
                <w:rFonts w:ascii="Arial" w:eastAsia="Arial" w:hAnsi="Arial" w:cs="Arial"/>
                <w:color w:val="000000"/>
                <w:sz w:val="17"/>
                <w:szCs w:val="17"/>
              </w:rPr>
              <w:t>Company-owned and independent locations mixed on one locator</w:t>
            </w:r>
          </w:p>
        </w:tc>
        <w:tc>
          <w:tcPr>
            <w:tcW w:w="615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7D58773A" w14:textId="77777777" w:rsidR="00EA7C9E" w:rsidRDefault="0068040D">
            <w:r>
              <w:rPr>
                <w:rFonts w:ascii="Arial" w:eastAsia="Arial" w:hAnsi="Arial" w:cs="Arial"/>
                <w:color w:val="000000"/>
                <w:sz w:val="17"/>
                <w:szCs w:val="17"/>
              </w:rPr>
              <w:t>Collect company-owned/operated locations; exclude explicit franchise/independent locations; flag unspecified status for verification.</w:t>
            </w:r>
          </w:p>
        </w:tc>
      </w:tr>
      <w:tr w:rsidR="00EA7C9E" w14:paraId="16530CD1"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EFEFAA0" w14:textId="77777777" w:rsidR="00EA7C9E" w:rsidRDefault="0068040D">
            <w:r>
              <w:rPr>
                <w:rFonts w:ascii="Arial" w:eastAsia="Arial" w:hAnsi="Arial" w:cs="Arial"/>
                <w:color w:val="000000"/>
                <w:sz w:val="17"/>
                <w:szCs w:val="17"/>
              </w:rPr>
              <w:lastRenderedPageBreak/>
              <w:t>Owned property has tenants or non-operated business activity</w:t>
            </w:r>
          </w:p>
        </w:tc>
        <w:tc>
          <w:tcPr>
            <w:tcW w:w="61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6E18FB7" w14:textId="77777777" w:rsidR="00EA7C9E" w:rsidRDefault="0068040D">
            <w:r>
              <w:rPr>
                <w:rFonts w:ascii="Arial" w:eastAsia="Arial" w:hAnsi="Arial" w:cs="Arial"/>
                <w:color w:val="000000"/>
                <w:sz w:val="17"/>
                <w:szCs w:val="17"/>
              </w:rPr>
              <w:t>Collect property location when ownership/economic exposure belongs to issuer (Rule 6.5); tenant names not needed.</w:t>
            </w:r>
          </w:p>
        </w:tc>
      </w:tr>
      <w:tr w:rsidR="00EA7C9E" w14:paraId="3A1951C2" w14:textId="77777777">
        <w:tc>
          <w:tcPr>
            <w:tcW w:w="32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0B1F5D49" w14:textId="77777777" w:rsidR="00EA7C9E" w:rsidRDefault="0068040D">
            <w:r>
              <w:rPr>
                <w:rFonts w:ascii="Arial" w:eastAsia="Arial" w:hAnsi="Arial" w:cs="Arial"/>
                <w:color w:val="000000"/>
                <w:sz w:val="17"/>
                <w:szCs w:val="17"/>
              </w:rPr>
              <w:t>Two buildings share one park/center name</w:t>
            </w:r>
          </w:p>
        </w:tc>
        <w:tc>
          <w:tcPr>
            <w:tcW w:w="615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4D4A6534" w14:textId="77777777" w:rsidR="00EA7C9E" w:rsidRDefault="0068040D">
            <w:r>
              <w:rPr>
                <w:rFonts w:ascii="Arial" w:eastAsia="Arial" w:hAnsi="Arial" w:cs="Arial"/>
                <w:color w:val="000000"/>
                <w:sz w:val="17"/>
                <w:szCs w:val="17"/>
              </w:rPr>
              <w:t>Collect as separate assets when the source distinguishes separate buildings/assets.</w:t>
            </w:r>
          </w:p>
        </w:tc>
      </w:tr>
      <w:tr w:rsidR="00EA7C9E" w14:paraId="01FA6583"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8625F75" w14:textId="77777777" w:rsidR="00EA7C9E" w:rsidRDefault="0068040D">
            <w:r>
              <w:rPr>
                <w:rFonts w:ascii="Arial" w:eastAsia="Arial" w:hAnsi="Arial" w:cs="Arial"/>
                <w:color w:val="000000"/>
                <w:sz w:val="17"/>
                <w:szCs w:val="17"/>
              </w:rPr>
              <w:t>Source provides count but no addresses</w:t>
            </w:r>
          </w:p>
        </w:tc>
        <w:tc>
          <w:tcPr>
            <w:tcW w:w="61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0F4FF7E" w14:textId="77777777" w:rsidR="00EA7C9E" w:rsidRDefault="0068040D">
            <w:r>
              <w:rPr>
                <w:rFonts w:ascii="Arial" w:eastAsia="Arial" w:hAnsi="Arial" w:cs="Arial"/>
                <w:color w:val="000000"/>
                <w:sz w:val="17"/>
                <w:szCs w:val="17"/>
              </w:rPr>
              <w:t>Record count source and route downstream per M2 disclosed-status rules; do not create synthetic addresses.</w:t>
            </w:r>
          </w:p>
        </w:tc>
      </w:tr>
      <w:tr w:rsidR="00EA7C9E" w14:paraId="6F161049" w14:textId="77777777">
        <w:tc>
          <w:tcPr>
            <w:tcW w:w="32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7E14F2E1" w14:textId="77777777" w:rsidR="00EA7C9E" w:rsidRDefault="0068040D">
            <w:r>
              <w:rPr>
                <w:rFonts w:ascii="Arial" w:eastAsia="Arial" w:hAnsi="Arial" w:cs="Arial"/>
                <w:color w:val="000000"/>
                <w:sz w:val="17"/>
                <w:szCs w:val="17"/>
              </w:rPr>
              <w:t>Subsidiary linked from group page with no addresses present</w:t>
            </w:r>
          </w:p>
        </w:tc>
        <w:tc>
          <w:tcPr>
            <w:tcW w:w="615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04B6ACF6" w14:textId="77777777" w:rsidR="00EA7C9E" w:rsidRDefault="0068040D">
            <w:r>
              <w:rPr>
                <w:rFonts w:ascii="Arial" w:eastAsia="Arial" w:hAnsi="Arial" w:cs="Arial"/>
                <w:color w:val="000000"/>
                <w:sz w:val="17"/>
                <w:szCs w:val="17"/>
              </w:rPr>
              <w:t>No need to collect from a subsidiary link list if addresses are not present in the source.</w:t>
            </w:r>
          </w:p>
        </w:tc>
      </w:tr>
      <w:tr w:rsidR="00EA7C9E" w14:paraId="0962A526"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C7BC631" w14:textId="77777777" w:rsidR="00EA7C9E" w:rsidRDefault="0068040D">
            <w:r>
              <w:rPr>
                <w:rFonts w:ascii="Arial" w:eastAsia="Arial" w:hAnsi="Arial" w:cs="Arial"/>
                <w:color w:val="000000"/>
                <w:sz w:val="17"/>
                <w:szCs w:val="17"/>
              </w:rPr>
              <w:t>Issuer has leased space to a third party mid-year</w:t>
            </w:r>
          </w:p>
        </w:tc>
        <w:tc>
          <w:tcPr>
            <w:tcW w:w="61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36F216F" w14:textId="77777777" w:rsidR="00EA7C9E" w:rsidRDefault="0068040D">
            <w:r>
              <w:rPr>
                <w:rFonts w:ascii="Arial" w:eastAsia="Arial" w:hAnsi="Arial" w:cs="Arial"/>
                <w:color w:val="000000"/>
                <w:sz w:val="17"/>
                <w:szCs w:val="17"/>
              </w:rPr>
              <w:t>If the issuer has ceased operations at a location, exclude from collection scope.</w:t>
            </w:r>
          </w:p>
        </w:tc>
      </w:tr>
      <w:tr w:rsidR="00EA7C9E" w14:paraId="35E9243A" w14:textId="77777777">
        <w:tc>
          <w:tcPr>
            <w:tcW w:w="32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2866662B" w14:textId="77777777" w:rsidR="00EA7C9E" w:rsidRDefault="0068040D">
            <w:r>
              <w:rPr>
                <w:rFonts w:ascii="Arial" w:eastAsia="Arial" w:hAnsi="Arial" w:cs="Arial"/>
                <w:color w:val="000000"/>
                <w:sz w:val="17"/>
                <w:szCs w:val="17"/>
              </w:rPr>
              <w:t>Franchise hotel / car rental / hotel network</w:t>
            </w:r>
          </w:p>
        </w:tc>
        <w:tc>
          <w:tcPr>
            <w:tcW w:w="615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7B6A3E68" w14:textId="77777777" w:rsidR="00EA7C9E" w:rsidRDefault="0068040D">
            <w:r>
              <w:rPr>
                <w:rFonts w:ascii="Arial" w:eastAsia="Arial" w:hAnsi="Arial" w:cs="Arial"/>
                <w:color w:val="000000"/>
                <w:sz w:val="17"/>
                <w:szCs w:val="17"/>
              </w:rPr>
              <w:t>Exclude franchise-owned locations (Rule 6.2). Apply company-operated country list where documented.</w:t>
            </w:r>
          </w:p>
        </w:tc>
      </w:tr>
      <w:tr w:rsidR="00EA7C9E" w14:paraId="3B5C87B8"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C1F9611" w14:textId="77777777" w:rsidR="00EA7C9E" w:rsidRDefault="0068040D">
            <w:r>
              <w:rPr>
                <w:rFonts w:ascii="Arial" w:eastAsia="Arial" w:hAnsi="Arial" w:cs="Arial"/>
                <w:color w:val="000000"/>
                <w:sz w:val="17"/>
                <w:szCs w:val="17"/>
              </w:rPr>
              <w:t>Real estate company with rental apartments owned by individual landowners</w:t>
            </w:r>
          </w:p>
        </w:tc>
        <w:tc>
          <w:tcPr>
            <w:tcW w:w="61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2CCF193" w14:textId="77777777" w:rsidR="00EA7C9E" w:rsidRDefault="0068040D">
            <w:r>
              <w:rPr>
                <w:rFonts w:ascii="Arial" w:eastAsia="Arial" w:hAnsi="Arial" w:cs="Arial"/>
                <w:color w:val="000000"/>
                <w:sz w:val="17"/>
                <w:szCs w:val="17"/>
              </w:rPr>
              <w:t>Exclude; these are not the company's owned assets (Rule 6.5). Distinguish from REIT-owned portfolios.</w:t>
            </w:r>
          </w:p>
        </w:tc>
      </w:tr>
      <w:tr w:rsidR="0091796C" w14:paraId="49D6C1A4" w14:textId="77777777">
        <w:tc>
          <w:tcPr>
            <w:tcW w:w="3200" w:type="dxa"/>
          </w:tcPr>
          <w:p w14:paraId="67CF664C" w14:textId="77777777" w:rsidR="0091796C" w:rsidRDefault="00EE56CC">
            <w:r>
              <w:rPr>
                <w:highlight w:val="yellow"/>
              </w:rPr>
              <w:t>Input Issuer or child is Group Holding Company, Investment Holding Company, or Management Company</w:t>
            </w:r>
          </w:p>
        </w:tc>
        <w:tc>
          <w:tcPr>
            <w:tcW w:w="6150" w:type="dxa"/>
          </w:tcPr>
          <w:p w14:paraId="1A946441" w14:textId="77777777" w:rsidR="0091796C" w:rsidRDefault="00EE56CC">
            <w:r>
              <w:rPr>
                <w:highlight w:val="yellow"/>
              </w:rPr>
              <w:t>Continues past N2 (or N8, for a child) like an OpCo — per M1 §2.5/Appendix D these are in-scope subtypes. In-scope determination for downstream subsidiary assets is based on the subsidiary's own coverage status, not the holding entity's classification alone (§2.2).</w:t>
            </w:r>
          </w:p>
        </w:tc>
      </w:tr>
      <w:tr w:rsidR="0091796C" w14:paraId="7F97A3B8" w14:textId="77777777">
        <w:tc>
          <w:tcPr>
            <w:tcW w:w="3200" w:type="dxa"/>
          </w:tcPr>
          <w:p w14:paraId="4ECF9AFA" w14:textId="77777777" w:rsidR="0091796C" w:rsidRDefault="00EE56CC">
            <w:r>
              <w:rPr>
                <w:highlight w:val="yellow"/>
              </w:rPr>
              <w:t>Asset is a vehicle, vessel, aircraft, piece of equipment, or inventory item</w:t>
            </w:r>
          </w:p>
        </w:tc>
        <w:tc>
          <w:tcPr>
            <w:tcW w:w="6150" w:type="dxa"/>
          </w:tcPr>
          <w:p w14:paraId="0D793FF7" w14:textId="77777777" w:rsidR="0091796C" w:rsidRDefault="00EE56CC">
            <w:r>
              <w:rPr>
                <w:highlight w:val="yellow"/>
              </w:rPr>
              <w:t>Exclude unless permanently stationed at an operationally material fixed base, in which case collect the fixed base itself, not the movable asset (Rule 6.9).</w:t>
            </w:r>
          </w:p>
        </w:tc>
      </w:tr>
      <w:tr w:rsidR="0091796C" w14:paraId="7D2A5054" w14:textId="77777777">
        <w:tc>
          <w:tcPr>
            <w:tcW w:w="3200" w:type="dxa"/>
          </w:tcPr>
          <w:p w14:paraId="7770C480" w14:textId="77777777" w:rsidR="0091796C" w:rsidRDefault="00EE56CC">
            <w:r>
              <w:rPr>
                <w:highlight w:val="yellow"/>
              </w:rPr>
              <w:t>Asset is under construction with no confirmation of operational status</w:t>
            </w:r>
          </w:p>
        </w:tc>
        <w:tc>
          <w:tcPr>
            <w:tcW w:w="6150" w:type="dxa"/>
          </w:tcPr>
          <w:p w14:paraId="3C2F49AD" w14:textId="77777777" w:rsidR="0091796C" w:rsidRDefault="00EE56CC">
            <w:r>
              <w:rPr>
                <w:highlight w:val="yellow"/>
              </w:rPr>
              <w:t>Exclude until operational status is confirmed (Rule 6.10); log the candidate location in the gap register for potential re-collection once completed.</w:t>
            </w:r>
          </w:p>
        </w:tc>
      </w:tr>
      <w:tr w:rsidR="0091796C" w14:paraId="41ADA29C" w14:textId="77777777">
        <w:tc>
          <w:tcPr>
            <w:tcW w:w="3200" w:type="dxa"/>
          </w:tcPr>
          <w:p w14:paraId="5B58A897" w14:textId="77777777" w:rsidR="0091796C" w:rsidRDefault="00EE56CC">
            <w:r>
              <w:rPr>
                <w:highlight w:val="yellow"/>
              </w:rPr>
              <w:t>Royalty or streaming interest appears in an On-Demand issuer list</w:t>
            </w:r>
          </w:p>
        </w:tc>
        <w:tc>
          <w:tcPr>
            <w:tcW w:w="6150" w:type="dxa"/>
          </w:tcPr>
          <w:p w14:paraId="73488F48" w14:textId="77777777" w:rsidR="0091796C" w:rsidRDefault="00EE56CC">
            <w:r>
              <w:rPr>
                <w:highlight w:val="yellow"/>
              </w:rPr>
              <w:t>Out of scope for M3 — royalty/streaming interests are filtered at M1's universe-definition stage before reaching M3's hierarchy-based tree; BAU (MSCI-covered) issuer rows never carry this case (Boundary Declaration, §1.2).</w:t>
            </w:r>
          </w:p>
        </w:tc>
      </w:tr>
    </w:tbl>
    <w:p w14:paraId="3D44126A" w14:textId="77777777" w:rsidR="00EA7C9E" w:rsidRDefault="00EA7C9E">
      <w:pPr>
        <w:spacing w:after="100"/>
      </w:pPr>
    </w:p>
    <w:p w14:paraId="77833AE1" w14:textId="77777777" w:rsidR="00EA7C9E" w:rsidRDefault="0068040D">
      <w:pPr>
        <w:pStyle w:val="Heading1"/>
        <w:spacing w:before="360" w:after="160"/>
      </w:pPr>
      <w:r>
        <w:rPr>
          <w:rFonts w:ascii="Calibri" w:eastAsia="Calibri" w:hAnsi="Calibri" w:cs="Calibri"/>
          <w:b/>
          <w:bCs/>
          <w:color w:val="365F91"/>
          <w:sz w:val="28"/>
          <w:szCs w:val="28"/>
        </w:rPr>
        <w:t>10. Quick Reference</w:t>
      </w:r>
    </w:p>
    <w:p w14:paraId="0076C9CC" w14:textId="77777777" w:rsidR="00EA7C9E" w:rsidRDefault="0068040D">
      <w:pPr>
        <w:pStyle w:val="Heading2"/>
        <w:spacing w:before="260" w:after="120"/>
      </w:pPr>
      <w:r>
        <w:rPr>
          <w:rFonts w:ascii="Calibri" w:eastAsia="Calibri" w:hAnsi="Calibri" w:cs="Calibri"/>
          <w:b/>
          <w:bCs/>
          <w:color w:val="4F81BD"/>
          <w:sz w:val="24"/>
          <w:szCs w:val="24"/>
        </w:rPr>
        <w:t>10.1 Outcome Quick Reference</w:t>
      </w:r>
    </w:p>
    <w:tbl>
      <w:tblPr>
        <w:tblW w:w="93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350"/>
        <w:gridCol w:w="3900"/>
        <w:gridCol w:w="2100"/>
      </w:tblGrid>
      <w:tr w:rsidR="00EA7C9E" w14:paraId="12F19122" w14:textId="77777777" w:rsidTr="18CA0F2E">
        <w:trPr>
          <w:tblHeader/>
        </w:trPr>
        <w:tc>
          <w:tcPr>
            <w:tcW w:w="33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828348E" w14:textId="77777777" w:rsidR="00EA7C9E" w:rsidRDefault="0068040D">
            <w:r>
              <w:rPr>
                <w:rFonts w:ascii="Arial" w:eastAsia="Arial" w:hAnsi="Arial" w:cs="Arial"/>
                <w:b/>
                <w:bCs/>
                <w:color w:val="FFFFFF"/>
                <w:sz w:val="17"/>
                <w:szCs w:val="17"/>
              </w:rPr>
              <w:t>Outcome</w:t>
            </w:r>
          </w:p>
        </w:tc>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975142F" w14:textId="77777777" w:rsidR="00EA7C9E" w:rsidRDefault="0068040D">
            <w:r>
              <w:rPr>
                <w:rFonts w:ascii="Arial" w:eastAsia="Arial" w:hAnsi="Arial" w:cs="Arial"/>
                <w:b/>
                <w:bCs/>
                <w:color w:val="FFFFFF"/>
                <w:sz w:val="17"/>
                <w:szCs w:val="17"/>
              </w:rPr>
              <w:t>Fast Test</w:t>
            </w:r>
          </w:p>
        </w:tc>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B944A42" w14:textId="77777777" w:rsidR="00EA7C9E" w:rsidRDefault="0068040D">
            <w:r>
              <w:rPr>
                <w:rFonts w:ascii="Arial" w:eastAsia="Arial" w:hAnsi="Arial" w:cs="Arial"/>
                <w:b/>
                <w:bCs/>
                <w:color w:val="FFFFFF"/>
                <w:sz w:val="17"/>
                <w:szCs w:val="17"/>
              </w:rPr>
              <w:t>Collect?</w:t>
            </w:r>
          </w:p>
        </w:tc>
      </w:tr>
      <w:tr w:rsidR="00EA7C9E" w14:paraId="365FFB01" w14:textId="77777777" w:rsidTr="18CA0F2E">
        <w:tc>
          <w:tcPr>
            <w:tcW w:w="33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8597FF2" w14:textId="77777777" w:rsidR="00EA7C9E" w:rsidRDefault="0068040D">
            <w:r>
              <w:rPr>
                <w:rFonts w:ascii="Arial" w:eastAsia="Arial" w:hAnsi="Arial" w:cs="Arial"/>
                <w:color w:val="000000"/>
                <w:sz w:val="17"/>
                <w:szCs w:val="17"/>
              </w:rPr>
              <w:t>O1 — Skip collection</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C8E4266" w14:textId="77777777" w:rsidR="00EA7C9E" w:rsidRDefault="0068040D">
            <w:r>
              <w:rPr>
                <w:highlight w:val="yellow"/>
              </w:rPr>
              <w:t>Issuer subtype = Financing Company or SPV.</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8963AF0" w14:textId="77777777" w:rsidR="00EA7C9E" w:rsidRDefault="0068040D">
            <w:r>
              <w:rPr>
                <w:rFonts w:ascii="Arial" w:eastAsia="Arial" w:hAnsi="Arial" w:cs="Arial"/>
                <w:color w:val="000000"/>
                <w:sz w:val="17"/>
                <w:szCs w:val="17"/>
              </w:rPr>
              <w:t>No.</w:t>
            </w:r>
          </w:p>
        </w:tc>
      </w:tr>
      <w:tr w:rsidR="00EA7C9E" w14:paraId="71ADFEB1" w14:textId="77777777" w:rsidTr="18CA0F2E">
        <w:tc>
          <w:tcPr>
            <w:tcW w:w="335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1B2D2BE8" w14:textId="77777777" w:rsidR="00EA7C9E" w:rsidRDefault="0068040D">
            <w:r>
              <w:rPr>
                <w:rFonts w:ascii="Arial" w:eastAsia="Arial" w:hAnsi="Arial" w:cs="Arial"/>
                <w:color w:val="000000"/>
                <w:sz w:val="17"/>
                <w:szCs w:val="17"/>
              </w:rPr>
              <w:t>O2 — Enrich URL via M2</w:t>
            </w:r>
          </w:p>
        </w:tc>
        <w:tc>
          <w:tcPr>
            <w:tcW w:w="39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2EFA3541" w14:textId="77777777" w:rsidR="00EA7C9E" w:rsidRDefault="0068040D">
            <w:r>
              <w:rPr>
                <w:rFonts w:ascii="Arial" w:eastAsia="Arial" w:hAnsi="Arial" w:cs="Arial"/>
                <w:color w:val="000000"/>
                <w:sz w:val="17"/>
                <w:szCs w:val="17"/>
              </w:rPr>
              <w:t>Issuer is an OpCo with no URL.</w:t>
            </w:r>
          </w:p>
        </w:tc>
        <w:tc>
          <w:tcPr>
            <w:tcW w:w="21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4FD9CD83" w14:textId="77777777" w:rsidR="00EA7C9E" w:rsidRDefault="0068040D">
            <w:r>
              <w:rPr>
                <w:rFonts w:ascii="Arial" w:eastAsia="Arial" w:hAnsi="Arial" w:cs="Arial"/>
                <w:color w:val="000000"/>
                <w:sz w:val="17"/>
                <w:szCs w:val="17"/>
              </w:rPr>
              <w:t>Not yet — attempt M2 fallback first.</w:t>
            </w:r>
          </w:p>
        </w:tc>
      </w:tr>
      <w:tr w:rsidR="00EA7C9E" w14:paraId="7BCAC9F1" w14:textId="77777777" w:rsidTr="18CA0F2E">
        <w:tc>
          <w:tcPr>
            <w:tcW w:w="33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B10BFEA" w14:textId="77777777" w:rsidR="00EA7C9E" w:rsidRDefault="0068040D">
            <w:r>
              <w:rPr>
                <w:rFonts w:ascii="Arial" w:eastAsia="Arial" w:hAnsi="Arial" w:cs="Arial"/>
                <w:color w:val="000000"/>
                <w:sz w:val="17"/>
                <w:szCs w:val="17"/>
              </w:rPr>
              <w:t>O3 — Collect Input Issuer ID at its own URL</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C9F5857" w14:textId="77777777" w:rsidR="00EA7C9E" w:rsidRDefault="0068040D">
            <w:r>
              <w:rPr>
                <w:rFonts w:ascii="Arial" w:eastAsia="Arial" w:hAnsi="Arial" w:cs="Arial"/>
                <w:color w:val="000000"/>
                <w:sz w:val="17"/>
                <w:szCs w:val="17"/>
              </w:rPr>
              <w:t>Issuer is an OpCo or Other Corporate with a URL and no children.</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80CBD66" w14:textId="77777777" w:rsidR="00EA7C9E" w:rsidRDefault="0068040D">
            <w:r>
              <w:rPr>
                <w:rFonts w:ascii="Arial" w:eastAsia="Arial" w:hAnsi="Arial" w:cs="Arial"/>
                <w:color w:val="000000"/>
                <w:sz w:val="17"/>
                <w:szCs w:val="17"/>
              </w:rPr>
              <w:t>Yes — Input Issuer's own URL.</w:t>
            </w:r>
          </w:p>
        </w:tc>
      </w:tr>
      <w:tr w:rsidR="00EA7C9E" w14:paraId="03B80811" w14:textId="77777777" w:rsidTr="18CA0F2E">
        <w:tc>
          <w:tcPr>
            <w:tcW w:w="335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2DB2253A" w14:textId="77777777" w:rsidR="00EA7C9E" w:rsidRDefault="0068040D">
            <w:r>
              <w:rPr>
                <w:rFonts w:ascii="Arial" w:eastAsia="Arial" w:hAnsi="Arial" w:cs="Arial"/>
                <w:color w:val="000000"/>
                <w:sz w:val="17"/>
                <w:szCs w:val="17"/>
              </w:rPr>
              <w:t>O4 — Collect Input Issuer ID at its own URL</w:t>
            </w:r>
          </w:p>
        </w:tc>
        <w:tc>
          <w:tcPr>
            <w:tcW w:w="39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264AF385" w14:textId="77777777" w:rsidR="00EA7C9E" w:rsidRDefault="0068040D">
            <w:r>
              <w:rPr>
                <w:rFonts w:ascii="Arial" w:eastAsia="Arial" w:hAnsi="Arial" w:cs="Arial"/>
                <w:color w:val="000000"/>
                <w:sz w:val="17"/>
                <w:szCs w:val="17"/>
              </w:rPr>
              <w:t>Child has no Issuer ID.</w:t>
            </w:r>
          </w:p>
        </w:tc>
        <w:tc>
          <w:tcPr>
            <w:tcW w:w="21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246CF9CE" w14:textId="77777777" w:rsidR="00EA7C9E" w:rsidRDefault="0068040D">
            <w:r>
              <w:rPr>
                <w:rFonts w:ascii="Arial" w:eastAsia="Arial" w:hAnsi="Arial" w:cs="Arial"/>
                <w:color w:val="000000"/>
                <w:sz w:val="17"/>
                <w:szCs w:val="17"/>
              </w:rPr>
              <w:t>No separate child row — covered under the Input Issuer.</w:t>
            </w:r>
          </w:p>
        </w:tc>
      </w:tr>
      <w:tr w:rsidR="00EA7C9E" w14:paraId="08CBE0DB" w14:textId="77777777" w:rsidTr="18CA0F2E">
        <w:tc>
          <w:tcPr>
            <w:tcW w:w="33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61A1871" w14:textId="77777777" w:rsidR="00EA7C9E" w:rsidRDefault="0068040D">
            <w:r>
              <w:rPr>
                <w:rFonts w:ascii="Arial" w:eastAsia="Arial" w:hAnsi="Arial" w:cs="Arial"/>
                <w:color w:val="000000"/>
                <w:sz w:val="17"/>
                <w:szCs w:val="17"/>
              </w:rPr>
              <w:t>O5 — Skip collecting the child issuer ID</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2287D97" w14:textId="77777777" w:rsidR="00EA7C9E" w:rsidRDefault="18CA0F2E">
            <w:r w:rsidRPr="18CA0F2E">
              <w:rPr>
                <w:rFonts w:ascii="Arial" w:eastAsia="Arial" w:hAnsi="Arial" w:cs="Arial"/>
                <w:color w:val="000000"/>
                <w:sz w:val="17"/>
                <w:szCs w:val="17"/>
              </w:rPr>
              <w:t>Child has no URL, or has a URL that doesn't hostname-match the Input Issuer.</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6670231" w14:textId="77777777" w:rsidR="00EA7C9E" w:rsidRDefault="0068040D">
            <w:r>
              <w:rPr>
                <w:rFonts w:ascii="Arial" w:eastAsia="Arial" w:hAnsi="Arial" w:cs="Arial"/>
                <w:color w:val="000000"/>
                <w:sz w:val="17"/>
                <w:szCs w:val="17"/>
              </w:rPr>
              <w:t>No — including independently-rated children; no special flagging (§3.5).</w:t>
            </w:r>
          </w:p>
        </w:tc>
      </w:tr>
      <w:tr w:rsidR="00EA7C9E" w14:paraId="46A58674" w14:textId="77777777" w:rsidTr="18CA0F2E">
        <w:tc>
          <w:tcPr>
            <w:tcW w:w="335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107DD6E0" w14:textId="77777777" w:rsidR="00EA7C9E" w:rsidRDefault="0068040D">
            <w:r>
              <w:rPr>
                <w:rFonts w:ascii="Arial" w:eastAsia="Arial" w:hAnsi="Arial" w:cs="Arial"/>
                <w:color w:val="000000"/>
                <w:sz w:val="17"/>
                <w:szCs w:val="17"/>
              </w:rPr>
              <w:t>O6 — Collect at the child's own Issuer ID</w:t>
            </w:r>
          </w:p>
        </w:tc>
        <w:tc>
          <w:tcPr>
            <w:tcW w:w="39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46A91462" w14:textId="77777777" w:rsidR="00EA7C9E" w:rsidRDefault="0068040D">
            <w:r>
              <w:rPr>
                <w:rFonts w:ascii="Arial" w:eastAsia="Arial" w:hAnsi="Arial" w:cs="Arial"/>
                <w:color w:val="000000"/>
                <w:sz w:val="17"/>
                <w:szCs w:val="17"/>
              </w:rPr>
              <w:t>Child's URL hostname-matches the Input Issuer's URL, and no other child shares that exact URL.</w:t>
            </w:r>
          </w:p>
        </w:tc>
        <w:tc>
          <w:tcPr>
            <w:tcW w:w="21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5F7FD89A" w14:textId="77777777" w:rsidR="00EA7C9E" w:rsidRDefault="18CA0F2E">
            <w:r w:rsidRPr="18CA0F2E">
              <w:rPr>
                <w:rFonts w:ascii="Arial" w:eastAsia="Arial" w:hAnsi="Arial" w:cs="Arial"/>
                <w:color w:val="000000"/>
                <w:sz w:val="17"/>
                <w:szCs w:val="17"/>
              </w:rPr>
              <w:t>Yes — child's own URL.</w:t>
            </w:r>
          </w:p>
        </w:tc>
      </w:tr>
      <w:tr w:rsidR="00EA7C9E" w14:paraId="18DF13AE" w14:textId="77777777" w:rsidTr="18CA0F2E">
        <w:tc>
          <w:tcPr>
            <w:tcW w:w="33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723E94E" w14:textId="77777777" w:rsidR="00EA7C9E" w:rsidRDefault="0068040D">
            <w:r>
              <w:rPr>
                <w:rFonts w:ascii="Arial" w:eastAsia="Arial" w:hAnsi="Arial" w:cs="Arial"/>
                <w:color w:val="000000"/>
                <w:sz w:val="17"/>
                <w:szCs w:val="17"/>
              </w:rPr>
              <w:t>O8 — Collect separately under each child's own Issuer ID</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7BA3506" w14:textId="77777777" w:rsidR="00EA7C9E" w:rsidRDefault="0068040D">
            <w:r>
              <w:rPr>
                <w:rFonts w:ascii="Arial" w:eastAsia="Arial" w:hAnsi="Arial" w:cs="Arial"/>
                <w:color w:val="000000"/>
                <w:sz w:val="17"/>
                <w:szCs w:val="17"/>
              </w:rPr>
              <w:t>Child's URL hostname-matches the Input Issuer's URL, AND 2+ children share that exact URL with no way to disambiguate.</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D90D8EE" w14:textId="77777777" w:rsidR="00EA7C9E" w:rsidRDefault="0068040D">
            <w:r>
              <w:rPr>
                <w:rFonts w:ascii="Arial" w:eastAsia="Arial" w:hAnsi="Arial" w:cs="Arial"/>
                <w:color w:val="000000"/>
                <w:sz w:val="17"/>
                <w:szCs w:val="17"/>
              </w:rPr>
              <w:t xml:space="preserve">Yes — once per sibling child, each under its own </w:t>
            </w:r>
            <w:r>
              <w:rPr>
                <w:rFonts w:ascii="Arial" w:eastAsia="Arial" w:hAnsi="Arial" w:cs="Arial"/>
                <w:color w:val="000000"/>
                <w:sz w:val="17"/>
                <w:szCs w:val="17"/>
              </w:rPr>
              <w:lastRenderedPageBreak/>
              <w:t>Issuer ID (not the parent).</w:t>
            </w:r>
          </w:p>
        </w:tc>
      </w:tr>
      <w:tr w:rsidR="0091796C" w14:paraId="2209BFB1" w14:textId="77777777">
        <w:tc>
          <w:tcPr>
            <w:tcW w:w="3350" w:type="dxa"/>
          </w:tcPr>
          <w:p w14:paraId="4102BF4C" w14:textId="77777777" w:rsidR="0091796C" w:rsidRDefault="00EE56CC">
            <w:r>
              <w:rPr>
                <w:highlight w:val="yellow"/>
              </w:rPr>
              <w:lastRenderedPageBreak/>
              <w:t>O9 — Collect Input Issuer ID at its own URL</w:t>
            </w:r>
          </w:p>
        </w:tc>
        <w:tc>
          <w:tcPr>
            <w:tcW w:w="3900" w:type="dxa"/>
          </w:tcPr>
          <w:p w14:paraId="21718C38" w14:textId="77777777" w:rsidR="0091796C" w:rsidRDefault="00EE56CC">
            <w:r>
              <w:rPr>
                <w:highlight w:val="yellow"/>
              </w:rPr>
              <w:t>Child hostname-matches the Input Issuer but is itself Financing Company or SPV (N8 = No).</w:t>
            </w:r>
          </w:p>
        </w:tc>
        <w:tc>
          <w:tcPr>
            <w:tcW w:w="2100" w:type="dxa"/>
          </w:tcPr>
          <w:p w14:paraId="1C1D105F" w14:textId="77777777" w:rsidR="0091796C" w:rsidRDefault="00EE56CC">
            <w:r>
              <w:rPr>
                <w:highlight w:val="yellow"/>
              </w:rPr>
              <w:t>No separate child row — covered under the Input Issuer, same as O4.</w:t>
            </w:r>
          </w:p>
        </w:tc>
      </w:tr>
    </w:tbl>
    <w:p w14:paraId="6B0B9F19" w14:textId="77777777" w:rsidR="00EA7C9E" w:rsidRDefault="00EA7C9E">
      <w:pPr>
        <w:spacing w:after="100"/>
      </w:pPr>
    </w:p>
    <w:p w14:paraId="37E36BF5" w14:textId="77777777" w:rsidR="00EA7C9E" w:rsidRDefault="0068040D">
      <w:pPr>
        <w:pStyle w:val="Heading2"/>
        <w:spacing w:before="260" w:after="120"/>
      </w:pPr>
      <w:r>
        <w:rPr>
          <w:rFonts w:ascii="Calibri" w:eastAsia="Calibri" w:hAnsi="Calibri" w:cs="Calibri"/>
          <w:b/>
          <w:bCs/>
          <w:color w:val="4F81BD"/>
          <w:sz w:val="24"/>
          <w:szCs w:val="24"/>
        </w:rPr>
        <w:t>10.2 Rule Index</w:t>
      </w:r>
    </w:p>
    <w:p w14:paraId="2AB162CF" w14:textId="77777777" w:rsidR="00EA7C9E" w:rsidRDefault="0068040D">
      <w:pPr>
        <w:spacing w:after="160"/>
      </w:pPr>
      <w:r>
        <w:rPr>
          <w:highlight w:val="yellow"/>
        </w:rPr>
        <w:t>Note on numbering: rules prefixed 6.x (6.1–6.7, 6.9–6.10) are located within Section 6.1 (Ownership and Control Principle); Rule 6.8 (Multi-Parent Child Handling) is located within Section 6.4 (Subsidiary Collection Rules). Rules 6.9 and 6.10 were added after 6.8 to keep the numeric sequence monotonic even though, like 6.1–6.7, they belong to Section 6.1.</w:t>
      </w:r>
    </w:p>
    <w:tbl>
      <w:tblPr>
        <w:tblW w:w="93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00"/>
        <w:gridCol w:w="5850"/>
        <w:gridCol w:w="2100"/>
      </w:tblGrid>
      <w:tr w:rsidR="00EA7C9E" w14:paraId="04E103B6" w14:textId="77777777">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22859A4" w14:textId="77777777" w:rsidR="00EA7C9E" w:rsidRDefault="0068040D">
            <w:r>
              <w:rPr>
                <w:rFonts w:ascii="Arial" w:eastAsia="Arial" w:hAnsi="Arial" w:cs="Arial"/>
                <w:b/>
                <w:bCs/>
                <w:color w:val="FFFFFF"/>
                <w:sz w:val="17"/>
                <w:szCs w:val="17"/>
              </w:rPr>
              <w:t>Rule</w:t>
            </w:r>
          </w:p>
        </w:tc>
        <w:tc>
          <w:tcPr>
            <w:tcW w:w="58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103DC7F" w14:textId="77777777" w:rsidR="00EA7C9E" w:rsidRDefault="0068040D">
            <w:r>
              <w:rPr>
                <w:rFonts w:ascii="Arial" w:eastAsia="Arial" w:hAnsi="Arial" w:cs="Arial"/>
                <w:b/>
                <w:bCs/>
                <w:color w:val="FFFFFF"/>
                <w:sz w:val="17"/>
                <w:szCs w:val="17"/>
              </w:rPr>
              <w:t>Title</w:t>
            </w:r>
          </w:p>
        </w:tc>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C2EA79C" w14:textId="77777777" w:rsidR="00EA7C9E" w:rsidRDefault="0068040D">
            <w:r>
              <w:rPr>
                <w:rFonts w:ascii="Arial" w:eastAsia="Arial" w:hAnsi="Arial" w:cs="Arial"/>
                <w:b/>
                <w:bCs/>
                <w:color w:val="FFFFFF"/>
                <w:sz w:val="17"/>
                <w:szCs w:val="17"/>
              </w:rPr>
              <w:t>Section</w:t>
            </w:r>
          </w:p>
        </w:tc>
      </w:tr>
      <w:tr w:rsidR="0091796C" w14:paraId="415A6D5A" w14:textId="77777777">
        <w:tc>
          <w:tcPr>
            <w:tcW w:w="1400" w:type="dxa"/>
          </w:tcPr>
          <w:p w14:paraId="47581025" w14:textId="77777777" w:rsidR="0091796C" w:rsidRDefault="00EE56CC">
            <w:r>
              <w:t>N2</w:t>
            </w:r>
          </w:p>
        </w:tc>
        <w:tc>
          <w:tcPr>
            <w:tcW w:w="5850" w:type="dxa"/>
          </w:tcPr>
          <w:p w14:paraId="187029AB" w14:textId="77777777" w:rsidR="0091796C" w:rsidRDefault="00EE56CC">
            <w:r>
              <w:t>Entity scope gate</w:t>
            </w:r>
          </w:p>
        </w:tc>
        <w:tc>
          <w:tcPr>
            <w:tcW w:w="2100" w:type="dxa"/>
          </w:tcPr>
          <w:p w14:paraId="21FB50E0" w14:textId="77777777" w:rsidR="0091796C" w:rsidRDefault="00EE56CC">
            <w:r>
              <w:t>3.2</w:t>
            </w:r>
          </w:p>
        </w:tc>
      </w:tr>
      <w:tr w:rsidR="0091796C" w14:paraId="42EA6456" w14:textId="77777777">
        <w:tc>
          <w:tcPr>
            <w:tcW w:w="1400" w:type="dxa"/>
          </w:tcPr>
          <w:p w14:paraId="4521F694" w14:textId="77777777" w:rsidR="0091796C" w:rsidRDefault="00EE56CC">
            <w:r>
              <w:t>N3</w:t>
            </w:r>
          </w:p>
        </w:tc>
        <w:tc>
          <w:tcPr>
            <w:tcW w:w="5850" w:type="dxa"/>
          </w:tcPr>
          <w:p w14:paraId="42FD6049" w14:textId="77777777" w:rsidR="0091796C" w:rsidRDefault="00EE56CC">
            <w:r>
              <w:t>URL gate and M2 fallback</w:t>
            </w:r>
          </w:p>
        </w:tc>
        <w:tc>
          <w:tcPr>
            <w:tcW w:w="2100" w:type="dxa"/>
          </w:tcPr>
          <w:p w14:paraId="0D63A62A" w14:textId="77777777" w:rsidR="0091796C" w:rsidRDefault="00EE56CC">
            <w:r>
              <w:t>3.2</w:t>
            </w:r>
          </w:p>
        </w:tc>
      </w:tr>
      <w:tr w:rsidR="0091796C" w14:paraId="43E5997E" w14:textId="77777777">
        <w:tc>
          <w:tcPr>
            <w:tcW w:w="1400" w:type="dxa"/>
          </w:tcPr>
          <w:p w14:paraId="3518113B" w14:textId="77777777" w:rsidR="0091796C" w:rsidRDefault="00EE56CC">
            <w:r>
              <w:t>N4</w:t>
            </w:r>
          </w:p>
        </w:tc>
        <w:tc>
          <w:tcPr>
            <w:tcW w:w="5850" w:type="dxa"/>
          </w:tcPr>
          <w:p w14:paraId="7759E40A" w14:textId="77777777" w:rsidR="0091796C" w:rsidRDefault="00EE56CC">
            <w:r>
              <w:t>Children check</w:t>
            </w:r>
          </w:p>
        </w:tc>
        <w:tc>
          <w:tcPr>
            <w:tcW w:w="2100" w:type="dxa"/>
          </w:tcPr>
          <w:p w14:paraId="4E8E4B25" w14:textId="77777777" w:rsidR="0091796C" w:rsidRDefault="00EE56CC">
            <w:r>
              <w:t>3.2</w:t>
            </w:r>
          </w:p>
        </w:tc>
      </w:tr>
      <w:tr w:rsidR="0091796C" w14:paraId="266F4058" w14:textId="77777777">
        <w:tc>
          <w:tcPr>
            <w:tcW w:w="1400" w:type="dxa"/>
          </w:tcPr>
          <w:p w14:paraId="5A3E4273" w14:textId="77777777" w:rsidR="0091796C" w:rsidRDefault="00EE56CC">
            <w:r>
              <w:t>N5</w:t>
            </w:r>
          </w:p>
        </w:tc>
        <w:tc>
          <w:tcPr>
            <w:tcW w:w="5850" w:type="dxa"/>
          </w:tcPr>
          <w:p w14:paraId="21882127" w14:textId="77777777" w:rsidR="0091796C" w:rsidRDefault="00EE56CC">
            <w:r>
              <w:t>Child Issuer ID check</w:t>
            </w:r>
          </w:p>
        </w:tc>
        <w:tc>
          <w:tcPr>
            <w:tcW w:w="2100" w:type="dxa"/>
          </w:tcPr>
          <w:p w14:paraId="7E6C93CE" w14:textId="77777777" w:rsidR="0091796C" w:rsidRDefault="00EE56CC">
            <w:r>
              <w:t>3.2</w:t>
            </w:r>
          </w:p>
        </w:tc>
      </w:tr>
      <w:tr w:rsidR="0091796C" w14:paraId="0826E306" w14:textId="77777777">
        <w:tc>
          <w:tcPr>
            <w:tcW w:w="1400" w:type="dxa"/>
          </w:tcPr>
          <w:p w14:paraId="15044936" w14:textId="77777777" w:rsidR="0091796C" w:rsidRDefault="00EE56CC">
            <w:r>
              <w:t>N6</w:t>
            </w:r>
          </w:p>
        </w:tc>
        <w:tc>
          <w:tcPr>
            <w:tcW w:w="5850" w:type="dxa"/>
          </w:tcPr>
          <w:p w14:paraId="60795CE7" w14:textId="77777777" w:rsidR="0091796C" w:rsidRDefault="00EE56CC">
            <w:r>
              <w:t>Child URL check</w:t>
            </w:r>
          </w:p>
        </w:tc>
        <w:tc>
          <w:tcPr>
            <w:tcW w:w="2100" w:type="dxa"/>
          </w:tcPr>
          <w:p w14:paraId="2AEE0447" w14:textId="77777777" w:rsidR="0091796C" w:rsidRDefault="00EE56CC">
            <w:r>
              <w:t>3.2</w:t>
            </w:r>
          </w:p>
        </w:tc>
      </w:tr>
      <w:tr w:rsidR="0091796C" w14:paraId="1C13B514" w14:textId="77777777">
        <w:tc>
          <w:tcPr>
            <w:tcW w:w="1400" w:type="dxa"/>
          </w:tcPr>
          <w:p w14:paraId="56E01EBE" w14:textId="77777777" w:rsidR="0091796C" w:rsidRDefault="00EE56CC">
            <w:r>
              <w:t>N7</w:t>
            </w:r>
          </w:p>
        </w:tc>
        <w:tc>
          <w:tcPr>
            <w:tcW w:w="5850" w:type="dxa"/>
          </w:tcPr>
          <w:p w14:paraId="6F083663" w14:textId="77777777" w:rsidR="0091796C" w:rsidRDefault="00EE56CC">
            <w:r>
              <w:t>Hostname match</w:t>
            </w:r>
          </w:p>
        </w:tc>
        <w:tc>
          <w:tcPr>
            <w:tcW w:w="2100" w:type="dxa"/>
          </w:tcPr>
          <w:p w14:paraId="291B6C3A" w14:textId="77777777" w:rsidR="0091796C" w:rsidRDefault="00EE56CC">
            <w:r>
              <w:t>3.2</w:t>
            </w:r>
          </w:p>
        </w:tc>
      </w:tr>
      <w:tr w:rsidR="0091796C" w14:paraId="0199381B" w14:textId="77777777">
        <w:tc>
          <w:tcPr>
            <w:tcW w:w="1400" w:type="dxa"/>
          </w:tcPr>
          <w:p w14:paraId="3B168919" w14:textId="77777777" w:rsidR="0091796C" w:rsidRDefault="00EE56CC">
            <w:r>
              <w:t>N7a</w:t>
            </w:r>
          </w:p>
        </w:tc>
        <w:tc>
          <w:tcPr>
            <w:tcW w:w="5850" w:type="dxa"/>
          </w:tcPr>
          <w:p w14:paraId="6A964CD6" w14:textId="77777777" w:rsidR="0091796C" w:rsidRDefault="00EE56CC">
            <w:r>
              <w:t>Multi-child same-URL check (confirmed)</w:t>
            </w:r>
          </w:p>
        </w:tc>
        <w:tc>
          <w:tcPr>
            <w:tcW w:w="2100" w:type="dxa"/>
          </w:tcPr>
          <w:p w14:paraId="230E95E5" w14:textId="77777777" w:rsidR="0091796C" w:rsidRDefault="00EE56CC">
            <w:r>
              <w:t>3.2</w:t>
            </w:r>
          </w:p>
        </w:tc>
      </w:tr>
      <w:tr w:rsidR="0091796C" w14:paraId="7FB05D07" w14:textId="77777777">
        <w:tc>
          <w:tcPr>
            <w:tcW w:w="1400" w:type="dxa"/>
          </w:tcPr>
          <w:p w14:paraId="6E0A02FA" w14:textId="77777777" w:rsidR="0091796C" w:rsidRDefault="00EE56CC">
            <w:r>
              <w:rPr>
                <w:highlight w:val="yellow"/>
              </w:rPr>
              <w:t>N8</w:t>
            </w:r>
          </w:p>
        </w:tc>
        <w:tc>
          <w:tcPr>
            <w:tcW w:w="5850" w:type="dxa"/>
          </w:tcPr>
          <w:p w14:paraId="1121203E" w14:textId="77777777" w:rsidR="0091796C" w:rsidRDefault="00EE56CC">
            <w:r>
              <w:rPr>
                <w:highlight w:val="yellow"/>
              </w:rPr>
              <w:t>Child subtype gate, relocated after N7a (same criterion as N2)</w:t>
            </w:r>
          </w:p>
        </w:tc>
        <w:tc>
          <w:tcPr>
            <w:tcW w:w="2100" w:type="dxa"/>
          </w:tcPr>
          <w:p w14:paraId="3EDEAD6F" w14:textId="77777777" w:rsidR="0091796C" w:rsidRDefault="00EE56CC">
            <w:r>
              <w:rPr>
                <w:highlight w:val="yellow"/>
              </w:rPr>
              <w:t>3.2</w:t>
            </w:r>
          </w:p>
        </w:tc>
      </w:tr>
      <w:tr w:rsidR="0091796C" w14:paraId="220C7BA0" w14:textId="77777777">
        <w:tc>
          <w:tcPr>
            <w:tcW w:w="1400" w:type="dxa"/>
          </w:tcPr>
          <w:p w14:paraId="2BEDD05A" w14:textId="77777777" w:rsidR="0091796C" w:rsidRDefault="00EE56CC">
            <w:r>
              <w:t>O8</w:t>
            </w:r>
          </w:p>
        </w:tc>
        <w:tc>
          <w:tcPr>
            <w:tcW w:w="5850" w:type="dxa"/>
          </w:tcPr>
          <w:p w14:paraId="5D5EDB72" w14:textId="77777777" w:rsidR="0091796C" w:rsidRDefault="00EE56CC">
            <w:r>
              <w:t>Collect separately, not ‘Collect Both’</w:t>
            </w:r>
          </w:p>
        </w:tc>
        <w:tc>
          <w:tcPr>
            <w:tcW w:w="2100" w:type="dxa"/>
          </w:tcPr>
          <w:p w14:paraId="1B157A96" w14:textId="77777777" w:rsidR="0091796C" w:rsidRDefault="00EE56CC">
            <w:r>
              <w:t>3.2</w:t>
            </w:r>
          </w:p>
        </w:tc>
      </w:tr>
      <w:tr w:rsidR="0091796C" w14:paraId="2E94C4C4" w14:textId="77777777">
        <w:tc>
          <w:tcPr>
            <w:tcW w:w="1400" w:type="dxa"/>
          </w:tcPr>
          <w:p w14:paraId="53EF6644" w14:textId="77777777" w:rsidR="0091796C" w:rsidRDefault="00EE56CC">
            <w:r>
              <w:rPr>
                <w:highlight w:val="yellow"/>
              </w:rPr>
              <w:t>O9</w:t>
            </w:r>
          </w:p>
        </w:tc>
        <w:tc>
          <w:tcPr>
            <w:tcW w:w="5850" w:type="dxa"/>
          </w:tcPr>
          <w:p w14:paraId="223320F0" w14:textId="77777777" w:rsidR="0091796C" w:rsidRDefault="00EE56CC">
            <w:r>
              <w:rPr>
                <w:highlight w:val="yellow"/>
              </w:rPr>
              <w:t>Collect Input Issuer ID at its own URL (child folded at N8)</w:t>
            </w:r>
          </w:p>
        </w:tc>
        <w:tc>
          <w:tcPr>
            <w:tcW w:w="2100" w:type="dxa"/>
          </w:tcPr>
          <w:p w14:paraId="1E834FB0" w14:textId="77777777" w:rsidR="0091796C" w:rsidRDefault="00EE56CC">
            <w:r>
              <w:rPr>
                <w:highlight w:val="yellow"/>
              </w:rPr>
              <w:t>3.2</w:t>
            </w:r>
          </w:p>
        </w:tc>
      </w:tr>
      <w:tr w:rsidR="0091796C" w14:paraId="640C6F1E" w14:textId="77777777">
        <w:tc>
          <w:tcPr>
            <w:tcW w:w="1400" w:type="dxa"/>
          </w:tcPr>
          <w:p w14:paraId="1C4D6507" w14:textId="77777777" w:rsidR="0091796C" w:rsidRDefault="00EE56CC">
            <w:r>
              <w:t>5.1</w:t>
            </w:r>
          </w:p>
        </w:tc>
        <w:tc>
          <w:tcPr>
            <w:tcW w:w="5850" w:type="dxa"/>
          </w:tcPr>
          <w:p w14:paraId="60297E81" w14:textId="77777777" w:rsidR="0091796C" w:rsidRDefault="00EE56CC">
            <w:r>
              <w:t>Open-before-include</w:t>
            </w:r>
          </w:p>
        </w:tc>
        <w:tc>
          <w:tcPr>
            <w:tcW w:w="2100" w:type="dxa"/>
          </w:tcPr>
          <w:p w14:paraId="32E70736" w14:textId="77777777" w:rsidR="0091796C" w:rsidRDefault="00EE56CC">
            <w:r>
              <w:t>5.2</w:t>
            </w:r>
          </w:p>
        </w:tc>
      </w:tr>
      <w:tr w:rsidR="0091796C" w14:paraId="79E33D88" w14:textId="77777777">
        <w:tc>
          <w:tcPr>
            <w:tcW w:w="1400" w:type="dxa"/>
          </w:tcPr>
          <w:p w14:paraId="4C0FBD32" w14:textId="77777777" w:rsidR="0091796C" w:rsidRDefault="00EE56CC">
            <w:r>
              <w:t>5.2</w:t>
            </w:r>
          </w:p>
        </w:tc>
        <w:tc>
          <w:tcPr>
            <w:tcW w:w="5850" w:type="dxa"/>
          </w:tcPr>
          <w:p w14:paraId="12DA0534" w14:textId="77777777" w:rsidR="0091796C" w:rsidRDefault="00EE56CC">
            <w:r>
              <w:t>Access gate</w:t>
            </w:r>
          </w:p>
        </w:tc>
        <w:tc>
          <w:tcPr>
            <w:tcW w:w="2100" w:type="dxa"/>
          </w:tcPr>
          <w:p w14:paraId="51064DCB" w14:textId="77777777" w:rsidR="0091796C" w:rsidRDefault="00EE56CC">
            <w:r>
              <w:t>5.2</w:t>
            </w:r>
          </w:p>
        </w:tc>
      </w:tr>
      <w:tr w:rsidR="0091796C" w14:paraId="61FCF9FE" w14:textId="77777777">
        <w:tc>
          <w:tcPr>
            <w:tcW w:w="1400" w:type="dxa"/>
          </w:tcPr>
          <w:p w14:paraId="1DBC93FA" w14:textId="77777777" w:rsidR="0091796C" w:rsidRDefault="00EE56CC">
            <w:r>
              <w:t>6.1</w:t>
            </w:r>
          </w:p>
        </w:tc>
        <w:tc>
          <w:tcPr>
            <w:tcW w:w="5850" w:type="dxa"/>
          </w:tcPr>
          <w:p w14:paraId="6685A42D" w14:textId="77777777" w:rsidR="0091796C" w:rsidRDefault="00EE56CC">
            <w:r>
              <w:t>Company-owned locations</w:t>
            </w:r>
          </w:p>
        </w:tc>
        <w:tc>
          <w:tcPr>
            <w:tcW w:w="2100" w:type="dxa"/>
          </w:tcPr>
          <w:p w14:paraId="2FF841B1" w14:textId="77777777" w:rsidR="0091796C" w:rsidRDefault="00EE56CC">
            <w:r>
              <w:t>6.1</w:t>
            </w:r>
          </w:p>
        </w:tc>
      </w:tr>
      <w:tr w:rsidR="0091796C" w14:paraId="69D51F97" w14:textId="77777777">
        <w:tc>
          <w:tcPr>
            <w:tcW w:w="1400" w:type="dxa"/>
          </w:tcPr>
          <w:p w14:paraId="410F652F" w14:textId="77777777" w:rsidR="0091796C" w:rsidRDefault="00EE56CC">
            <w:r>
              <w:t>6.2</w:t>
            </w:r>
          </w:p>
        </w:tc>
        <w:tc>
          <w:tcPr>
            <w:tcW w:w="5850" w:type="dxa"/>
          </w:tcPr>
          <w:p w14:paraId="06A982BC" w14:textId="77777777" w:rsidR="0091796C" w:rsidRDefault="00EE56CC">
            <w:r>
              <w:t>Franchise ambiguity</w:t>
            </w:r>
          </w:p>
        </w:tc>
        <w:tc>
          <w:tcPr>
            <w:tcW w:w="2100" w:type="dxa"/>
          </w:tcPr>
          <w:p w14:paraId="300924CA" w14:textId="77777777" w:rsidR="0091796C" w:rsidRDefault="00EE56CC">
            <w:r>
              <w:t>6.1</w:t>
            </w:r>
          </w:p>
        </w:tc>
      </w:tr>
      <w:tr w:rsidR="0091796C" w14:paraId="6202A48E" w14:textId="77777777">
        <w:tc>
          <w:tcPr>
            <w:tcW w:w="1400" w:type="dxa"/>
          </w:tcPr>
          <w:p w14:paraId="3029C543" w14:textId="77777777" w:rsidR="0091796C" w:rsidRDefault="00EE56CC">
            <w:r>
              <w:t>6.3</w:t>
            </w:r>
          </w:p>
        </w:tc>
        <w:tc>
          <w:tcPr>
            <w:tcW w:w="5850" w:type="dxa"/>
          </w:tcPr>
          <w:p w14:paraId="4D817A46" w14:textId="77777777" w:rsidR="0091796C" w:rsidRDefault="00EE56CC">
            <w:r>
              <w:t>Dealers, distributors, and authorized retailers</w:t>
            </w:r>
          </w:p>
        </w:tc>
        <w:tc>
          <w:tcPr>
            <w:tcW w:w="2100" w:type="dxa"/>
          </w:tcPr>
          <w:p w14:paraId="7B3CAE96" w14:textId="77777777" w:rsidR="0091796C" w:rsidRDefault="00EE56CC">
            <w:r>
              <w:t>6.1</w:t>
            </w:r>
          </w:p>
        </w:tc>
      </w:tr>
      <w:tr w:rsidR="0091796C" w14:paraId="2A623472" w14:textId="77777777">
        <w:tc>
          <w:tcPr>
            <w:tcW w:w="1400" w:type="dxa"/>
          </w:tcPr>
          <w:p w14:paraId="1A6FC35D" w14:textId="77777777" w:rsidR="0091796C" w:rsidRDefault="00EE56CC">
            <w:r>
              <w:t>6.4</w:t>
            </w:r>
          </w:p>
        </w:tc>
        <w:tc>
          <w:tcPr>
            <w:tcW w:w="5850" w:type="dxa"/>
          </w:tcPr>
          <w:p w14:paraId="4CA69037" w14:textId="77777777" w:rsidR="0091796C" w:rsidRDefault="00EE56CC">
            <w:r>
              <w:t>Brokerage and listing pages</w:t>
            </w:r>
          </w:p>
        </w:tc>
        <w:tc>
          <w:tcPr>
            <w:tcW w:w="2100" w:type="dxa"/>
          </w:tcPr>
          <w:p w14:paraId="2CF7681F" w14:textId="77777777" w:rsidR="0091796C" w:rsidRDefault="00EE56CC">
            <w:r>
              <w:t>6.1</w:t>
            </w:r>
          </w:p>
        </w:tc>
      </w:tr>
      <w:tr w:rsidR="0091796C" w14:paraId="32FA561F" w14:textId="77777777">
        <w:tc>
          <w:tcPr>
            <w:tcW w:w="1400" w:type="dxa"/>
          </w:tcPr>
          <w:p w14:paraId="1482C253" w14:textId="77777777" w:rsidR="0091796C" w:rsidRDefault="00EE56CC">
            <w:r>
              <w:t>6.5</w:t>
            </w:r>
          </w:p>
        </w:tc>
        <w:tc>
          <w:tcPr>
            <w:tcW w:w="5850" w:type="dxa"/>
          </w:tcPr>
          <w:p w14:paraId="77659382" w14:textId="77777777" w:rsidR="0091796C" w:rsidRDefault="00EE56CC">
            <w:r>
              <w:t>Owned real estate and leased land</w:t>
            </w:r>
          </w:p>
        </w:tc>
        <w:tc>
          <w:tcPr>
            <w:tcW w:w="2100" w:type="dxa"/>
          </w:tcPr>
          <w:p w14:paraId="0ED8EC9F" w14:textId="77777777" w:rsidR="0091796C" w:rsidRDefault="00EE56CC">
            <w:r>
              <w:t>6.1</w:t>
            </w:r>
          </w:p>
        </w:tc>
      </w:tr>
      <w:tr w:rsidR="0091796C" w14:paraId="3426BF7D" w14:textId="77777777">
        <w:tc>
          <w:tcPr>
            <w:tcW w:w="1400" w:type="dxa"/>
          </w:tcPr>
          <w:p w14:paraId="48C6AC3E" w14:textId="77777777" w:rsidR="0091796C" w:rsidRDefault="00EE56CC">
            <w:r>
              <w:t>6.6</w:t>
            </w:r>
          </w:p>
        </w:tc>
        <w:tc>
          <w:tcPr>
            <w:tcW w:w="5850" w:type="dxa"/>
          </w:tcPr>
          <w:p w14:paraId="08CA9D38" w14:textId="77777777" w:rsidR="0091796C" w:rsidRDefault="00EE56CC">
            <w:r>
              <w:t>Completed projects without ownership</w:t>
            </w:r>
          </w:p>
        </w:tc>
        <w:tc>
          <w:tcPr>
            <w:tcW w:w="2100" w:type="dxa"/>
          </w:tcPr>
          <w:p w14:paraId="5FFE26E3" w14:textId="77777777" w:rsidR="0091796C" w:rsidRDefault="00EE56CC">
            <w:r>
              <w:t>6.1</w:t>
            </w:r>
          </w:p>
        </w:tc>
      </w:tr>
      <w:tr w:rsidR="0091796C" w14:paraId="64D1BAD7" w14:textId="77777777">
        <w:tc>
          <w:tcPr>
            <w:tcW w:w="1400" w:type="dxa"/>
          </w:tcPr>
          <w:p w14:paraId="4D8CDCE6" w14:textId="77777777" w:rsidR="0091796C" w:rsidRDefault="00EE56CC">
            <w:r>
              <w:t>6.7</w:t>
            </w:r>
          </w:p>
        </w:tc>
        <w:tc>
          <w:tcPr>
            <w:tcW w:w="5850" w:type="dxa"/>
          </w:tcPr>
          <w:p w14:paraId="30035021" w14:textId="77777777" w:rsidR="0091796C" w:rsidRDefault="00EE56CC">
            <w:r>
              <w:t>Out-of-scope physical items</w:t>
            </w:r>
          </w:p>
        </w:tc>
        <w:tc>
          <w:tcPr>
            <w:tcW w:w="2100" w:type="dxa"/>
          </w:tcPr>
          <w:p w14:paraId="0A25BD09" w14:textId="77777777" w:rsidR="0091796C" w:rsidRDefault="00EE56CC">
            <w:r>
              <w:t>6.1</w:t>
            </w:r>
          </w:p>
        </w:tc>
      </w:tr>
      <w:tr w:rsidR="0091796C" w14:paraId="11C2BDBA" w14:textId="77777777">
        <w:tc>
          <w:tcPr>
            <w:tcW w:w="1400" w:type="dxa"/>
          </w:tcPr>
          <w:p w14:paraId="5CF9A943" w14:textId="77777777" w:rsidR="0091796C" w:rsidRDefault="00EE56CC">
            <w:r>
              <w:rPr>
                <w:highlight w:val="yellow"/>
              </w:rPr>
              <w:t>6.9</w:t>
            </w:r>
          </w:p>
        </w:tc>
        <w:tc>
          <w:tcPr>
            <w:tcW w:w="5850" w:type="dxa"/>
          </w:tcPr>
          <w:p w14:paraId="70DF6367" w14:textId="77777777" w:rsidR="0091796C" w:rsidRDefault="00EE56CC">
            <w:r>
              <w:rPr>
                <w:highlight w:val="yellow"/>
              </w:rPr>
              <w:t>Movable assets</w:t>
            </w:r>
          </w:p>
        </w:tc>
        <w:tc>
          <w:tcPr>
            <w:tcW w:w="2100" w:type="dxa"/>
          </w:tcPr>
          <w:p w14:paraId="44F54E1E" w14:textId="77777777" w:rsidR="0091796C" w:rsidRDefault="00EE56CC">
            <w:r>
              <w:rPr>
                <w:highlight w:val="yellow"/>
              </w:rPr>
              <w:t>6.1</w:t>
            </w:r>
          </w:p>
        </w:tc>
      </w:tr>
      <w:tr w:rsidR="0091796C" w14:paraId="105E23AC" w14:textId="77777777">
        <w:tc>
          <w:tcPr>
            <w:tcW w:w="1400" w:type="dxa"/>
          </w:tcPr>
          <w:p w14:paraId="76F54077" w14:textId="77777777" w:rsidR="0091796C" w:rsidRDefault="00EE56CC">
            <w:r>
              <w:rPr>
                <w:highlight w:val="yellow"/>
              </w:rPr>
              <w:t>6.10</w:t>
            </w:r>
          </w:p>
        </w:tc>
        <w:tc>
          <w:tcPr>
            <w:tcW w:w="5850" w:type="dxa"/>
          </w:tcPr>
          <w:p w14:paraId="39B70267" w14:textId="77777777" w:rsidR="0091796C" w:rsidRDefault="00EE56CC">
            <w:r>
              <w:rPr>
                <w:highlight w:val="yellow"/>
              </w:rPr>
              <w:t>Unconfirmed construction</w:t>
            </w:r>
          </w:p>
        </w:tc>
        <w:tc>
          <w:tcPr>
            <w:tcW w:w="2100" w:type="dxa"/>
          </w:tcPr>
          <w:p w14:paraId="3CE3F5EC" w14:textId="77777777" w:rsidR="0091796C" w:rsidRDefault="00EE56CC">
            <w:r>
              <w:rPr>
                <w:highlight w:val="yellow"/>
              </w:rPr>
              <w:t>6.1</w:t>
            </w:r>
          </w:p>
        </w:tc>
      </w:tr>
      <w:tr w:rsidR="0091796C" w14:paraId="5098EBC2" w14:textId="77777777">
        <w:tc>
          <w:tcPr>
            <w:tcW w:w="1400" w:type="dxa"/>
          </w:tcPr>
          <w:p w14:paraId="068B3529" w14:textId="77777777" w:rsidR="0091796C" w:rsidRDefault="00EE56CC">
            <w:r>
              <w:t>6.8</w:t>
            </w:r>
          </w:p>
        </w:tc>
        <w:tc>
          <w:tcPr>
            <w:tcW w:w="5850" w:type="dxa"/>
          </w:tcPr>
          <w:p w14:paraId="258317CC" w14:textId="77777777" w:rsidR="0091796C" w:rsidRDefault="00EE56CC">
            <w:r>
              <w:t>Multi-parent child handling</w:t>
            </w:r>
          </w:p>
        </w:tc>
        <w:tc>
          <w:tcPr>
            <w:tcW w:w="2100" w:type="dxa"/>
          </w:tcPr>
          <w:p w14:paraId="3134C5E7" w14:textId="77777777" w:rsidR="0091796C" w:rsidRDefault="00EE56CC">
            <w:r>
              <w:t>6.4</w:t>
            </w:r>
          </w:p>
        </w:tc>
      </w:tr>
      <w:tr w:rsidR="0091796C" w14:paraId="23E4EF48" w14:textId="77777777">
        <w:tc>
          <w:tcPr>
            <w:tcW w:w="1400" w:type="dxa"/>
          </w:tcPr>
          <w:p w14:paraId="15995E33" w14:textId="77777777" w:rsidR="0091796C" w:rsidRDefault="00EE56CC">
            <w:r>
              <w:t>7.1</w:t>
            </w:r>
          </w:p>
        </w:tc>
        <w:tc>
          <w:tcPr>
            <w:tcW w:w="5850" w:type="dxa"/>
          </w:tcPr>
          <w:p w14:paraId="37BF9382" w14:textId="77777777" w:rsidR="0091796C" w:rsidRDefault="00EE56CC">
            <w:r>
              <w:t>Input-issuer/child deduplication</w:t>
            </w:r>
          </w:p>
        </w:tc>
        <w:tc>
          <w:tcPr>
            <w:tcW w:w="2100" w:type="dxa"/>
          </w:tcPr>
          <w:p w14:paraId="4B8AB8EB" w14:textId="77777777" w:rsidR="0091796C" w:rsidRDefault="00EE56CC">
            <w:r>
              <w:t>7.2</w:t>
            </w:r>
          </w:p>
        </w:tc>
      </w:tr>
      <w:tr w:rsidR="0091796C" w14:paraId="72AF92BF" w14:textId="77777777">
        <w:tc>
          <w:tcPr>
            <w:tcW w:w="1400" w:type="dxa"/>
          </w:tcPr>
          <w:p w14:paraId="20BC63D1" w14:textId="77777777" w:rsidR="0091796C" w:rsidRDefault="00EE56CC">
            <w:r>
              <w:t>7.2</w:t>
            </w:r>
          </w:p>
        </w:tc>
        <w:tc>
          <w:tcPr>
            <w:tcW w:w="5850" w:type="dxa"/>
          </w:tcPr>
          <w:p w14:paraId="764E076A" w14:textId="77777777" w:rsidR="0091796C" w:rsidRDefault="00EE56CC">
            <w:r>
              <w:rPr>
                <w:highlight w:val="yellow"/>
              </w:rPr>
              <w:t>N8 folds (O9) logged separately from O5</w:t>
            </w:r>
          </w:p>
        </w:tc>
        <w:tc>
          <w:tcPr>
            <w:tcW w:w="2100" w:type="dxa"/>
          </w:tcPr>
          <w:p w14:paraId="2A7F5A15" w14:textId="77777777" w:rsidR="0091796C" w:rsidRDefault="00EE56CC">
            <w:r>
              <w:t>7.2</w:t>
            </w:r>
          </w:p>
        </w:tc>
      </w:tr>
      <w:tr w:rsidR="0091796C" w14:paraId="7F928C60" w14:textId="77777777">
        <w:tc>
          <w:tcPr>
            <w:tcW w:w="1400" w:type="dxa"/>
          </w:tcPr>
          <w:p w14:paraId="549D8F4A" w14:textId="77777777" w:rsidR="0091796C" w:rsidRDefault="00EE56CC">
            <w:r>
              <w:t>7.3</w:t>
            </w:r>
          </w:p>
        </w:tc>
        <w:tc>
          <w:tcPr>
            <w:tcW w:w="5850" w:type="dxa"/>
          </w:tcPr>
          <w:p w14:paraId="3B8EE4EC" w14:textId="77777777" w:rsidR="0091796C" w:rsidRDefault="00EE56CC">
            <w:r>
              <w:t>URL union with count reconciliation</w:t>
            </w:r>
          </w:p>
        </w:tc>
        <w:tc>
          <w:tcPr>
            <w:tcW w:w="2100" w:type="dxa"/>
          </w:tcPr>
          <w:p w14:paraId="73F0FFCF" w14:textId="77777777" w:rsidR="0091796C" w:rsidRDefault="00EE56CC">
            <w:r>
              <w:t>7.2</w:t>
            </w:r>
          </w:p>
        </w:tc>
      </w:tr>
    </w:tbl>
    <w:p w14:paraId="34203989" w14:textId="77777777" w:rsidR="00EA7C9E" w:rsidRDefault="00EA7C9E">
      <w:pPr>
        <w:spacing w:after="100"/>
      </w:pPr>
    </w:p>
    <w:p w14:paraId="534BFD95" w14:textId="77777777" w:rsidR="00EA7C9E" w:rsidRDefault="0068040D">
      <w:pPr>
        <w:pStyle w:val="Heading1"/>
        <w:spacing w:before="360" w:after="160"/>
      </w:pPr>
      <w:r>
        <w:rPr>
          <w:rFonts w:ascii="Calibri" w:eastAsia="Calibri" w:hAnsi="Calibri" w:cs="Calibri"/>
          <w:b/>
          <w:bCs/>
          <w:color w:val="365F91"/>
          <w:sz w:val="28"/>
          <w:szCs w:val="28"/>
        </w:rPr>
        <w:t>11. Definition of Terms</w:t>
      </w:r>
    </w:p>
    <w:p w14:paraId="254C1B8A" w14:textId="77777777" w:rsidR="00EA7C9E" w:rsidRDefault="0068040D">
      <w:pPr>
        <w:spacing w:after="160"/>
      </w:pPr>
      <w:r>
        <w:rPr>
          <w:rFonts w:ascii="Arial" w:eastAsia="Arial" w:hAnsi="Arial" w:cs="Arial"/>
          <w:sz w:val="18"/>
          <w:szCs w:val="18"/>
        </w:rPr>
        <w:t>This glossary defines terms specific to M3's collection-level routing and cross-references M1/M2/the MSCI Entity Classification Methodology &amp; SOP where relevant.</w:t>
      </w:r>
    </w:p>
    <w:p w14:paraId="73C951E0" w14:textId="77777777" w:rsidR="00EA7C9E" w:rsidRDefault="0068040D">
      <w:pPr>
        <w:pStyle w:val="Heading2"/>
        <w:spacing w:before="260" w:after="120"/>
      </w:pPr>
      <w:r>
        <w:rPr>
          <w:rFonts w:ascii="Calibri" w:eastAsia="Calibri" w:hAnsi="Calibri" w:cs="Calibri"/>
          <w:b/>
          <w:bCs/>
          <w:color w:val="4F81BD"/>
          <w:sz w:val="24"/>
          <w:szCs w:val="24"/>
        </w:rPr>
        <w:t>11.1 Entity Subtypes</w:t>
      </w:r>
    </w:p>
    <w:tbl>
      <w:tblPr>
        <w:tblW w:w="93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00"/>
        <w:gridCol w:w="6150"/>
      </w:tblGrid>
      <w:tr w:rsidR="00EA7C9E" w14:paraId="6009E86A" w14:textId="77777777">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D56E8ED" w14:textId="77777777" w:rsidR="00EA7C9E" w:rsidRDefault="0068040D">
            <w:r>
              <w:rPr>
                <w:rFonts w:ascii="Arial" w:eastAsia="Arial" w:hAnsi="Arial" w:cs="Arial"/>
                <w:b/>
                <w:bCs/>
                <w:color w:val="FFFFFF"/>
                <w:sz w:val="17"/>
                <w:szCs w:val="17"/>
              </w:rPr>
              <w:t>Term</w:t>
            </w:r>
          </w:p>
        </w:tc>
        <w:tc>
          <w:tcPr>
            <w:tcW w:w="61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A328AF6" w14:textId="77777777" w:rsidR="00EA7C9E" w:rsidRDefault="0068040D">
            <w:r>
              <w:rPr>
                <w:rFonts w:ascii="Arial" w:eastAsia="Arial" w:hAnsi="Arial" w:cs="Arial"/>
                <w:b/>
                <w:bCs/>
                <w:color w:val="FFFFFF"/>
                <w:sz w:val="17"/>
                <w:szCs w:val="17"/>
              </w:rPr>
              <w:t>Definition</w:t>
            </w:r>
          </w:p>
        </w:tc>
      </w:tr>
      <w:tr w:rsidR="00EA7C9E" w14:paraId="08427ACD"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7261DAB" w14:textId="77777777" w:rsidR="00EA7C9E" w:rsidRDefault="0068040D">
            <w:r>
              <w:rPr>
                <w:rFonts w:ascii="Arial" w:eastAsia="Arial" w:hAnsi="Arial" w:cs="Arial"/>
                <w:color w:val="000000"/>
                <w:sz w:val="17"/>
                <w:szCs w:val="17"/>
              </w:rPr>
              <w:t>Operating Company (OpCo)</w:t>
            </w:r>
          </w:p>
        </w:tc>
        <w:tc>
          <w:tcPr>
            <w:tcW w:w="61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C4D304C" w14:textId="77777777" w:rsidR="00EA7C9E" w:rsidRDefault="0068040D">
            <w:r>
              <w:rPr>
                <w:rFonts w:ascii="Arial" w:eastAsia="Arial" w:hAnsi="Arial" w:cs="Arial"/>
                <w:color w:val="000000"/>
                <w:sz w:val="17"/>
                <w:szCs w:val="17"/>
              </w:rPr>
              <w:t>Per the MSCI Entity Classification Methodology &amp; SOP: an entity that produces goods or offers services itself and generally holds all the liabilities of the business. The only subtype that passes N2.</w:t>
            </w:r>
          </w:p>
        </w:tc>
      </w:tr>
      <w:tr w:rsidR="00EA7C9E" w14:paraId="3B41ADDA" w14:textId="77777777">
        <w:tc>
          <w:tcPr>
            <w:tcW w:w="32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796DBDDF" w14:textId="77777777" w:rsidR="00EA7C9E" w:rsidRDefault="0068040D">
            <w:r>
              <w:rPr>
                <w:rFonts w:ascii="Arial" w:eastAsia="Arial" w:hAnsi="Arial" w:cs="Arial"/>
                <w:color w:val="000000"/>
                <w:sz w:val="17"/>
                <w:szCs w:val="17"/>
              </w:rPr>
              <w:t>Other Corporate</w:t>
            </w:r>
          </w:p>
        </w:tc>
        <w:tc>
          <w:tcPr>
            <w:tcW w:w="615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021A0515" w14:textId="77777777" w:rsidR="00EA7C9E" w:rsidRDefault="0068040D">
            <w:r>
              <w:rPr>
                <w:highlight w:val="yellow"/>
              </w:rPr>
              <w:t xml:space="preserve">Per the SOP: corporate entities that cannot be classified under any other corporate sub-entity type. Does not meet the Operating Company </w:t>
            </w:r>
            <w:r>
              <w:rPr>
                <w:highlight w:val="yellow"/>
              </w:rPr>
              <w:lastRenderedPageBreak/>
              <w:t>definition, but DOES pass N2 (continues to N3) — a confirmed methodology-owner decision aligning N2 with N8 (the child subtype gate, relocated after N7a), which has always let an Other Corporate child through (§2.2, §3.2, §3.5). Distinguished from Financing Company and SPV, which do not pass N2 — unlike Group Holding Company, Investment Holding Company, and Management Company, which do (§2.2).</w:t>
            </w:r>
          </w:p>
        </w:tc>
      </w:tr>
      <w:tr w:rsidR="00EA7C9E" w14:paraId="6BF5C88F"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1B75904" w14:textId="77777777" w:rsidR="00EA7C9E" w:rsidRDefault="0068040D">
            <w:r>
              <w:rPr>
                <w:rFonts w:ascii="Arial" w:eastAsia="Arial" w:hAnsi="Arial" w:cs="Arial"/>
                <w:color w:val="000000"/>
                <w:sz w:val="17"/>
                <w:szCs w:val="17"/>
              </w:rPr>
              <w:lastRenderedPageBreak/>
              <w:t>Financing Company (Fin Co)</w:t>
            </w:r>
          </w:p>
        </w:tc>
        <w:tc>
          <w:tcPr>
            <w:tcW w:w="61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1DED09C" w14:textId="77777777" w:rsidR="00EA7C9E" w:rsidRDefault="0068040D">
            <w:r>
              <w:rPr>
                <w:rFonts w:ascii="Arial" w:eastAsia="Arial" w:hAnsi="Arial" w:cs="Arial"/>
                <w:color w:val="000000"/>
                <w:sz w:val="17"/>
                <w:szCs w:val="17"/>
              </w:rPr>
              <w:t>An entity created primarily to raise, hold, or move capital on behalf of its parent group, per the SOP: “has no operation of its own and its sole purpose is to finance other entities.” Does NOT pass N2 (resolves to O1) — but does not exclude its own operating children, which are still evaluated normally.</w:t>
            </w:r>
          </w:p>
        </w:tc>
      </w:tr>
      <w:tr w:rsidR="00EA7C9E" w14:paraId="306962E3"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F1C18A0" w14:textId="77777777" w:rsidR="00EA7C9E" w:rsidRDefault="0068040D">
            <w:r>
              <w:rPr>
                <w:rFonts w:ascii="Arial" w:eastAsia="Arial" w:hAnsi="Arial" w:cs="Arial"/>
                <w:color w:val="000000"/>
                <w:sz w:val="17"/>
                <w:szCs w:val="17"/>
              </w:rPr>
              <w:t>IHC (Intermediate Holding Company) / Investment Holding Company / Group Holding Company</w:t>
            </w:r>
          </w:p>
        </w:tc>
        <w:tc>
          <w:tcPr>
            <w:tcW w:w="61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3E98393" w14:textId="77777777" w:rsidR="00EA7C9E" w:rsidRDefault="0068040D">
            <w:r>
              <w:rPr>
                <w:rFonts w:ascii="Arial" w:eastAsia="Arial" w:hAnsi="Arial" w:cs="Arial"/>
                <w:color w:val="000000"/>
                <w:sz w:val="17"/>
                <w:szCs w:val="17"/>
              </w:rPr>
              <w:t>A holding company that owns a controlling share of stock or holds equity stakes in subsidiaries rather than operating assets directly. Does NOT pass N2 (resolves to O1) — unless the entity also directly owns or operates assets itself, in which case it should be reclassified as Operating Company under the SOP, not treated as an exception within M3.</w:t>
            </w:r>
          </w:p>
        </w:tc>
      </w:tr>
      <w:tr w:rsidR="0091796C" w14:paraId="0551BB07" w14:textId="77777777">
        <w:tc>
          <w:tcPr>
            <w:tcW w:w="3200" w:type="dxa"/>
          </w:tcPr>
          <w:p w14:paraId="5603790D" w14:textId="77777777" w:rsidR="0091796C" w:rsidRDefault="00EE56CC">
            <w:r>
              <w:rPr>
                <w:highlight w:val="yellow"/>
              </w:rPr>
              <w:t>Group Holding Company</w:t>
            </w:r>
          </w:p>
        </w:tc>
        <w:tc>
          <w:tcPr>
            <w:tcW w:w="6150" w:type="dxa"/>
          </w:tcPr>
          <w:p w14:paraId="5E47D8B7" w14:textId="77777777" w:rsidR="0091796C" w:rsidRDefault="00EE56CC">
            <w:r>
              <w:rPr>
                <w:highlight w:val="yellow"/>
              </w:rPr>
              <w:t>Owns a controlling share of stock and holds assets of other companies (its subsidiaries); typically has no operations of its own; management directs the subsidiaries' operations. Per M1 §2.5/Appendix D, DOES pass N2 (continues to N3) and N8 (continues to O6 for a child) — in-scope determination for downstream subsidiary assets is based on the subsidiary's own coverage status, not the holding entity's classification alone.</w:t>
            </w:r>
          </w:p>
        </w:tc>
      </w:tr>
      <w:tr w:rsidR="0091796C" w14:paraId="71EE3A47" w14:textId="77777777">
        <w:tc>
          <w:tcPr>
            <w:tcW w:w="3200" w:type="dxa"/>
          </w:tcPr>
          <w:p w14:paraId="2B80A727" w14:textId="77777777" w:rsidR="0091796C" w:rsidRDefault="00EE56CC">
            <w:r>
              <w:rPr>
                <w:highlight w:val="yellow"/>
              </w:rPr>
              <w:t>Investment Holding Company</w:t>
            </w:r>
          </w:p>
        </w:tc>
        <w:tc>
          <w:tcPr>
            <w:tcW w:w="6150" w:type="dxa"/>
          </w:tcPr>
          <w:p w14:paraId="01995212" w14:textId="77777777" w:rsidR="0091796C" w:rsidRDefault="00EE56CC">
            <w:r>
              <w:rPr>
                <w:highlight w:val="yellow"/>
              </w:rPr>
              <w:t>Does not produce goods or offer services itself; acts as a holding company by owning shares of other companies; typically earns income from dividends, rent, or interest. DOES pass N2 and N8, per M1 §2.5/Appendix D, on the same basis as Group Holding Company.</w:t>
            </w:r>
          </w:p>
        </w:tc>
      </w:tr>
      <w:tr w:rsidR="0091796C" w14:paraId="2E37C36A" w14:textId="77777777">
        <w:tc>
          <w:tcPr>
            <w:tcW w:w="3200" w:type="dxa"/>
          </w:tcPr>
          <w:p w14:paraId="5B3EA968" w14:textId="77777777" w:rsidR="0091796C" w:rsidRDefault="00EE56CC">
            <w:r>
              <w:rPr>
                <w:highlight w:val="yellow"/>
              </w:rPr>
              <w:t>Management Company</w:t>
            </w:r>
          </w:p>
        </w:tc>
        <w:tc>
          <w:tcPr>
            <w:tcW w:w="6150" w:type="dxa"/>
          </w:tcPr>
          <w:p w14:paraId="0DF5EAA7" w14:textId="77777777" w:rsidR="0091796C" w:rsidRDefault="00EE56CC">
            <w:r>
              <w:rPr>
                <w:highlight w:val="yellow"/>
              </w:rPr>
              <w:t>The entity to which the board of a Group Holding or Operating Company has delegated the executive function; may be internally or externally owned. DOES pass N2 and N8, per M1 §2.5/Appendix D, on the same basis.</w:t>
            </w:r>
          </w:p>
        </w:tc>
      </w:tr>
    </w:tbl>
    <w:p w14:paraId="2C507C92" w14:textId="77777777" w:rsidR="00EA7C9E" w:rsidRDefault="00EA7C9E">
      <w:pPr>
        <w:spacing w:after="100"/>
      </w:pPr>
    </w:p>
    <w:p w14:paraId="26C7B652" w14:textId="77777777" w:rsidR="00EA7C9E" w:rsidRDefault="0068040D">
      <w:pPr>
        <w:pStyle w:val="Heading2"/>
        <w:spacing w:before="260" w:after="120"/>
      </w:pPr>
      <w:r>
        <w:rPr>
          <w:rFonts w:ascii="Calibri" w:eastAsia="Calibri" w:hAnsi="Calibri" w:cs="Calibri"/>
          <w:b/>
          <w:bCs/>
          <w:color w:val="4F81BD"/>
          <w:sz w:val="24"/>
          <w:szCs w:val="24"/>
        </w:rPr>
        <w:t>11.2 Universe Source Codes</w:t>
      </w:r>
    </w:p>
    <w:p w14:paraId="56AA33FD" w14:textId="77777777" w:rsidR="00EA7C9E" w:rsidRDefault="0068040D">
      <w:pPr>
        <w:spacing w:after="160"/>
      </w:pPr>
      <w:r>
        <w:rPr>
          <w:highlight w:val="yellow"/>
        </w:rPr>
        <w:t>child_univ_source and parent_univ_source identify which MSCI index universe an entity belongs to (see M1 §5.1 for full universe definitions). CORE, ACWI, and WORLD are the three values that mark an entity as “independently rated.” This terminology is defined here for institutional reference only — it is confirmed as NOT a routing factor anywhere in the N1–N8 tree (§3.5). A rated child with a non-matching hostname is skipped (O5) exactly like any other child; “Collect Both” and any rated-child override remain retired.</w:t>
      </w:r>
    </w:p>
    <w:p w14:paraId="5A9966B2" w14:textId="77777777" w:rsidR="00EA7C9E" w:rsidRDefault="0068040D">
      <w:pPr>
        <w:pStyle w:val="Heading2"/>
        <w:spacing w:before="260" w:after="120"/>
      </w:pPr>
      <w:r>
        <w:rPr>
          <w:rFonts w:ascii="Calibri" w:eastAsia="Calibri" w:hAnsi="Calibri" w:cs="Calibri"/>
          <w:b/>
          <w:bCs/>
          <w:color w:val="4F81BD"/>
          <w:sz w:val="24"/>
          <w:szCs w:val="24"/>
        </w:rPr>
        <w:t>11.3 Routing Codes</w:t>
      </w:r>
    </w:p>
    <w:p w14:paraId="4A05A92F" w14:textId="77777777" w:rsidR="00EA7C9E" w:rsidRDefault="0068040D">
      <w:pPr>
        <w:spacing w:after="160"/>
      </w:pPr>
      <w:r>
        <w:rPr>
          <w:rFonts w:ascii="Arial" w:eastAsia="Arial" w:hAnsi="Arial" w:cs="Arial"/>
          <w:sz w:val="18"/>
          <w:szCs w:val="18"/>
        </w:rPr>
        <w:t>Each code below is shorthand for a specific node or outcome in the M3 Collection Decision Tree (§3). They are not arbitrary labels — each maps to exactly one node or outcome defined in Section 3.</w:t>
      </w:r>
    </w:p>
    <w:tbl>
      <w:tblPr>
        <w:tblW w:w="93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00"/>
        <w:gridCol w:w="1600"/>
        <w:gridCol w:w="6550"/>
      </w:tblGrid>
      <w:tr w:rsidR="00EA7C9E" w14:paraId="5BAAA4DB" w14:textId="77777777">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63846D7" w14:textId="77777777" w:rsidR="00EA7C9E" w:rsidRDefault="0068040D">
            <w:r>
              <w:rPr>
                <w:rFonts w:ascii="Arial" w:eastAsia="Arial" w:hAnsi="Arial" w:cs="Arial"/>
                <w:b/>
                <w:bCs/>
                <w:color w:val="FFFFFF"/>
                <w:sz w:val="17"/>
                <w:szCs w:val="17"/>
              </w:rPr>
              <w:t>Code</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8028CFB" w14:textId="77777777" w:rsidR="00EA7C9E" w:rsidRDefault="0068040D">
            <w:r>
              <w:rPr>
                <w:rFonts w:ascii="Arial" w:eastAsia="Arial" w:hAnsi="Arial" w:cs="Arial"/>
                <w:b/>
                <w:bCs/>
                <w:color w:val="FFFFFF"/>
                <w:sz w:val="17"/>
                <w:szCs w:val="17"/>
              </w:rPr>
              <w:t>Type</w:t>
            </w:r>
          </w:p>
        </w:tc>
        <w:tc>
          <w:tcPr>
            <w:tcW w:w="65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4E76216" w14:textId="77777777" w:rsidR="00EA7C9E" w:rsidRDefault="0068040D">
            <w:r>
              <w:rPr>
                <w:rFonts w:ascii="Arial" w:eastAsia="Arial" w:hAnsi="Arial" w:cs="Arial"/>
                <w:b/>
                <w:bCs/>
                <w:color w:val="FFFFFF"/>
                <w:sz w:val="17"/>
                <w:szCs w:val="17"/>
              </w:rPr>
              <w:t>Meaning</w:t>
            </w:r>
          </w:p>
        </w:tc>
      </w:tr>
      <w:tr w:rsidR="0091796C" w14:paraId="34DAC1C1" w14:textId="77777777">
        <w:tc>
          <w:tcPr>
            <w:tcW w:w="1200" w:type="dxa"/>
          </w:tcPr>
          <w:p w14:paraId="3C834E9C" w14:textId="77777777" w:rsidR="0091796C" w:rsidRDefault="00EE56CC">
            <w:r>
              <w:t>N1</w:t>
            </w:r>
          </w:p>
        </w:tc>
        <w:tc>
          <w:tcPr>
            <w:tcW w:w="1600" w:type="dxa"/>
          </w:tcPr>
          <w:p w14:paraId="146B837A" w14:textId="77777777" w:rsidR="0091796C" w:rsidRDefault="00EE56CC">
            <w:r>
              <w:t>Node</w:t>
            </w:r>
          </w:p>
        </w:tc>
        <w:tc>
          <w:tcPr>
            <w:tcW w:w="6550" w:type="dxa"/>
          </w:tcPr>
          <w:p w14:paraId="7B9F99C3" w14:textId="77777777" w:rsidR="0091796C" w:rsidRDefault="00EE56CC">
            <w:r>
              <w:t>Entry point — every Input Issuer row starts here (§3.1).</w:t>
            </w:r>
          </w:p>
        </w:tc>
      </w:tr>
      <w:tr w:rsidR="0091796C" w14:paraId="62FF4A5D" w14:textId="77777777">
        <w:tc>
          <w:tcPr>
            <w:tcW w:w="1200" w:type="dxa"/>
          </w:tcPr>
          <w:p w14:paraId="4747E2F4" w14:textId="77777777" w:rsidR="0091796C" w:rsidRDefault="00EE56CC">
            <w:r>
              <w:t>N2</w:t>
            </w:r>
          </w:p>
        </w:tc>
        <w:tc>
          <w:tcPr>
            <w:tcW w:w="1600" w:type="dxa"/>
          </w:tcPr>
          <w:p w14:paraId="2BDA7C50" w14:textId="77777777" w:rsidR="0091796C" w:rsidRDefault="00EE56CC">
            <w:r>
              <w:t>Node</w:t>
            </w:r>
          </w:p>
        </w:tc>
        <w:tc>
          <w:tcPr>
            <w:tcW w:w="6550" w:type="dxa"/>
          </w:tcPr>
          <w:p w14:paraId="77DFE273" w14:textId="77777777" w:rsidR="0091796C" w:rsidRDefault="00EE56CC">
            <w:r>
              <w:t>Entity scope gate — is Input Issuer's MSCI type and subtype in scope for collection? Yes → N3; No → O1 (§3.2).</w:t>
            </w:r>
          </w:p>
        </w:tc>
      </w:tr>
      <w:tr w:rsidR="0091796C" w14:paraId="6FE4D729" w14:textId="77777777">
        <w:tc>
          <w:tcPr>
            <w:tcW w:w="1200" w:type="dxa"/>
          </w:tcPr>
          <w:p w14:paraId="76D4C3E6" w14:textId="77777777" w:rsidR="0091796C" w:rsidRDefault="00EE56CC">
            <w:r>
              <w:t>N3</w:t>
            </w:r>
          </w:p>
        </w:tc>
        <w:tc>
          <w:tcPr>
            <w:tcW w:w="1600" w:type="dxa"/>
          </w:tcPr>
          <w:p w14:paraId="5B6C40E5" w14:textId="77777777" w:rsidR="0091796C" w:rsidRDefault="00EE56CC">
            <w:r>
              <w:t>Node</w:t>
            </w:r>
          </w:p>
        </w:tc>
        <w:tc>
          <w:tcPr>
            <w:tcW w:w="6550" w:type="dxa"/>
          </w:tcPr>
          <w:p w14:paraId="63027239" w14:textId="77777777" w:rsidR="0091796C" w:rsidRDefault="00EE56CC">
            <w:r>
              <w:t>Input Issuer URL gate. Yes → N4; No → O2 (§3.2).</w:t>
            </w:r>
          </w:p>
        </w:tc>
      </w:tr>
      <w:tr w:rsidR="0091796C" w14:paraId="29426C52" w14:textId="77777777">
        <w:tc>
          <w:tcPr>
            <w:tcW w:w="1200" w:type="dxa"/>
          </w:tcPr>
          <w:p w14:paraId="391F33A9" w14:textId="77777777" w:rsidR="0091796C" w:rsidRDefault="00EE56CC">
            <w:r>
              <w:t>N4</w:t>
            </w:r>
          </w:p>
        </w:tc>
        <w:tc>
          <w:tcPr>
            <w:tcW w:w="1600" w:type="dxa"/>
          </w:tcPr>
          <w:p w14:paraId="7D0DA64B" w14:textId="77777777" w:rsidR="0091796C" w:rsidRDefault="00EE56CC">
            <w:r>
              <w:t>Node</w:t>
            </w:r>
          </w:p>
        </w:tc>
        <w:tc>
          <w:tcPr>
            <w:tcW w:w="6550" w:type="dxa"/>
          </w:tcPr>
          <w:p w14:paraId="0FB18B87" w14:textId="77777777" w:rsidR="0091796C" w:rsidRDefault="00EE56CC">
            <w:r>
              <w:rPr>
                <w:highlight w:val="yellow"/>
              </w:rPr>
              <w:t>Children check. Yes → N5 per child; No → O3 (§3.2).</w:t>
            </w:r>
          </w:p>
        </w:tc>
      </w:tr>
      <w:tr w:rsidR="0091796C" w14:paraId="0AB5A540" w14:textId="77777777">
        <w:tc>
          <w:tcPr>
            <w:tcW w:w="1200" w:type="dxa"/>
          </w:tcPr>
          <w:p w14:paraId="74425B0E" w14:textId="77777777" w:rsidR="0091796C" w:rsidRDefault="00EE56CC">
            <w:r>
              <w:t>N5</w:t>
            </w:r>
          </w:p>
        </w:tc>
        <w:tc>
          <w:tcPr>
            <w:tcW w:w="1600" w:type="dxa"/>
          </w:tcPr>
          <w:p w14:paraId="30AC1D0D" w14:textId="77777777" w:rsidR="0091796C" w:rsidRDefault="00EE56CC">
            <w:r>
              <w:t>Node</w:t>
            </w:r>
          </w:p>
        </w:tc>
        <w:tc>
          <w:tcPr>
            <w:tcW w:w="6550" w:type="dxa"/>
          </w:tcPr>
          <w:p w14:paraId="55E34407" w14:textId="77777777" w:rsidR="0091796C" w:rsidRDefault="00EE56CC">
            <w:r>
              <w:t>Child Issuer ID check. Yes → N6; No → O4 (§3.2).</w:t>
            </w:r>
          </w:p>
        </w:tc>
      </w:tr>
      <w:tr w:rsidR="0091796C" w14:paraId="5E1482F3" w14:textId="77777777">
        <w:tc>
          <w:tcPr>
            <w:tcW w:w="1200" w:type="dxa"/>
          </w:tcPr>
          <w:p w14:paraId="75914085" w14:textId="77777777" w:rsidR="0091796C" w:rsidRDefault="00EE56CC">
            <w:r>
              <w:t>N6</w:t>
            </w:r>
          </w:p>
        </w:tc>
        <w:tc>
          <w:tcPr>
            <w:tcW w:w="1600" w:type="dxa"/>
          </w:tcPr>
          <w:p w14:paraId="606517F7" w14:textId="77777777" w:rsidR="0091796C" w:rsidRDefault="00EE56CC">
            <w:r>
              <w:t>Node</w:t>
            </w:r>
          </w:p>
        </w:tc>
        <w:tc>
          <w:tcPr>
            <w:tcW w:w="6550" w:type="dxa"/>
          </w:tcPr>
          <w:p w14:paraId="21553D11" w14:textId="77777777" w:rsidR="0091796C" w:rsidRDefault="00EE56CC">
            <w:r>
              <w:t>Child URL check. Yes → N7; No → O5 (§3.2).</w:t>
            </w:r>
          </w:p>
        </w:tc>
      </w:tr>
      <w:tr w:rsidR="0091796C" w14:paraId="4C003A8E" w14:textId="77777777">
        <w:tc>
          <w:tcPr>
            <w:tcW w:w="1200" w:type="dxa"/>
          </w:tcPr>
          <w:p w14:paraId="53F092F2" w14:textId="77777777" w:rsidR="0091796C" w:rsidRDefault="00EE56CC">
            <w:r>
              <w:t>N7</w:t>
            </w:r>
          </w:p>
        </w:tc>
        <w:tc>
          <w:tcPr>
            <w:tcW w:w="1600" w:type="dxa"/>
          </w:tcPr>
          <w:p w14:paraId="4F42329E" w14:textId="77777777" w:rsidR="0091796C" w:rsidRDefault="00EE56CC">
            <w:r>
              <w:t>Node</w:t>
            </w:r>
          </w:p>
        </w:tc>
        <w:tc>
          <w:tcPr>
            <w:tcW w:w="6550" w:type="dxa"/>
          </w:tcPr>
          <w:p w14:paraId="399CB609" w14:textId="77777777" w:rsidR="0091796C" w:rsidRDefault="00EE56CC">
            <w:r>
              <w:t>Hostname match check. Yes → N7a; No → O5 (§3.2).</w:t>
            </w:r>
          </w:p>
        </w:tc>
      </w:tr>
      <w:tr w:rsidR="0091796C" w14:paraId="539B907D" w14:textId="77777777">
        <w:tc>
          <w:tcPr>
            <w:tcW w:w="1200" w:type="dxa"/>
          </w:tcPr>
          <w:p w14:paraId="3FD337C5" w14:textId="77777777" w:rsidR="0091796C" w:rsidRDefault="00EE56CC">
            <w:r>
              <w:t>N7a</w:t>
            </w:r>
          </w:p>
        </w:tc>
        <w:tc>
          <w:tcPr>
            <w:tcW w:w="1600" w:type="dxa"/>
          </w:tcPr>
          <w:p w14:paraId="250F66C5" w14:textId="77777777" w:rsidR="0091796C" w:rsidRDefault="00EE56CC">
            <w:r>
              <w:t>Node</w:t>
            </w:r>
          </w:p>
        </w:tc>
        <w:tc>
          <w:tcPr>
            <w:tcW w:w="6550" w:type="dxa"/>
          </w:tcPr>
          <w:p w14:paraId="5AE6641D" w14:textId="77777777" w:rsidR="0091796C" w:rsidRDefault="00EE56CC">
            <w:r>
              <w:t>Multi-child same-URL check, confirmed. Yes (2+ children share the URL) → O8; No (single, unambiguous child) → O6 (§3.2).</w:t>
            </w:r>
          </w:p>
        </w:tc>
      </w:tr>
      <w:tr w:rsidR="0091796C" w14:paraId="702F35E2" w14:textId="77777777">
        <w:tc>
          <w:tcPr>
            <w:tcW w:w="1200" w:type="dxa"/>
          </w:tcPr>
          <w:p w14:paraId="1202F117" w14:textId="77777777" w:rsidR="0091796C" w:rsidRDefault="00EE56CC">
            <w:r>
              <w:rPr>
                <w:highlight w:val="yellow"/>
              </w:rPr>
              <w:t>N8</w:t>
            </w:r>
          </w:p>
        </w:tc>
        <w:tc>
          <w:tcPr>
            <w:tcW w:w="1600" w:type="dxa"/>
          </w:tcPr>
          <w:p w14:paraId="15E7C57E" w14:textId="77777777" w:rsidR="0091796C" w:rsidRDefault="00EE56CC">
            <w:r>
              <w:rPr>
                <w:highlight w:val="yellow"/>
              </w:rPr>
              <w:t>Node</w:t>
            </w:r>
          </w:p>
        </w:tc>
        <w:tc>
          <w:tcPr>
            <w:tcW w:w="6550" w:type="dxa"/>
          </w:tcPr>
          <w:p w14:paraId="779026D8" w14:textId="77777777" w:rsidR="0091796C" w:rsidRDefault="00EE56CC">
            <w:r>
              <w:rPr>
                <w:highlight w:val="yellow"/>
              </w:rPr>
              <w:t>Child subtype gate, relocated after N7a — same criterion as N2. Yes (in scope) → O6; No (Financing Company/SPV) → O9 (§3.2).</w:t>
            </w:r>
          </w:p>
        </w:tc>
      </w:tr>
      <w:tr w:rsidR="0091796C" w14:paraId="61777FF3" w14:textId="77777777">
        <w:tc>
          <w:tcPr>
            <w:tcW w:w="1200" w:type="dxa"/>
          </w:tcPr>
          <w:p w14:paraId="5E332466" w14:textId="77777777" w:rsidR="0091796C" w:rsidRDefault="00EE56CC">
            <w:r>
              <w:lastRenderedPageBreak/>
              <w:t>O1</w:t>
            </w:r>
          </w:p>
        </w:tc>
        <w:tc>
          <w:tcPr>
            <w:tcW w:w="1600" w:type="dxa"/>
          </w:tcPr>
          <w:p w14:paraId="6B083C49" w14:textId="77777777" w:rsidR="0091796C" w:rsidRDefault="00EE56CC">
            <w:r>
              <w:t>Outcome</w:t>
            </w:r>
          </w:p>
        </w:tc>
        <w:tc>
          <w:tcPr>
            <w:tcW w:w="6550" w:type="dxa"/>
          </w:tcPr>
          <w:p w14:paraId="35FDB78E" w14:textId="77777777" w:rsidR="0091796C" w:rsidRDefault="00EE56CC">
            <w:r>
              <w:t>Skip collection (entity-level, N2 = No).</w:t>
            </w:r>
          </w:p>
        </w:tc>
      </w:tr>
      <w:tr w:rsidR="0091796C" w14:paraId="784B2E77" w14:textId="77777777">
        <w:tc>
          <w:tcPr>
            <w:tcW w:w="1200" w:type="dxa"/>
          </w:tcPr>
          <w:p w14:paraId="4074846A" w14:textId="77777777" w:rsidR="0091796C" w:rsidRDefault="00EE56CC">
            <w:r>
              <w:t>O2</w:t>
            </w:r>
          </w:p>
        </w:tc>
        <w:tc>
          <w:tcPr>
            <w:tcW w:w="1600" w:type="dxa"/>
          </w:tcPr>
          <w:p w14:paraId="5108A901" w14:textId="77777777" w:rsidR="0091796C" w:rsidRDefault="00EE56CC">
            <w:r>
              <w:t>Outcome</w:t>
            </w:r>
          </w:p>
        </w:tc>
        <w:tc>
          <w:tcPr>
            <w:tcW w:w="6550" w:type="dxa"/>
          </w:tcPr>
          <w:p w14:paraId="544864AD" w14:textId="77777777" w:rsidR="0091796C" w:rsidRDefault="00EE56CC">
            <w:r>
              <w:t>Enrich URL via M2 fallback rule (N3 = No).</w:t>
            </w:r>
          </w:p>
        </w:tc>
      </w:tr>
      <w:tr w:rsidR="0091796C" w14:paraId="6DCFB573" w14:textId="77777777">
        <w:tc>
          <w:tcPr>
            <w:tcW w:w="1200" w:type="dxa"/>
          </w:tcPr>
          <w:p w14:paraId="77428177" w14:textId="77777777" w:rsidR="0091796C" w:rsidRDefault="00EE56CC">
            <w:r>
              <w:t>O3</w:t>
            </w:r>
          </w:p>
        </w:tc>
        <w:tc>
          <w:tcPr>
            <w:tcW w:w="1600" w:type="dxa"/>
          </w:tcPr>
          <w:p w14:paraId="4D6DA459" w14:textId="77777777" w:rsidR="0091796C" w:rsidRDefault="00EE56CC">
            <w:r>
              <w:t>Outcome</w:t>
            </w:r>
          </w:p>
        </w:tc>
        <w:tc>
          <w:tcPr>
            <w:tcW w:w="6550" w:type="dxa"/>
          </w:tcPr>
          <w:p w14:paraId="0246B663" w14:textId="77777777" w:rsidR="0091796C" w:rsidRDefault="00EE56CC">
            <w:r>
              <w:t>Collect Input Issuer ID at its own URL (N4 = No).</w:t>
            </w:r>
          </w:p>
        </w:tc>
      </w:tr>
      <w:tr w:rsidR="0091796C" w14:paraId="27C8C764" w14:textId="77777777">
        <w:tc>
          <w:tcPr>
            <w:tcW w:w="1200" w:type="dxa"/>
          </w:tcPr>
          <w:p w14:paraId="5470F38A" w14:textId="77777777" w:rsidR="0091796C" w:rsidRDefault="00EE56CC">
            <w:r>
              <w:t>O4</w:t>
            </w:r>
          </w:p>
        </w:tc>
        <w:tc>
          <w:tcPr>
            <w:tcW w:w="1600" w:type="dxa"/>
          </w:tcPr>
          <w:p w14:paraId="0C3BE228" w14:textId="77777777" w:rsidR="0091796C" w:rsidRDefault="00EE56CC">
            <w:r>
              <w:t>Outcome</w:t>
            </w:r>
          </w:p>
        </w:tc>
        <w:tc>
          <w:tcPr>
            <w:tcW w:w="6550" w:type="dxa"/>
          </w:tcPr>
          <w:p w14:paraId="705FD705" w14:textId="77777777" w:rsidR="0091796C" w:rsidRDefault="00EE56CC">
            <w:r>
              <w:t>Collect Input Issuer ID at its own URL (N5 = No).</w:t>
            </w:r>
          </w:p>
        </w:tc>
      </w:tr>
      <w:tr w:rsidR="0091796C" w14:paraId="013E0650" w14:textId="77777777">
        <w:tc>
          <w:tcPr>
            <w:tcW w:w="1200" w:type="dxa"/>
          </w:tcPr>
          <w:p w14:paraId="5C960272" w14:textId="77777777" w:rsidR="0091796C" w:rsidRDefault="00EE56CC">
            <w:r>
              <w:t>O5</w:t>
            </w:r>
          </w:p>
        </w:tc>
        <w:tc>
          <w:tcPr>
            <w:tcW w:w="1600" w:type="dxa"/>
          </w:tcPr>
          <w:p w14:paraId="01E8B552" w14:textId="77777777" w:rsidR="0091796C" w:rsidRDefault="00EE56CC">
            <w:r>
              <w:t>Outcome</w:t>
            </w:r>
          </w:p>
        </w:tc>
        <w:tc>
          <w:tcPr>
            <w:tcW w:w="6550" w:type="dxa"/>
          </w:tcPr>
          <w:p w14:paraId="5780BF76" w14:textId="77777777" w:rsidR="0091796C" w:rsidRDefault="00EE56CC">
            <w:r>
              <w:t>Skip collecting the child issuer ID (N6 or N7 = No).</w:t>
            </w:r>
          </w:p>
        </w:tc>
      </w:tr>
      <w:tr w:rsidR="0091796C" w14:paraId="7E1E32EB" w14:textId="77777777">
        <w:tc>
          <w:tcPr>
            <w:tcW w:w="1200" w:type="dxa"/>
          </w:tcPr>
          <w:p w14:paraId="4384D985" w14:textId="77777777" w:rsidR="0091796C" w:rsidRDefault="00EE56CC">
            <w:r>
              <w:t>O6</w:t>
            </w:r>
          </w:p>
        </w:tc>
        <w:tc>
          <w:tcPr>
            <w:tcW w:w="1600" w:type="dxa"/>
          </w:tcPr>
          <w:p w14:paraId="5A998E78" w14:textId="77777777" w:rsidR="0091796C" w:rsidRDefault="00EE56CC">
            <w:r>
              <w:t>Outcome</w:t>
            </w:r>
          </w:p>
        </w:tc>
        <w:tc>
          <w:tcPr>
            <w:tcW w:w="6550" w:type="dxa"/>
          </w:tcPr>
          <w:p w14:paraId="4FFB7E04" w14:textId="77777777" w:rsidR="0091796C" w:rsidRDefault="00EE56CC">
            <w:r>
              <w:t>Collect at the child's own Issuer ID (N7a = No).</w:t>
            </w:r>
          </w:p>
        </w:tc>
      </w:tr>
      <w:tr w:rsidR="0091796C" w14:paraId="51CD2974" w14:textId="77777777">
        <w:tc>
          <w:tcPr>
            <w:tcW w:w="1200" w:type="dxa"/>
          </w:tcPr>
          <w:p w14:paraId="67946EE9" w14:textId="77777777" w:rsidR="0091796C" w:rsidRDefault="00EE56CC">
            <w:r>
              <w:t>O8</w:t>
            </w:r>
          </w:p>
        </w:tc>
        <w:tc>
          <w:tcPr>
            <w:tcW w:w="1600" w:type="dxa"/>
          </w:tcPr>
          <w:p w14:paraId="446FBF21" w14:textId="77777777" w:rsidR="0091796C" w:rsidRDefault="00EE56CC">
            <w:r>
              <w:t>Outcome</w:t>
            </w:r>
          </w:p>
        </w:tc>
        <w:tc>
          <w:tcPr>
            <w:tcW w:w="6550" w:type="dxa"/>
          </w:tcPr>
          <w:p w14:paraId="0E0430B4" w14:textId="77777777" w:rsidR="0091796C" w:rsidRDefault="00EE56CC">
            <w:r>
              <w:t>Collect separately under each child's own Issuer ID (N7a = Yes) — confirmed, not ‘Collect Both’.</w:t>
            </w:r>
          </w:p>
        </w:tc>
      </w:tr>
      <w:tr w:rsidR="0091796C" w14:paraId="23B387EF" w14:textId="77777777">
        <w:tc>
          <w:tcPr>
            <w:tcW w:w="1200" w:type="dxa"/>
          </w:tcPr>
          <w:p w14:paraId="46BC2C98" w14:textId="77777777" w:rsidR="0091796C" w:rsidRDefault="00EE56CC">
            <w:r>
              <w:rPr>
                <w:highlight w:val="yellow"/>
              </w:rPr>
              <w:t>O9</w:t>
            </w:r>
          </w:p>
        </w:tc>
        <w:tc>
          <w:tcPr>
            <w:tcW w:w="1600" w:type="dxa"/>
          </w:tcPr>
          <w:p w14:paraId="3C079ACF" w14:textId="77777777" w:rsidR="0091796C" w:rsidRDefault="00EE56CC">
            <w:r>
              <w:rPr>
                <w:highlight w:val="yellow"/>
              </w:rPr>
              <w:t>Outcome</w:t>
            </w:r>
          </w:p>
        </w:tc>
        <w:tc>
          <w:tcPr>
            <w:tcW w:w="6550" w:type="dxa"/>
          </w:tcPr>
          <w:p w14:paraId="0ACADE01" w14:textId="77777777" w:rsidR="0091796C" w:rsidRDefault="00EE56CC">
            <w:r>
              <w:rPr>
                <w:highlight w:val="yellow"/>
              </w:rPr>
              <w:t>Collect Input Issuer ID at its own URL (N8 = No) — folds a hostname-matching but out-of-scope child into the Input Issuer's own collection; same wording as O3/O4, distinct code for audit trail.</w:t>
            </w:r>
          </w:p>
        </w:tc>
      </w:tr>
    </w:tbl>
    <w:p w14:paraId="39729ED0" w14:textId="77777777" w:rsidR="00EA7C9E" w:rsidRDefault="00EA7C9E">
      <w:pPr>
        <w:spacing w:after="100"/>
      </w:pPr>
    </w:p>
    <w:p w14:paraId="7D4353DF" w14:textId="77777777" w:rsidR="00EA7C9E" w:rsidRDefault="0068040D">
      <w:pPr>
        <w:pStyle w:val="Heading2"/>
        <w:spacing w:before="260" w:after="120"/>
      </w:pPr>
      <w:r>
        <w:rPr>
          <w:highlight w:val="yellow"/>
        </w:rPr>
        <w:t>11.4 Telling the “Collect” Outcomes Apart</w:t>
      </w:r>
    </w:p>
    <w:p w14:paraId="1AF588B3" w14:textId="77777777" w:rsidR="00EA7C9E" w:rsidRDefault="0068040D">
      <w:pPr>
        <w:spacing w:after="160"/>
      </w:pPr>
      <w:r>
        <w:rPr>
          <w:rFonts w:ascii="Arial" w:eastAsia="Arial" w:hAnsi="Arial" w:cs="Arial"/>
          <w:sz w:val="18"/>
          <w:szCs w:val="18"/>
        </w:rPr>
        <w:t>O3, O4, O6, and O8 are the outcomes that result in an entity being collected. This table replaces the v1.1 “Collect Both vs. Collect Child” comparison, which is no longer applicable now that Collect Both has been retired (§3.5).</w:t>
      </w:r>
    </w:p>
    <w:tbl>
      <w:tblPr>
        <w:tblW w:w="94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50"/>
        <w:gridCol w:w="1750"/>
        <w:gridCol w:w="1900"/>
        <w:gridCol w:w="1950"/>
        <w:gridCol w:w="2100"/>
      </w:tblGrid>
      <w:tr w:rsidR="00EA7C9E" w14:paraId="0FE2AC01" w14:textId="77777777">
        <w:trPr>
          <w:tblHeader/>
        </w:trPr>
        <w:tc>
          <w:tcPr>
            <w:tcW w:w="17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88A0A13" w14:textId="77777777" w:rsidR="00EA7C9E" w:rsidRDefault="00EA7C9E"/>
        </w:tc>
        <w:tc>
          <w:tcPr>
            <w:tcW w:w="17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2B16CF2" w14:textId="77777777" w:rsidR="00EA7C9E" w:rsidRDefault="0068040D">
            <w:r>
              <w:rPr>
                <w:rFonts w:ascii="Arial" w:eastAsia="Arial" w:hAnsi="Arial" w:cs="Arial"/>
                <w:b/>
                <w:bCs/>
                <w:color w:val="FFFFFF"/>
                <w:sz w:val="17"/>
                <w:szCs w:val="17"/>
              </w:rPr>
              <w:t>O3</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BAD44ED" w14:textId="77777777" w:rsidR="00EA7C9E" w:rsidRDefault="0068040D">
            <w:r>
              <w:rPr>
                <w:rFonts w:ascii="Arial" w:eastAsia="Arial" w:hAnsi="Arial" w:cs="Arial"/>
                <w:b/>
                <w:bCs/>
                <w:color w:val="FFFFFF"/>
                <w:sz w:val="17"/>
                <w:szCs w:val="17"/>
              </w:rPr>
              <w:t>O4</w:t>
            </w:r>
          </w:p>
        </w:tc>
        <w:tc>
          <w:tcPr>
            <w:tcW w:w="19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139F6BD" w14:textId="77777777" w:rsidR="00EA7C9E" w:rsidRDefault="0068040D">
            <w:r>
              <w:rPr>
                <w:rFonts w:ascii="Arial" w:eastAsia="Arial" w:hAnsi="Arial" w:cs="Arial"/>
                <w:b/>
                <w:bCs/>
                <w:color w:val="FFFFFF"/>
                <w:sz w:val="17"/>
                <w:szCs w:val="17"/>
              </w:rPr>
              <w:t>O6</w:t>
            </w:r>
          </w:p>
        </w:tc>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7BB84CF" w14:textId="77777777" w:rsidR="00EA7C9E" w:rsidRDefault="0068040D">
            <w:r>
              <w:rPr>
                <w:rFonts w:ascii="Arial" w:eastAsia="Arial" w:hAnsi="Arial" w:cs="Arial"/>
                <w:b/>
                <w:bCs/>
                <w:color w:val="FFFFFF"/>
                <w:sz w:val="17"/>
                <w:szCs w:val="17"/>
              </w:rPr>
              <w:t>O8</w:t>
            </w:r>
          </w:p>
        </w:tc>
      </w:tr>
      <w:tr w:rsidR="00EA7C9E" w14:paraId="11AF1DA5" w14:textId="77777777">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5ED5BB0" w14:textId="77777777" w:rsidR="00EA7C9E" w:rsidRDefault="0068040D">
            <w:r>
              <w:rPr>
                <w:rFonts w:ascii="Arial" w:eastAsia="Arial" w:hAnsi="Arial" w:cs="Arial"/>
                <w:color w:val="000000"/>
                <w:sz w:val="17"/>
                <w:szCs w:val="17"/>
              </w:rPr>
              <w:t>Reached from</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DE320B0" w14:textId="77777777" w:rsidR="00EA7C9E" w:rsidRDefault="0068040D">
            <w:r>
              <w:rPr>
                <w:rFonts w:ascii="Arial" w:eastAsia="Arial" w:hAnsi="Arial" w:cs="Arial"/>
                <w:color w:val="000000"/>
                <w:sz w:val="17"/>
                <w:szCs w:val="17"/>
              </w:rPr>
              <w:t>N4 = No (no children)</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D69F128" w14:textId="77777777" w:rsidR="00EA7C9E" w:rsidRDefault="0068040D">
            <w:r>
              <w:rPr>
                <w:rFonts w:ascii="Arial" w:eastAsia="Arial" w:hAnsi="Arial" w:cs="Arial"/>
                <w:color w:val="000000"/>
                <w:sz w:val="17"/>
                <w:szCs w:val="17"/>
              </w:rPr>
              <w:t>N5 = No (child has no Issuer ID)</w:t>
            </w:r>
          </w:p>
        </w:tc>
        <w:tc>
          <w:tcPr>
            <w:tcW w:w="1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45550B1" w14:textId="77777777" w:rsidR="00EA7C9E" w:rsidRDefault="0068040D">
            <w:r>
              <w:rPr>
                <w:rFonts w:ascii="Arial" w:eastAsia="Arial" w:hAnsi="Arial" w:cs="Arial"/>
                <w:color w:val="000000"/>
                <w:sz w:val="17"/>
                <w:szCs w:val="17"/>
              </w:rPr>
              <w:t>N7a = No (hostname match, unambiguous)</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80562E1" w14:textId="77777777" w:rsidR="00EA7C9E" w:rsidRDefault="0068040D">
            <w:r>
              <w:rPr>
                <w:rFonts w:ascii="Arial" w:eastAsia="Arial" w:hAnsi="Arial" w:cs="Arial"/>
                <w:color w:val="000000"/>
                <w:sz w:val="17"/>
                <w:szCs w:val="17"/>
              </w:rPr>
              <w:t>N7a = Yes (hostname match, 2+ children share it)</w:t>
            </w:r>
          </w:p>
        </w:tc>
      </w:tr>
      <w:tr w:rsidR="00EA7C9E" w14:paraId="6029CCD7" w14:textId="77777777">
        <w:tc>
          <w:tcPr>
            <w:tcW w:w="175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0610F67F" w14:textId="77777777" w:rsidR="00EA7C9E" w:rsidRDefault="0068040D">
            <w:r>
              <w:rPr>
                <w:rFonts w:ascii="Arial" w:eastAsia="Arial" w:hAnsi="Arial" w:cs="Arial"/>
                <w:color w:val="000000"/>
                <w:sz w:val="17"/>
                <w:szCs w:val="17"/>
              </w:rPr>
              <w:t>What gets collected</w:t>
            </w:r>
          </w:p>
        </w:tc>
        <w:tc>
          <w:tcPr>
            <w:tcW w:w="175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53CD186A" w14:textId="77777777" w:rsidR="00EA7C9E" w:rsidRDefault="0068040D">
            <w:r>
              <w:rPr>
                <w:rFonts w:ascii="Arial" w:eastAsia="Arial" w:hAnsi="Arial" w:cs="Arial"/>
                <w:color w:val="000000"/>
                <w:sz w:val="17"/>
                <w:szCs w:val="17"/>
              </w:rPr>
              <w:t>Input Issuer's own URL</w:t>
            </w:r>
          </w:p>
        </w:tc>
        <w:tc>
          <w:tcPr>
            <w:tcW w:w="19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7E2E6FC6" w14:textId="77777777" w:rsidR="00EA7C9E" w:rsidRDefault="0068040D">
            <w:r>
              <w:rPr>
                <w:rFonts w:ascii="Arial" w:eastAsia="Arial" w:hAnsi="Arial" w:cs="Arial"/>
                <w:color w:val="000000"/>
                <w:sz w:val="17"/>
                <w:szCs w:val="17"/>
              </w:rPr>
              <w:t>Input Issuer's own URL (nothing separate for the child)</w:t>
            </w:r>
          </w:p>
        </w:tc>
        <w:tc>
          <w:tcPr>
            <w:tcW w:w="195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5682F3E4" w14:textId="77777777" w:rsidR="00EA7C9E" w:rsidRDefault="0068040D">
            <w:r>
              <w:rPr>
                <w:rFonts w:ascii="Arial" w:eastAsia="Arial" w:hAnsi="Arial" w:cs="Arial"/>
                <w:color w:val="000000"/>
                <w:sz w:val="17"/>
                <w:szCs w:val="17"/>
              </w:rPr>
              <w:t>The child's own, distinct URL</w:t>
            </w:r>
          </w:p>
        </w:tc>
        <w:tc>
          <w:tcPr>
            <w:tcW w:w="21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78D3607E" w14:textId="77777777" w:rsidR="00EA7C9E" w:rsidRDefault="0068040D">
            <w:r>
              <w:rPr>
                <w:rFonts w:ascii="Arial" w:eastAsia="Arial" w:hAnsi="Arial" w:cs="Arial"/>
                <w:color w:val="000000"/>
                <w:sz w:val="17"/>
                <w:szCs w:val="17"/>
              </w:rPr>
              <w:t>The shared URL, once per sibling child</w:t>
            </w:r>
          </w:p>
        </w:tc>
      </w:tr>
      <w:tr w:rsidR="00EA7C9E" w14:paraId="3324F00F" w14:textId="77777777">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EA432BE" w14:textId="77777777" w:rsidR="00EA7C9E" w:rsidRDefault="0068040D">
            <w:r>
              <w:rPr>
                <w:rFonts w:ascii="Arial" w:eastAsia="Arial" w:hAnsi="Arial" w:cs="Arial"/>
                <w:color w:val="000000"/>
                <w:sz w:val="17"/>
                <w:szCs w:val="17"/>
              </w:rPr>
              <w:t>issuer_id used</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C3B664F" w14:textId="77777777" w:rsidR="00EA7C9E" w:rsidRDefault="0068040D">
            <w:r>
              <w:rPr>
                <w:rFonts w:ascii="Arial" w:eastAsia="Arial" w:hAnsi="Arial" w:cs="Arial"/>
                <w:color w:val="000000"/>
                <w:sz w:val="17"/>
                <w:szCs w:val="17"/>
              </w:rPr>
              <w:t>Input Issuer</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DD0C2E2" w14:textId="77777777" w:rsidR="00EA7C9E" w:rsidRDefault="0068040D">
            <w:r>
              <w:rPr>
                <w:rFonts w:ascii="Arial" w:eastAsia="Arial" w:hAnsi="Arial" w:cs="Arial"/>
                <w:color w:val="000000"/>
                <w:sz w:val="17"/>
                <w:szCs w:val="17"/>
              </w:rPr>
              <w:t>Input Issuer</w:t>
            </w:r>
          </w:p>
        </w:tc>
        <w:tc>
          <w:tcPr>
            <w:tcW w:w="1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CD13E4D" w14:textId="77777777" w:rsidR="00EA7C9E" w:rsidRDefault="0068040D">
            <w:r>
              <w:rPr>
                <w:rFonts w:ascii="Arial" w:eastAsia="Arial" w:hAnsi="Arial" w:cs="Arial"/>
                <w:color w:val="000000"/>
                <w:sz w:val="17"/>
                <w:szCs w:val="17"/>
              </w:rPr>
              <w:t>The child's own Issuer ID</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25006E2" w14:textId="77777777" w:rsidR="00EA7C9E" w:rsidRDefault="0068040D">
            <w:r>
              <w:rPr>
                <w:rFonts w:ascii="Arial" w:eastAsia="Arial" w:hAnsi="Arial" w:cs="Arial"/>
                <w:color w:val="000000"/>
                <w:sz w:val="17"/>
                <w:szCs w:val="17"/>
              </w:rPr>
              <w:t>Each sibling child's own Issuer ID</w:t>
            </w:r>
          </w:p>
        </w:tc>
      </w:tr>
      <w:tr w:rsidR="00EA7C9E" w14:paraId="0F67A1A3" w14:textId="77777777">
        <w:tc>
          <w:tcPr>
            <w:tcW w:w="175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2B1A2EC4" w14:textId="77777777" w:rsidR="00EA7C9E" w:rsidRDefault="0068040D">
            <w:r>
              <w:rPr>
                <w:rFonts w:ascii="Arial" w:eastAsia="Arial" w:hAnsi="Arial" w:cs="Arial"/>
                <w:color w:val="000000"/>
                <w:sz w:val="17"/>
                <w:szCs w:val="17"/>
              </w:rPr>
              <w:t>is_subsidiary</w:t>
            </w:r>
          </w:p>
        </w:tc>
        <w:tc>
          <w:tcPr>
            <w:tcW w:w="175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2680DB56" w14:textId="77777777" w:rsidR="00EA7C9E" w:rsidRDefault="0068040D">
            <w:r>
              <w:rPr>
                <w:rFonts w:ascii="Arial" w:eastAsia="Arial" w:hAnsi="Arial" w:cs="Arial"/>
                <w:color w:val="000000"/>
                <w:sz w:val="17"/>
                <w:szCs w:val="17"/>
              </w:rPr>
              <w:t>No</w:t>
            </w:r>
          </w:p>
        </w:tc>
        <w:tc>
          <w:tcPr>
            <w:tcW w:w="19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386B4CAE" w14:textId="77777777" w:rsidR="00EA7C9E" w:rsidRDefault="0068040D">
            <w:r>
              <w:rPr>
                <w:rFonts w:ascii="Arial" w:eastAsia="Arial" w:hAnsi="Arial" w:cs="Arial"/>
                <w:color w:val="000000"/>
                <w:sz w:val="17"/>
                <w:szCs w:val="17"/>
              </w:rPr>
              <w:t>No (no child row exists)</w:t>
            </w:r>
          </w:p>
        </w:tc>
        <w:tc>
          <w:tcPr>
            <w:tcW w:w="195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07699245" w14:textId="77777777" w:rsidR="00EA7C9E" w:rsidRDefault="0068040D">
            <w:r>
              <w:rPr>
                <w:rFonts w:ascii="Arial" w:eastAsia="Arial" w:hAnsi="Arial" w:cs="Arial"/>
                <w:color w:val="000000"/>
                <w:sz w:val="17"/>
                <w:szCs w:val="17"/>
              </w:rPr>
              <w:t>Yes</w:t>
            </w:r>
          </w:p>
        </w:tc>
        <w:tc>
          <w:tcPr>
            <w:tcW w:w="2100" w:type="dxa"/>
            <w:tcBorders>
              <w:top w:val="single" w:sz="4" w:space="0" w:color="BFBFBF"/>
              <w:left w:val="single" w:sz="4" w:space="0" w:color="BFBFBF"/>
              <w:bottom w:val="single" w:sz="4" w:space="0" w:color="BFBFBF"/>
              <w:right w:val="single" w:sz="4" w:space="0" w:color="BFBFBF"/>
            </w:tcBorders>
            <w:shd w:val="clear" w:color="auto" w:fill="E8EDF5"/>
            <w:tcMar>
              <w:top w:w="60" w:type="dxa"/>
              <w:left w:w="100" w:type="dxa"/>
              <w:bottom w:w="60" w:type="dxa"/>
              <w:right w:w="100" w:type="dxa"/>
            </w:tcMar>
            <w:vAlign w:val="center"/>
          </w:tcPr>
          <w:p w14:paraId="781D197C" w14:textId="77777777" w:rsidR="00EA7C9E" w:rsidRDefault="0068040D">
            <w:r>
              <w:rPr>
                <w:rFonts w:ascii="Arial" w:eastAsia="Arial" w:hAnsi="Arial" w:cs="Arial"/>
                <w:color w:val="000000"/>
                <w:sz w:val="17"/>
                <w:szCs w:val="17"/>
              </w:rPr>
              <w:t>Yes (for each sibling row)</w:t>
            </w:r>
          </w:p>
        </w:tc>
      </w:tr>
      <w:tr w:rsidR="00EA7C9E" w14:paraId="103456BC" w14:textId="77777777">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5B099CC" w14:textId="77777777" w:rsidR="00EA7C9E" w:rsidRDefault="0068040D">
            <w:r>
              <w:rPr>
                <w:rFonts w:ascii="Arial" w:eastAsia="Arial" w:hAnsi="Arial" w:cs="Arial"/>
                <w:color w:val="000000"/>
                <w:sz w:val="17"/>
                <w:szCs w:val="17"/>
              </w:rPr>
              <w:t>Number of rows created</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308E7B3" w14:textId="77777777" w:rsidR="00EA7C9E" w:rsidRDefault="0068040D">
            <w:r>
              <w:rPr>
                <w:rFonts w:ascii="Arial" w:eastAsia="Arial" w:hAnsi="Arial" w:cs="Arial"/>
                <w:color w:val="000000"/>
                <w:sz w:val="17"/>
                <w:szCs w:val="17"/>
              </w:rPr>
              <w:t>One (Input Issuer)</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7AD8787" w14:textId="77777777" w:rsidR="00EA7C9E" w:rsidRDefault="0068040D">
            <w:r>
              <w:rPr>
                <w:rFonts w:ascii="Arial" w:eastAsia="Arial" w:hAnsi="Arial" w:cs="Arial"/>
                <w:color w:val="000000"/>
                <w:sz w:val="17"/>
                <w:szCs w:val="17"/>
              </w:rPr>
              <w:t>One (Input Issuer) — zero for the child</w:t>
            </w:r>
          </w:p>
        </w:tc>
        <w:tc>
          <w:tcPr>
            <w:tcW w:w="1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7354D83" w14:textId="77777777" w:rsidR="00EA7C9E" w:rsidRDefault="0068040D">
            <w:r>
              <w:rPr>
                <w:rFonts w:ascii="Arial" w:eastAsia="Arial" w:hAnsi="Arial" w:cs="Arial"/>
                <w:color w:val="000000"/>
                <w:sz w:val="17"/>
                <w:szCs w:val="17"/>
              </w:rPr>
              <w:t>Two (Input Issuer + child)</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2EB8404" w14:textId="77777777" w:rsidR="00EA7C9E" w:rsidRDefault="0068040D">
            <w:r>
              <w:rPr>
                <w:rFonts w:ascii="Arial" w:eastAsia="Arial" w:hAnsi="Arial" w:cs="Arial"/>
                <w:color w:val="000000"/>
                <w:sz w:val="17"/>
                <w:szCs w:val="17"/>
              </w:rPr>
              <w:t>One per sibling child sharing the URL, plus the Input Issuer</w:t>
            </w:r>
          </w:p>
        </w:tc>
      </w:tr>
    </w:tbl>
    <w:p w14:paraId="42F03680" w14:textId="77777777" w:rsidR="00EA7C9E" w:rsidRDefault="0068040D">
      <w:pPr>
        <w:pStyle w:val="Heading2"/>
        <w:spacing w:before="260" w:after="120"/>
      </w:pPr>
      <w:r>
        <w:rPr>
          <w:highlight w:val="yellow"/>
        </w:rPr>
        <w:t>O9 behaves like O4: no separate child-level row is created, and the child's evidence is folded into the Input Issuer's own collection. It is kept as a distinct outcome code (like O3 vs. O4) because it is reached via a different trigger — N8 = No, after the child has already survived N5–N7a — for audit-trail purposes. See §3.2 (RULE N8) and §3.3 (Note on O3, O4, and O9).</w:t>
      </w:r>
    </w:p>
    <w:p w14:paraId="14679BED" w14:textId="77777777" w:rsidR="00EA7C9E" w:rsidRDefault="00EA7C9E">
      <w:pPr>
        <w:spacing w:after="100"/>
      </w:pPr>
    </w:p>
    <w:p w14:paraId="65D59B40" w14:textId="77777777" w:rsidR="00EA7C9E" w:rsidRDefault="0068040D">
      <w:pPr>
        <w:spacing w:after="160"/>
      </w:pPr>
      <w:r>
        <w:rPr>
          <w:rFonts w:ascii="Arial" w:eastAsia="Arial" w:hAnsi="Arial" w:cs="Arial"/>
          <w:b/>
          <w:bCs/>
          <w:sz w:val="18"/>
          <w:szCs w:val="18"/>
        </w:rPr>
        <w:t xml:space="preserve">On the retirement of Collect Both: </w:t>
      </w:r>
      <w:r>
        <w:rPr>
          <w:rFonts w:ascii="Arial" w:eastAsia="Arial" w:hAnsi="Arial" w:cs="Arial"/>
          <w:sz w:val="18"/>
          <w:szCs w:val="18"/>
        </w:rPr>
        <w:t>v1.1 of this module included a “Collect Both” outcome that treated independently-rated children as peers, collected independently of any URL/domain test. That outcome is not present in this tree and has not been reintroduced: rated-child status (child_univ_source) is confirmed NOT to be a routing factor (§3.5). A rated child with a non-matching hostname is skipped (O5) exactly like any other child, with no override, loop-back, or enrichment, and no distinct flagging beyond the ordinary O5 gap-log entry.</w:t>
      </w:r>
    </w:p>
    <w:p w14:paraId="4EB1E361" w14:textId="77777777" w:rsidR="00EA7C9E" w:rsidRDefault="00EA7C9E">
      <w:pPr>
        <w:spacing w:after="100"/>
      </w:pPr>
    </w:p>
    <w:sectPr w:rsidR="00EA7C9E">
      <w:footerReference w:type="even" r:id="rId15"/>
      <w:footerReference w:type="default" r:id="rId16"/>
      <w:footerReference w:type="first" r:id="rId17"/>
      <w:pgSz w:w="12240" w:h="15840"/>
      <w:pgMar w:top="1080" w:right="1080" w:bottom="1080" w:left="108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ro, Sheinna" w:date="2026-08-06T17:42:00Z" w:initials="SC">
    <w:p w14:paraId="3D1220C4" w14:textId="77777777" w:rsidR="006A5BED" w:rsidRDefault="00294577" w:rsidP="006A5BED">
      <w:pPr>
        <w:pStyle w:val="CommentText"/>
      </w:pPr>
      <w:r>
        <w:rPr>
          <w:rStyle w:val="CommentReference"/>
        </w:rPr>
        <w:annotationRef/>
      </w:r>
      <w:r w:rsidR="006A5BED">
        <w:t>N7a = No will also route to Child scope check (N8)</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1220C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BC4C0D" w16cex:dateUtc="2026-08-06T09: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1220C4" w16cid:durableId="2DBC4C0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EB1E5" w14:textId="77777777" w:rsidR="004B5C66" w:rsidRDefault="004B5C66">
      <w:r>
        <w:separator/>
      </w:r>
    </w:p>
  </w:endnote>
  <w:endnote w:type="continuationSeparator" w:id="0">
    <w:p w14:paraId="51E053FC" w14:textId="77777777" w:rsidR="004B5C66" w:rsidRDefault="004B5C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3E771" w14:textId="77777777" w:rsidR="00AE4BE2" w:rsidRDefault="00AE4BE2">
    <w:pPr>
      <w:pStyle w:val="Footer"/>
    </w:pPr>
    <w:r>
      <w:rPr>
        <w:noProof/>
      </w:rPr>
      <mc:AlternateContent>
        <mc:Choice Requires="wps">
          <w:drawing>
            <wp:anchor distT="0" distB="0" distL="0" distR="0" simplePos="0" relativeHeight="251659264" behindDoc="0" locked="0" layoutInCell="1" allowOverlap="1" wp14:anchorId="2B6C6121" wp14:editId="557BC6CF">
              <wp:simplePos x="635" y="635"/>
              <wp:positionH relativeFrom="page">
                <wp:align>center</wp:align>
              </wp:positionH>
              <wp:positionV relativeFrom="page">
                <wp:align>bottom</wp:align>
              </wp:positionV>
              <wp:extent cx="1828800" cy="323850"/>
              <wp:effectExtent l="0" t="0" r="0" b="0"/>
              <wp:wrapNone/>
              <wp:docPr id="1182239483" name="Text Box 2" descr="Information Classification: GENERAL">
                <a:extLst xmlns:a="http://schemas.openxmlformats.org/drawingml/2006/main">
                  <a:ext uri="{FF2B5EF4-FFF2-40B4-BE49-F238E27FC236}">
                    <a16:creationId xmlns:a16="http://schemas.microsoft.com/office/drawing/2014/main" id="{D64DFE54-FB39-49DB-A714-D9B12D1FCE1C}"/>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28800" cy="323850"/>
                      </a:xfrm>
                      <a:prstGeom prst="rect">
                        <a:avLst/>
                      </a:prstGeom>
                      <a:noFill/>
                      <a:ln>
                        <a:noFill/>
                      </a:ln>
                    </wps:spPr>
                    <wps:txbx>
                      <w:txbxContent>
                        <w:p w14:paraId="04663C4F" w14:textId="77777777" w:rsidR="00AE4BE2" w:rsidRPr="00AE4BE2" w:rsidRDefault="00AE4BE2" w:rsidP="00AE4BE2">
                          <w:pPr>
                            <w:rPr>
                              <w:rFonts w:ascii="Aptos" w:eastAsia="Aptos" w:hAnsi="Aptos" w:cs="Aptos"/>
                              <w:noProof/>
                              <w:color w:val="000000"/>
                              <w:sz w:val="18"/>
                              <w:szCs w:val="18"/>
                            </w:rPr>
                          </w:pPr>
                          <w:r w:rsidRPr="00AE4BE2">
                            <w:rPr>
                              <w:rFonts w:ascii="Aptos" w:eastAsia="Aptos" w:hAnsi="Aptos" w:cs="Aptos"/>
                              <w:noProof/>
                              <w:color w:val="000000"/>
                              <w:sz w:val="18"/>
                              <w:szCs w:val="18"/>
                            </w:rPr>
                            <w:t>Information Classification: 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B6C6121" id="_x0000_t202" coordsize="21600,21600" o:spt="202" path="m,l,21600r21600,l21600,xe">
              <v:stroke joinstyle="miter"/>
              <v:path gradientshapeok="t" o:connecttype="rect"/>
            </v:shapetype>
            <v:shape id="Text Box 2" o:spid="_x0000_s1026" type="#_x0000_t202" alt="Information Classification: GENERAL" style="position:absolute;margin-left:0;margin-top:0;width:2in;height:25.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" filled="f" stroked="f">
              <v:textbox style="mso-fit-shape-to-text:t" inset="0,0,0,15pt">
                <w:txbxContent>
                  <w:p w14:paraId="04663C4F" w14:textId="77777777" w:rsidR="00AE4BE2" w:rsidRPr="00AE4BE2" w:rsidRDefault="00AE4BE2" w:rsidP="00AE4BE2">
                    <w:pPr>
                      <w:rPr>
                        <w:rFonts w:ascii="Aptos" w:eastAsia="Aptos" w:hAnsi="Aptos" w:cs="Aptos"/>
                        <w:noProof/>
                        <w:color w:val="000000"/>
                        <w:sz w:val="18"/>
                        <w:szCs w:val="18"/>
                      </w:rPr>
                    </w:pPr>
                    <w:r w:rsidRPr="00AE4BE2">
                      <w:rPr>
                        <w:rFonts w:ascii="Aptos" w:eastAsia="Aptos" w:hAnsi="Aptos" w:cs="Aptos"/>
                        <w:noProof/>
                        <w:color w:val="000000"/>
                        <w:sz w:val="18"/>
                        <w:szCs w:val="18"/>
                      </w:rPr>
                      <w:t>Information Classification: 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1CFD8" w14:textId="77777777" w:rsidR="00EA7C9E" w:rsidRDefault="00AE4BE2">
    <w:pPr>
      <w:jc w:val="center"/>
    </w:pPr>
    <w:r>
      <w:rPr>
        <w:rFonts w:ascii="Arial" w:eastAsia="Arial" w:hAnsi="Arial" w:cs="Arial"/>
        <w:noProof/>
        <w:color w:val="888888"/>
        <w:sz w:val="14"/>
        <w:szCs w:val="14"/>
      </w:rPr>
      <mc:AlternateContent>
        <mc:Choice Requires="wps">
          <w:drawing>
            <wp:anchor distT="0" distB="0" distL="0" distR="0" simplePos="0" relativeHeight="251660288" behindDoc="0" locked="0" layoutInCell="1" allowOverlap="1" wp14:anchorId="2932C541" wp14:editId="5A74B363">
              <wp:simplePos x="635" y="635"/>
              <wp:positionH relativeFrom="page">
                <wp:align>center</wp:align>
              </wp:positionH>
              <wp:positionV relativeFrom="page">
                <wp:align>bottom</wp:align>
              </wp:positionV>
              <wp:extent cx="1828800" cy="323850"/>
              <wp:effectExtent l="0" t="0" r="0" b="0"/>
              <wp:wrapNone/>
              <wp:docPr id="123618777" name="Text Box 3" descr="Information Classification: GENERAL">
                <a:extLst xmlns:a="http://schemas.openxmlformats.org/drawingml/2006/main">
                  <a:ext uri="{FF2B5EF4-FFF2-40B4-BE49-F238E27FC236}">
                    <a16:creationId xmlns:a16="http://schemas.microsoft.com/office/drawing/2014/main" id="{F12CB5B1-8FE2-4107-8C95-5D5A27340505}"/>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28800" cy="323850"/>
                      </a:xfrm>
                      <a:prstGeom prst="rect">
                        <a:avLst/>
                      </a:prstGeom>
                      <a:noFill/>
                      <a:ln>
                        <a:noFill/>
                      </a:ln>
                    </wps:spPr>
                    <wps:txbx>
                      <w:txbxContent>
                        <w:p w14:paraId="47A68991" w14:textId="77777777" w:rsidR="00AE4BE2" w:rsidRPr="00AE4BE2" w:rsidRDefault="00AE4BE2" w:rsidP="00AE4BE2">
                          <w:pPr>
                            <w:rPr>
                              <w:rFonts w:ascii="Aptos" w:eastAsia="Aptos" w:hAnsi="Aptos" w:cs="Aptos"/>
                              <w:noProof/>
                              <w:color w:val="000000"/>
                              <w:sz w:val="18"/>
                              <w:szCs w:val="18"/>
                            </w:rPr>
                          </w:pPr>
                          <w:r w:rsidRPr="00AE4BE2">
                            <w:rPr>
                              <w:rFonts w:ascii="Aptos" w:eastAsia="Aptos" w:hAnsi="Aptos" w:cs="Aptos"/>
                              <w:noProof/>
                              <w:color w:val="000000"/>
                              <w:sz w:val="18"/>
                              <w:szCs w:val="18"/>
                            </w:rPr>
                            <w:t>Information Classification: 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932C541" id="_x0000_t202" coordsize="21600,21600" o:spt="202" path="m,l,21600r21600,l21600,xe">
              <v:stroke joinstyle="miter"/>
              <v:path gradientshapeok="t" o:connecttype="rect"/>
            </v:shapetype>
            <v:shape id="Text Box 3" o:spid="_x0000_s1027" type="#_x0000_t202" alt="Information Classification: GENERAL" style="position:absolute;left:0;text-align:left;margin-left:0;margin-top:0;width:2in;height:25.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" filled="f" stroked="f">
              <v:textbox style="mso-fit-shape-to-text:t" inset="0,0,0,15pt">
                <w:txbxContent>
                  <w:p w14:paraId="47A68991" w14:textId="77777777" w:rsidR="00AE4BE2" w:rsidRPr="00AE4BE2" w:rsidRDefault="00AE4BE2" w:rsidP="00AE4BE2">
                    <w:pPr>
                      <w:rPr>
                        <w:rFonts w:ascii="Aptos" w:eastAsia="Aptos" w:hAnsi="Aptos" w:cs="Aptos"/>
                        <w:noProof/>
                        <w:color w:val="000000"/>
                        <w:sz w:val="18"/>
                        <w:szCs w:val="18"/>
                      </w:rPr>
                    </w:pPr>
                    <w:r w:rsidRPr="00AE4BE2">
                      <w:rPr>
                        <w:rFonts w:ascii="Aptos" w:eastAsia="Aptos" w:hAnsi="Aptos" w:cs="Aptos"/>
                        <w:noProof/>
                        <w:color w:val="000000"/>
                        <w:sz w:val="18"/>
                        <w:szCs w:val="18"/>
                      </w:rPr>
                      <w:t>Information Classification: GENERAL</w:t>
                    </w:r>
                  </w:p>
                </w:txbxContent>
              </v:textbox>
              <w10:wrap anchorx="page" anchory="page"/>
            </v:shape>
          </w:pict>
        </mc:Fallback>
      </mc:AlternateContent>
    </w:r>
    <w:r w:rsidR="0068040D">
      <w:rPr>
        <w:rFonts w:ascii="Arial" w:eastAsia="Arial" w:hAnsi="Arial" w:cs="Arial"/>
        <w:color w:val="888888"/>
        <w:sz w:val="14"/>
        <w:szCs w:val="14"/>
      </w:rPr>
      <w:t>Information Classification: GENERAL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22A08" w14:textId="77777777" w:rsidR="00AE4BE2" w:rsidRDefault="00AE4BE2">
    <w:pPr>
      <w:pStyle w:val="Footer"/>
    </w:pPr>
    <w:r>
      <w:rPr>
        <w:noProof/>
      </w:rPr>
      <mc:AlternateContent>
        <mc:Choice Requires="wps">
          <w:drawing>
            <wp:anchor distT="0" distB="0" distL="0" distR="0" simplePos="0" relativeHeight="251658240" behindDoc="0" locked="0" layoutInCell="1" allowOverlap="1" wp14:anchorId="4AA778D3" wp14:editId="5D64121C">
              <wp:simplePos x="635" y="635"/>
              <wp:positionH relativeFrom="page">
                <wp:align>center</wp:align>
              </wp:positionH>
              <wp:positionV relativeFrom="page">
                <wp:align>bottom</wp:align>
              </wp:positionV>
              <wp:extent cx="1828800" cy="323850"/>
              <wp:effectExtent l="0" t="0" r="0" b="0"/>
              <wp:wrapNone/>
              <wp:docPr id="31570945" name="Text Box 1" descr="Information Classification: GENERAL">
                <a:extLst xmlns:a="http://schemas.openxmlformats.org/drawingml/2006/main">
                  <a:ext uri="{FF2B5EF4-FFF2-40B4-BE49-F238E27FC236}">
                    <a16:creationId xmlns:a16="http://schemas.microsoft.com/office/drawing/2014/main" id="{0891545F-1C7A-4EBB-987B-37BE93038111}"/>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28800" cy="323850"/>
                      </a:xfrm>
                      <a:prstGeom prst="rect">
                        <a:avLst/>
                      </a:prstGeom>
                      <a:noFill/>
                      <a:ln>
                        <a:noFill/>
                      </a:ln>
                    </wps:spPr>
                    <wps:txbx>
                      <w:txbxContent>
                        <w:p w14:paraId="03CE574B" w14:textId="77777777" w:rsidR="00AE4BE2" w:rsidRPr="00AE4BE2" w:rsidRDefault="00AE4BE2" w:rsidP="00AE4BE2">
                          <w:pPr>
                            <w:rPr>
                              <w:rFonts w:ascii="Aptos" w:eastAsia="Aptos" w:hAnsi="Aptos" w:cs="Aptos"/>
                              <w:noProof/>
                              <w:color w:val="000000"/>
                              <w:sz w:val="18"/>
                              <w:szCs w:val="18"/>
                            </w:rPr>
                          </w:pPr>
                          <w:r w:rsidRPr="00AE4BE2">
                            <w:rPr>
                              <w:rFonts w:ascii="Aptos" w:eastAsia="Aptos" w:hAnsi="Aptos" w:cs="Aptos"/>
                              <w:noProof/>
                              <w:color w:val="000000"/>
                              <w:sz w:val="18"/>
                              <w:szCs w:val="18"/>
                            </w:rPr>
                            <w:t>Information Classification: 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AA778D3" id="_x0000_t202" coordsize="21600,21600" o:spt="202" path="m,l,21600r21600,l21600,xe">
              <v:stroke joinstyle="miter"/>
              <v:path gradientshapeok="t" o:connecttype="rect"/>
            </v:shapetype>
            <v:shape id="Text Box 1" o:spid="_x0000_s1028" type="#_x0000_t202" alt="Information Classification: GENERAL" style="position:absolute;margin-left:0;margin-top:0;width:2in;height:25.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" filled="f" stroked="f">
              <v:textbox style="mso-fit-shape-to-text:t" inset="0,0,0,15pt">
                <w:txbxContent>
                  <w:p w14:paraId="03CE574B" w14:textId="77777777" w:rsidR="00AE4BE2" w:rsidRPr="00AE4BE2" w:rsidRDefault="00AE4BE2" w:rsidP="00AE4BE2">
                    <w:pPr>
                      <w:rPr>
                        <w:rFonts w:ascii="Aptos" w:eastAsia="Aptos" w:hAnsi="Aptos" w:cs="Aptos"/>
                        <w:noProof/>
                        <w:color w:val="000000"/>
                        <w:sz w:val="18"/>
                        <w:szCs w:val="18"/>
                      </w:rPr>
                    </w:pPr>
                    <w:r w:rsidRPr="00AE4BE2">
                      <w:rPr>
                        <w:rFonts w:ascii="Aptos" w:eastAsia="Aptos" w:hAnsi="Aptos" w:cs="Aptos"/>
                        <w:noProof/>
                        <w:color w:val="000000"/>
                        <w:sz w:val="18"/>
                        <w:szCs w:val="18"/>
                      </w:rPr>
                      <w:t>Information Classification: 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1A280" w14:textId="77777777" w:rsidR="004B5C66" w:rsidRDefault="004B5C66">
      <w:r>
        <w:separator/>
      </w:r>
    </w:p>
  </w:footnote>
  <w:footnote w:type="continuationSeparator" w:id="0">
    <w:p w14:paraId="6FCDDB7C" w14:textId="77777777" w:rsidR="004B5C66" w:rsidRDefault="004B5C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442FF8"/>
    <w:multiLevelType w:val="hybridMultilevel"/>
    <w:tmpl w:val="FFFFFFFF"/>
    <w:lvl w:ilvl="0" w:tplc="704A38FA">
      <w:start w:val="1"/>
      <w:numFmt w:val="bullet"/>
      <w:lvlText w:val="●"/>
      <w:lvlJc w:val="left"/>
      <w:pPr>
        <w:ind w:left="720" w:hanging="360"/>
      </w:pPr>
    </w:lvl>
    <w:lvl w:ilvl="1" w:tplc="17428ABC">
      <w:start w:val="1"/>
      <w:numFmt w:val="bullet"/>
      <w:lvlText w:val="○"/>
      <w:lvlJc w:val="left"/>
      <w:pPr>
        <w:ind w:left="1440" w:hanging="360"/>
      </w:pPr>
    </w:lvl>
    <w:lvl w:ilvl="2" w:tplc="C4CEB88C">
      <w:start w:val="1"/>
      <w:numFmt w:val="bullet"/>
      <w:lvlText w:val="■"/>
      <w:lvlJc w:val="left"/>
      <w:pPr>
        <w:ind w:left="2160" w:hanging="360"/>
      </w:pPr>
    </w:lvl>
    <w:lvl w:ilvl="3" w:tplc="72302BCE">
      <w:start w:val="1"/>
      <w:numFmt w:val="bullet"/>
      <w:lvlText w:val="●"/>
      <w:lvlJc w:val="left"/>
      <w:pPr>
        <w:ind w:left="2880" w:hanging="360"/>
      </w:pPr>
    </w:lvl>
    <w:lvl w:ilvl="4" w:tplc="C922B248">
      <w:start w:val="1"/>
      <w:numFmt w:val="bullet"/>
      <w:lvlText w:val="○"/>
      <w:lvlJc w:val="left"/>
      <w:pPr>
        <w:ind w:left="3600" w:hanging="360"/>
      </w:pPr>
    </w:lvl>
    <w:lvl w:ilvl="5" w:tplc="E23478D2">
      <w:start w:val="1"/>
      <w:numFmt w:val="bullet"/>
      <w:lvlText w:val="■"/>
      <w:lvlJc w:val="left"/>
      <w:pPr>
        <w:ind w:left="4320" w:hanging="360"/>
      </w:pPr>
    </w:lvl>
    <w:lvl w:ilvl="6" w:tplc="A82C1FB6">
      <w:start w:val="1"/>
      <w:numFmt w:val="bullet"/>
      <w:lvlText w:val="●"/>
      <w:lvlJc w:val="left"/>
      <w:pPr>
        <w:ind w:left="5040" w:hanging="360"/>
      </w:pPr>
    </w:lvl>
    <w:lvl w:ilvl="7" w:tplc="F104D65A">
      <w:start w:val="1"/>
      <w:numFmt w:val="bullet"/>
      <w:lvlText w:val="●"/>
      <w:lvlJc w:val="left"/>
      <w:pPr>
        <w:ind w:left="5760" w:hanging="360"/>
      </w:pPr>
    </w:lvl>
    <w:lvl w:ilvl="8" w:tplc="DA90768E">
      <w:start w:val="1"/>
      <w:numFmt w:val="bullet"/>
      <w:lvlText w:val="●"/>
      <w:lvlJc w:val="left"/>
      <w:pPr>
        <w:ind w:left="6480" w:hanging="360"/>
      </w:pPr>
    </w:lvl>
  </w:abstractNum>
  <w:num w:numId="1" w16cid:durableId="1879778419">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laro, Sheinna">
    <w15:presenceInfo w15:providerId="AD" w15:userId="S::Sheinna.Claro@msci.com::2151bd69-f91d-49b5-9367-a653220df4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8CA0F2E"/>
    <w:rsid w:val="001B5BC2"/>
    <w:rsid w:val="00201C19"/>
    <w:rsid w:val="00212329"/>
    <w:rsid w:val="0028666D"/>
    <w:rsid w:val="00294577"/>
    <w:rsid w:val="00377566"/>
    <w:rsid w:val="00413426"/>
    <w:rsid w:val="004B5C66"/>
    <w:rsid w:val="005710F8"/>
    <w:rsid w:val="005D4F57"/>
    <w:rsid w:val="005F3610"/>
    <w:rsid w:val="006248F2"/>
    <w:rsid w:val="0068040D"/>
    <w:rsid w:val="006A5BED"/>
    <w:rsid w:val="007364EA"/>
    <w:rsid w:val="00774222"/>
    <w:rsid w:val="00914198"/>
    <w:rsid w:val="0091796C"/>
    <w:rsid w:val="009D4A53"/>
    <w:rsid w:val="00A054CD"/>
    <w:rsid w:val="00AA1949"/>
    <w:rsid w:val="00AE4BE2"/>
    <w:rsid w:val="00C64D4C"/>
    <w:rsid w:val="00EA7C9E"/>
    <w:rsid w:val="00EB2776"/>
    <w:rsid w:val="00EB5D20"/>
    <w:rsid w:val="00EE56CC"/>
    <w:rsid w:val="18CA0F2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84179"/>
  <w15:docId w15:val="{04EF8824-88A6-4E48-A6A5-6B26C6063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AE4BE2"/>
    <w:pPr>
      <w:tabs>
        <w:tab w:val="center" w:pos="4680"/>
        <w:tab w:val="right" w:pos="9360"/>
      </w:tabs>
    </w:pPr>
  </w:style>
  <w:style w:type="character" w:customStyle="1" w:styleId="FooterChar">
    <w:name w:val="Footer Char"/>
    <w:basedOn w:val="DefaultParagraphFont"/>
    <w:link w:val="Footer"/>
    <w:uiPriority w:val="99"/>
    <w:rsid w:val="00AE4BE2"/>
  </w:style>
  <w:style w:type="character" w:styleId="CommentReference">
    <w:name w:val="annotation reference"/>
    <w:basedOn w:val="DefaultParagraphFont"/>
    <w:uiPriority w:val="99"/>
    <w:semiHidden/>
    <w:unhideWhenUsed/>
    <w:rsid w:val="00294577"/>
    <w:rPr>
      <w:sz w:val="16"/>
      <w:szCs w:val="16"/>
    </w:rPr>
  </w:style>
  <w:style w:type="paragraph" w:styleId="CommentText">
    <w:name w:val="annotation text"/>
    <w:basedOn w:val="Normal"/>
    <w:link w:val="CommentTextChar"/>
    <w:uiPriority w:val="99"/>
    <w:unhideWhenUsed/>
    <w:rsid w:val="00294577"/>
  </w:style>
  <w:style w:type="character" w:customStyle="1" w:styleId="CommentTextChar">
    <w:name w:val="Comment Text Char"/>
    <w:basedOn w:val="DefaultParagraphFont"/>
    <w:link w:val="CommentText"/>
    <w:uiPriority w:val="99"/>
    <w:rsid w:val="00294577"/>
  </w:style>
  <w:style w:type="paragraph" w:styleId="CommentSubject">
    <w:name w:val="annotation subject"/>
    <w:basedOn w:val="CommentText"/>
    <w:next w:val="CommentText"/>
    <w:link w:val="CommentSubjectChar"/>
    <w:uiPriority w:val="99"/>
    <w:semiHidden/>
    <w:unhideWhenUsed/>
    <w:rsid w:val="00294577"/>
    <w:rPr>
      <w:b/>
      <w:bCs/>
    </w:rPr>
  </w:style>
  <w:style w:type="character" w:customStyle="1" w:styleId="CommentSubjectChar">
    <w:name w:val="Comment Subject Char"/>
    <w:basedOn w:val="CommentTextChar"/>
    <w:link w:val="CommentSubject"/>
    <w:uiPriority w:val="99"/>
    <w:semiHidden/>
    <w:rsid w:val="002945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ABC933BCD1A33438CF2387F036E0CBD" ma:contentTypeVersion="15" ma:contentTypeDescription="Create a new document." ma:contentTypeScope="" ma:versionID="45e9248924972c120e6909022fca78ea">
  <xsd:schema xmlns:xsd="http://www.w3.org/2001/XMLSchema" xmlns:xs="http://www.w3.org/2001/XMLSchema" xmlns:p="http://schemas.microsoft.com/office/2006/metadata/properties" xmlns:ns1="http://schemas.microsoft.com/sharepoint/v3" xmlns:ns2="c541c039-171c-4677-a99e-6a275b53e9aa" xmlns:ns3="ec00fb24-7c6c-420b-b121-80382dc877ec" targetNamespace="http://schemas.microsoft.com/office/2006/metadata/properties" ma:root="true" ma:fieldsID="735dd2c80a3b6788626235506fdb520f" ns1:_="" ns2:_="" ns3:_="">
    <xsd:import namespace="http://schemas.microsoft.com/sharepoint/v3"/>
    <xsd:import namespace="c541c039-171c-4677-a99e-6a275b53e9aa"/>
    <xsd:import namespace="ec00fb24-7c6c-420b-b121-80382dc877ec"/>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3:SharedWithUsers" minOccurs="0"/>
                <xsd:element ref="ns3:SharedWithDetail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541c039-171c-4677-a99e-6a275b53e9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bc56409-cc1e-4b4f-b6ba-23d98140628a"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c00fb24-7c6c-420b-b121-80382dc877e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c541c039-171c-4677-a99e-6a275b53e9aa">
      <Terms xmlns="http://schemas.microsoft.com/office/infopath/2007/PartnerControls"/>
    </lcf76f155ced4ddcb4097134ff3c332f>
    <_ip_UnifiedCompliancePolicyProperties xmlns="http://schemas.microsoft.com/sharepoint/v3" xsi:nil="true"/>
  </documentManagement>
</p:properties>
</file>

<file path=customXml/itemProps1.xml><?xml version="1.0" encoding="utf-8"?>
<ds:datastoreItem xmlns:ds="http://schemas.openxmlformats.org/officeDocument/2006/customXml" ds:itemID="{25942B59-C562-448A-B1CF-6B77E5FC358E}">
  <ds:schemaRefs>
    <ds:schemaRef ds:uri="http://schemas.microsoft.com/sharepoint/v3/contenttype/forms"/>
  </ds:schemaRefs>
</ds:datastoreItem>
</file>

<file path=customXml/itemProps2.xml><?xml version="1.0" encoding="utf-8"?>
<ds:datastoreItem xmlns:ds="http://schemas.openxmlformats.org/officeDocument/2006/customXml" ds:itemID="{847D2987-DF98-4426-8527-55BBAA2A35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541c039-171c-4677-a99e-6a275b53e9aa"/>
    <ds:schemaRef ds:uri="ec00fb24-7c6c-420b-b121-80382dc877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96CF358-13C7-408C-A3C1-D112B19605BD}">
  <ds:schemaRefs>
    <ds:schemaRef ds:uri="http://schemas.microsoft.com/office/2006/metadata/properties"/>
    <ds:schemaRef ds:uri="http://schemas.microsoft.com/office/infopath/2007/PartnerControls"/>
    <ds:schemaRef ds:uri="http://schemas.microsoft.com/sharepoint/v3"/>
    <ds:schemaRef ds:uri="c541c039-171c-4677-a99e-6a275b53e9aa"/>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27</Pages>
  <Words>11925</Words>
  <Characters>67978</Characters>
  <Application>Microsoft Office Word</Application>
  <DocSecurity>0</DocSecurity>
  <Lines>566</Lines>
  <Paragraphs>159</Paragraphs>
  <ScaleCrop>false</ScaleCrop>
  <Company/>
  <LinksUpToDate>false</LinksUpToDate>
  <CharactersWithSpaces>79744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Claro, Sheinna</cp:lastModifiedBy>
  <cp:revision>9</cp:revision>
  <dcterms:created xsi:type="dcterms:W3CDTF">2026-08-04T03:54:00Z</dcterms:created>
  <dcterms:modified xsi:type="dcterms:W3CDTF">2026-09-01T07:18:00Z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1e1bc01,46778afb,75e45d9</vt:lpwstr>
  </property>
  <property fmtid="{D5CDD505-2E9C-101B-9397-08002B2CF9AE}" pid="3" name="ClassificationContentMarkingFooterFontProps">
    <vt:lpwstr>#000000,9,Aptos</vt:lpwstr>
  </property>
  <property fmtid="{D5CDD505-2E9C-101B-9397-08002B2CF9AE}" pid="4" name="ClassificationContentMarkingFooterText">
    <vt:lpwstr>Information Classification: GENERAL</vt:lpwstr>
  </property>
  <property fmtid="{D5CDD505-2E9C-101B-9397-08002B2CF9AE}" pid="5" name="MSIP_Label_b60f8386-55a0-404e-9dce-4d5bc8b309d8_Enabled">
    <vt:lpwstr>true</vt:lpwstr>
  </property>
  <property fmtid="{D5CDD505-2E9C-101B-9397-08002B2CF9AE}" pid="6" name="MSIP_Label_b60f8386-55a0-404e-9dce-4d5bc8b309d8_SetDate">
    <vt:lpwstr>2026-08-04T03:54:40Z</vt:lpwstr>
  </property>
  <property fmtid="{D5CDD505-2E9C-101B-9397-08002B2CF9AE}" pid="7" name="MSIP_Label_b60f8386-55a0-404e-9dce-4d5bc8b309d8_Method">
    <vt:lpwstr>Standard</vt:lpwstr>
  </property>
  <property fmtid="{D5CDD505-2E9C-101B-9397-08002B2CF9AE}" pid="8" name="MSIP_Label_b60f8386-55a0-404e-9dce-4d5bc8b309d8_Name">
    <vt:lpwstr>b60f8386-55a0-404e-9dce-4d5bc8b309d8</vt:lpwstr>
  </property>
  <property fmtid="{D5CDD505-2E9C-101B-9397-08002B2CF9AE}" pid="9" name="MSIP_Label_b60f8386-55a0-404e-9dce-4d5bc8b309d8_SiteId">
    <vt:lpwstr>7a9376d4-7c43-480f-82ba-a090647f651d</vt:lpwstr>
  </property>
  <property fmtid="{D5CDD505-2E9C-101B-9397-08002B2CF9AE}" pid="10" name="MSIP_Label_b60f8386-55a0-404e-9dce-4d5bc8b309d8_ActionId">
    <vt:lpwstr>a306f5c5-720e-47ac-ba4c-319880985400</vt:lpwstr>
  </property>
  <property fmtid="{D5CDD505-2E9C-101B-9397-08002B2CF9AE}" pid="11" name="MSIP_Label_b60f8386-55a0-404e-9dce-4d5bc8b309d8_ContentBits">
    <vt:lpwstr>2</vt:lpwstr>
  </property>
  <property fmtid="{D5CDD505-2E9C-101B-9397-08002B2CF9AE}" pid="12" name="MSIP_Label_b60f8386-55a0-404e-9dce-4d5bc8b309d8_Tag">
    <vt:lpwstr>10, 3, 0, 2</vt:lpwstr>
  </property>
  <property fmtid="{D5CDD505-2E9C-101B-9397-08002B2CF9AE}" pid="13" name="ContentTypeId">
    <vt:lpwstr>0x0101006ABC933BCD1A33438CF2387F036E0CBD</vt:lpwstr>
  </property>
  <property fmtid="{D5CDD505-2E9C-101B-9397-08002B2CF9AE}" pid="14" name="MediaServiceImageTags">
    <vt:lpwstr/>
  </property>
</Properties>
</file>