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CA01A" w14:textId="77777777" w:rsidR="00000000" w:rsidRDefault="00000000">
      <w:pPr>
        <w:pStyle w:val="kicker"/>
        <w:divId w:val="1382248211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Design Note</w:t>
      </w:r>
    </w:p>
    <w:p w14:paraId="10B6CC08" w14:textId="77777777" w:rsidR="00000000" w:rsidRDefault="00000000">
      <w:pPr>
        <w:pStyle w:val="Heading1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Labware Resolution and the Initial-State Oracle</w:t>
      </w:r>
    </w:p>
    <w:p w14:paraId="4FBE066D" w14:textId="77777777" w:rsidR="00000000" w:rsidRDefault="00000000">
      <w:pPr>
        <w:pStyle w:val="sub"/>
        <w:divId w:val="1382248211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How a labware nickname is matched to a config label, and how the uploaded initial-state map (the oracle) drives that match for contents-bearing labware.</w:t>
      </w:r>
    </w:p>
    <w:p w14:paraId="4809744A" w14:textId="77777777" w:rsidR="00000000" w:rsidRDefault="00000000">
      <w:pPr>
        <w:pStyle w:val="Heading2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The problem</w:t>
      </w:r>
    </w:p>
    <w:p w14:paraId="2DBF1BEB" w14:textId="77777777" w:rsidR="00000000" w:rsidRDefault="00000000">
      <w:pPr>
        <w:pStyle w:val="lede"/>
        <w:divId w:val="1382248211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Instructions name labware by nickname — "source plate", "tube rack". The robot needs the exact config label.</w:t>
      </w:r>
    </w:p>
    <w:p w14:paraId="179EC277" w14:textId="77777777" w:rsidR="00000000" w:rsidRDefault="00000000">
      <w:pPr>
        <w:pStyle w:val="NormalWeb"/>
        <w:divId w:val="1382248211"/>
        <w:rPr>
          <w:rFonts w:ascii="Segoe UI" w:hAnsi="Segoe UI" w:cs="Segoe UI"/>
          <w:sz w:val="26"/>
          <w:szCs w:val="26"/>
          <w:lang w:val="en"/>
        </w:rPr>
      </w:pPr>
      <w:r>
        <w:rPr>
          <w:rFonts w:ascii="Segoe UI" w:hAnsi="Segoe UI" w:cs="Segoe UI"/>
          <w:sz w:val="26"/>
          <w:szCs w:val="26"/>
          <w:lang w:val="en"/>
        </w:rPr>
        <w:t xml:space="preserve">Turning a nickname into a config label is the </w:t>
      </w:r>
      <w:r>
        <w:rPr>
          <w:rStyle w:val="Strong"/>
          <w:rFonts w:ascii="Segoe UI" w:hAnsi="Segoe UI" w:cs="Segoe UI"/>
          <w:sz w:val="26"/>
          <w:szCs w:val="26"/>
          <w:lang w:val="en"/>
        </w:rPr>
        <w:t>labware-matching problem</w:t>
      </w:r>
      <w:r>
        <w:rPr>
          <w:rFonts w:ascii="Segoe UI" w:hAnsi="Segoe UI" w:cs="Segoe UI"/>
          <w:sz w:val="26"/>
          <w:szCs w:val="26"/>
          <w:lang w:val="en"/>
        </w:rPr>
        <w:t>. The instruction speaks in the user's words; the deck is defined in config labels. Something has to bind the two.</w:t>
      </w:r>
    </w:p>
    <w:p w14:paraId="40971CA2" w14:textId="77777777" w:rsidR="00000000" w:rsidRDefault="00000000">
      <w:pPr>
        <w:pStyle w:val="Heading2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How the current resolver works (no oracle)</w:t>
      </w:r>
    </w:p>
    <w:p w14:paraId="00323EAF" w14:textId="77777777" w:rsidR="00000000" w:rsidRDefault="00000000">
      <w:pPr>
        <w:pStyle w:val="NormalWeb"/>
        <w:divId w:val="1382248211"/>
        <w:rPr>
          <w:rFonts w:ascii="Segoe UI" w:hAnsi="Segoe UI" w:cs="Segoe UI"/>
          <w:sz w:val="26"/>
          <w:szCs w:val="26"/>
          <w:lang w:val="en"/>
        </w:rPr>
      </w:pPr>
      <w:r>
        <w:rPr>
          <w:rFonts w:ascii="Segoe UI" w:hAnsi="Segoe UI" w:cs="Segoe UI"/>
          <w:sz w:val="26"/>
          <w:szCs w:val="26"/>
          <w:lang w:val="en"/>
        </w:rPr>
        <w:t>For each nickname the resolver has the set of wells the instruction references for it, then runs three steps (</w:t>
      </w:r>
      <w:r>
        <w:rPr>
          <w:rStyle w:val="HTMLCode"/>
          <w:lang w:val="en"/>
        </w:rPr>
        <w:t>_resolve_one</w:t>
      </w:r>
      <w:r>
        <w:rPr>
          <w:rFonts w:ascii="Segoe UI" w:hAnsi="Segoe UI" w:cs="Segoe UI"/>
          <w:sz w:val="26"/>
          <w:szCs w:val="26"/>
          <w:lang w:val="en"/>
        </w:rPr>
        <w:t>, resolver.py:569):</w:t>
      </w:r>
    </w:p>
    <w:p w14:paraId="229B6C29" w14:textId="77777777" w:rsidR="00000000" w:rsidRDefault="00000000">
      <w:pPr>
        <w:numPr>
          <w:ilvl w:val="0"/>
          <w:numId w:val="1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Capability filter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keep only config labwares whose physical well layout contains </w:t>
      </w:r>
      <w:r>
        <w:rPr>
          <w:rStyle w:val="Emphasis"/>
          <w:rFonts w:ascii="Segoe UI" w:eastAsia="Times New Roman" w:hAnsi="Segoe UI" w:cs="Segoe UI"/>
          <w:sz w:val="26"/>
          <w:szCs w:val="26"/>
          <w:lang w:val="en"/>
        </w:rPr>
        <w:t>every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referenced well (</w:t>
      </w:r>
      <w:r>
        <w:rPr>
          <w:rStyle w:val="HTMLCode"/>
          <w:lang w:val="en"/>
        </w:rPr>
        <w:t>wells ⊆ valid_wells</w:t>
      </w:r>
      <w:r>
        <w:rPr>
          <w:rFonts w:ascii="Segoe UI" w:eastAsia="Times New Roman" w:hAnsi="Segoe UI" w:cs="Segoe UI"/>
          <w:sz w:val="26"/>
          <w:szCs w:val="26"/>
          <w:lang w:val="en"/>
        </w:rPr>
        <w:t>). This is geometry truth. Unknown layouts are kept (fail-open).</w:t>
      </w:r>
    </w:p>
    <w:p w14:paraId="3F91174B" w14:textId="77777777" w:rsidR="00000000" w:rsidRDefault="00000000">
      <w:pPr>
        <w:numPr>
          <w:ilvl w:val="0"/>
          <w:numId w:val="1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Type filter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keep candidates whose category matches the wording: "tube" → </w:t>
      </w:r>
      <w:r>
        <w:rPr>
          <w:rStyle w:val="HTMLCode"/>
          <w:lang w:val="en"/>
        </w:rPr>
        <w:t>tuberack</w:t>
      </w:r>
      <w:r>
        <w:rPr>
          <w:rFonts w:ascii="Segoe UI" w:eastAsia="Times New Roman" w:hAnsi="Segoe UI" w:cs="Segoe UI"/>
          <w:sz w:val="26"/>
          <w:szCs w:val="26"/>
          <w:lang w:val="en"/>
        </w:rPr>
        <w:t>/</w:t>
      </w:r>
      <w:r>
        <w:rPr>
          <w:rStyle w:val="HTMLCode"/>
          <w:lang w:val="en"/>
        </w:rPr>
        <w:t>aluminumblock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, "plate" → </w:t>
      </w:r>
      <w:r>
        <w:rPr>
          <w:rStyle w:val="HTMLCode"/>
          <w:lang w:val="en"/>
        </w:rPr>
        <w:t>wellplate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, "tip" → </w:t>
      </w:r>
      <w:r>
        <w:rPr>
          <w:rStyle w:val="HTMLCode"/>
          <w:lang w:val="en"/>
        </w:rPr>
        <w:t>tiprack</w:t>
      </w:r>
      <w:r>
        <w:rPr>
          <w:rFonts w:ascii="Segoe UI" w:eastAsia="Times New Roman" w:hAnsi="Segoe UI" w:cs="Segoe UI"/>
          <w:sz w:val="26"/>
          <w:szCs w:val="26"/>
          <w:lang w:val="en"/>
        </w:rPr>
        <w:t>. No cue → keep all.</w:t>
      </w:r>
    </w:p>
    <w:p w14:paraId="3C377B87" w14:textId="77777777" w:rsidR="00000000" w:rsidRDefault="00000000">
      <w:pPr>
        <w:numPr>
          <w:ilvl w:val="0"/>
          <w:numId w:val="1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Dispatch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on survivors: </w:t>
      </w:r>
    </w:p>
    <w:p w14:paraId="378AB75F" w14:textId="77777777" w:rsidR="00000000" w:rsidRDefault="00000000">
      <w:pPr>
        <w:numPr>
          <w:ilvl w:val="1"/>
          <w:numId w:val="1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1 survivor → deterministic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(confidence 0.95, no LLM).</w:t>
      </w:r>
    </w:p>
    <w:p w14:paraId="5FA97C5F" w14:textId="77777777" w:rsidR="00000000" w:rsidRDefault="00000000">
      <w:pPr>
        <w:numPr>
          <w:ilvl w:val="1"/>
          <w:numId w:val="1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2+ survivors → the LLM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picks among the physically valid candidates (0.85) — the guesswork step.</w:t>
      </w:r>
    </w:p>
    <w:p w14:paraId="04151F95" w14:textId="77777777" w:rsidR="00000000" w:rsidRDefault="00000000">
      <w:pPr>
        <w:numPr>
          <w:ilvl w:val="1"/>
          <w:numId w:val="1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lastRenderedPageBreak/>
        <w:t>0 survivors →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a detected namespace split, or </w:t>
      </w: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unresolvable → the user picks</w:t>
      </w:r>
      <w:r>
        <w:rPr>
          <w:rFonts w:ascii="Segoe UI" w:eastAsia="Times New Roman" w:hAnsi="Segoe UI" w:cs="Segoe UI"/>
          <w:sz w:val="26"/>
          <w:szCs w:val="26"/>
          <w:lang w:val="en"/>
        </w:rPr>
        <w:t>.</w:t>
      </w:r>
    </w:p>
    <w:p w14:paraId="39694D27" w14:textId="77777777" w:rsidR="00000000" w:rsidRDefault="00000000">
      <w:pPr>
        <w:pStyle w:val="Heading2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The new signal: the oracle's occupied-well shapes</w:t>
      </w:r>
    </w:p>
    <w:p w14:paraId="17C1A996" w14:textId="77777777" w:rsidR="00000000" w:rsidRDefault="00000000">
      <w:pPr>
        <w:pStyle w:val="NormalWeb"/>
        <w:divId w:val="1382248211"/>
        <w:rPr>
          <w:rFonts w:ascii="Segoe UI" w:hAnsi="Segoe UI" w:cs="Segoe UI"/>
          <w:sz w:val="26"/>
          <w:szCs w:val="26"/>
          <w:lang w:val="en"/>
        </w:rPr>
      </w:pPr>
      <w:r>
        <w:rPr>
          <w:rFonts w:ascii="Segoe UI" w:hAnsi="Segoe UI" w:cs="Segoe UI"/>
          <w:sz w:val="26"/>
          <w:szCs w:val="26"/>
          <w:lang w:val="en"/>
        </w:rPr>
        <w:t xml:space="preserve">The uploaded initial-state map gives, per config label, the exact set of wells filled at the start. That is </w:t>
      </w:r>
      <w:r>
        <w:rPr>
          <w:rStyle w:val="Strong"/>
          <w:rFonts w:ascii="Segoe UI" w:hAnsi="Segoe UI" w:cs="Segoe UI"/>
          <w:sz w:val="26"/>
          <w:szCs w:val="26"/>
          <w:lang w:val="en"/>
        </w:rPr>
        <w:t>independent evidence the resolver never had</w:t>
      </w:r>
      <w:r>
        <w:rPr>
          <w:rFonts w:ascii="Segoe UI" w:hAnsi="Segoe UI" w:cs="Segoe UI"/>
          <w:sz w:val="26"/>
          <w:szCs w:val="26"/>
          <w:lang w:val="en"/>
        </w:rPr>
        <w:t xml:space="preserve"> — the actual shape of what is loaded.</w:t>
      </w:r>
    </w:p>
    <w:p w14:paraId="7B939FDA" w14:textId="77777777" w:rsidR="00000000" w:rsidRDefault="00000000">
      <w:pPr>
        <w:pStyle w:val="Heading2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The shape-matching logic</w:t>
      </w:r>
    </w:p>
    <w:p w14:paraId="69686F85" w14:textId="77777777" w:rsidR="00000000" w:rsidRDefault="00000000">
      <w:pPr>
        <w:pStyle w:val="Heading3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Inputs</w:t>
      </w:r>
    </w:p>
    <w:p w14:paraId="668B2EC9" w14:textId="77777777" w:rsidR="00000000" w:rsidRDefault="00000000">
      <w:pPr>
        <w:numPr>
          <w:ilvl w:val="0"/>
          <w:numId w:val="2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HTMLCode"/>
          <w:lang w:val="en"/>
        </w:rPr>
        <w:t>I(n)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for each nickname, the wells it holds </w:t>
      </w: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initial contents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in: explicit "X contains Y" mentions </w:t>
      </w:r>
      <w:r>
        <w:rPr>
          <w:rStyle w:val="Emphasis"/>
          <w:rFonts w:ascii="Segoe UI" w:eastAsia="Times New Roman" w:hAnsi="Segoe UI" w:cs="Segoe UI"/>
          <w:sz w:val="26"/>
          <w:szCs w:val="26"/>
          <w:lang w:val="en"/>
        </w:rPr>
        <w:t>plus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inferred source wells. </w:t>
      </w: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Not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destination-only wells — those are empty at t=0 and will not appear in the oracle.</w:t>
      </w:r>
    </w:p>
    <w:p w14:paraId="048EBD53" w14:textId="77777777" w:rsidR="00000000" w:rsidRDefault="00000000">
      <w:pPr>
        <w:numPr>
          <w:ilvl w:val="0"/>
          <w:numId w:val="2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HTMLCode"/>
          <w:lang w:val="en"/>
        </w:rPr>
        <w:t>E(c)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for each config label, the set of wells the oracle fills.</w:t>
      </w:r>
    </w:p>
    <w:p w14:paraId="7301C6A2" w14:textId="77777777" w:rsidR="00000000" w:rsidRDefault="00000000">
      <w:pPr>
        <w:pStyle w:val="Heading3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Rule</w:t>
      </w:r>
    </w:p>
    <w:p w14:paraId="262E1882" w14:textId="77777777" w:rsidR="00000000" w:rsidRDefault="00000000">
      <w:pPr>
        <w:numPr>
          <w:ilvl w:val="0"/>
          <w:numId w:val="3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Candidates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</w:t>
      </w:r>
      <w:r>
        <w:rPr>
          <w:rStyle w:val="HTMLCode"/>
          <w:lang w:val="en"/>
        </w:rPr>
        <w:t>C(n) = { c : I(n) ⊆ E(c) }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. Subset, not equality — the instruction usually names only </w:t>
      </w:r>
      <w:r>
        <w:rPr>
          <w:rStyle w:val="Emphasis"/>
          <w:rFonts w:ascii="Segoe UI" w:eastAsia="Times New Roman" w:hAnsi="Segoe UI" w:cs="Segoe UI"/>
          <w:sz w:val="26"/>
          <w:szCs w:val="26"/>
          <w:lang w:val="en"/>
        </w:rPr>
        <w:t>some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of the wells the oracle fills.</w:t>
      </w:r>
    </w:p>
    <w:p w14:paraId="516EFD08" w14:textId="77777777" w:rsidR="00000000" w:rsidRDefault="00000000">
      <w:pPr>
        <w:numPr>
          <w:ilvl w:val="0"/>
          <w:numId w:val="3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Substance as a soft filter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where a well is in both, the substances should agree (lenient: "lysis buffer" vs "lysis" still matches). A clear contradiction drops that candidate and is itself a conflict to surface. Wells are the hard signal; substance breaks ties and catches conflicts.</w:t>
      </w:r>
    </w:p>
    <w:p w14:paraId="29EDF286" w14:textId="77777777" w:rsidR="00000000" w:rsidRDefault="00000000">
      <w:pPr>
        <w:numPr>
          <w:ilvl w:val="0"/>
          <w:numId w:val="3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Global one-to-one assignment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per-nickname uniqueness is not enough; two nicknames pointing at the same label is a conflict. Assign every nickname whose candidate set is a singleton, remove that label from the others, and repeat (constraint propagation). Only the bindings that come out </w:t>
      </w:r>
      <w:r>
        <w:rPr>
          <w:rStyle w:val="Emphasis"/>
          <w:rFonts w:ascii="Segoe UI" w:eastAsia="Times New Roman" w:hAnsi="Segoe UI" w:cs="Segoe UI"/>
          <w:sz w:val="26"/>
          <w:szCs w:val="26"/>
          <w:lang w:val="en"/>
        </w:rPr>
        <w:t>forced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become hints.</w:t>
      </w:r>
    </w:p>
    <w:p w14:paraId="287DD79F" w14:textId="77777777" w:rsidR="00000000" w:rsidRDefault="00000000">
      <w:pPr>
        <w:numPr>
          <w:ilvl w:val="0"/>
          <w:numId w:val="3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Silent when unsure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anything still ambiguous after propagation gets no hint and falls through to the resolver / user. The oracle narrows or confirms; it never blind-guesses.</w:t>
      </w:r>
    </w:p>
    <w:p w14:paraId="7EC5B989" w14:textId="77777777" w:rsidR="00000000" w:rsidRDefault="00000000">
      <w:pPr>
        <w:pStyle w:val="Heading3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Failure modes (where the value is)</w:t>
      </w:r>
    </w:p>
    <w:p w14:paraId="026BC79E" w14:textId="77777777" w:rsidR="00000000" w:rsidRDefault="00000000">
      <w:pPr>
        <w:numPr>
          <w:ilvl w:val="0"/>
          <w:numId w:val="4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HTMLCode"/>
          <w:lang w:val="en"/>
        </w:rPr>
        <w:t>C(n)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empty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the nickname's initial wells are not a subset of any oracle label: the instruction expects starting contents the oracle does not provide. Surface it.</w:t>
      </w:r>
    </w:p>
    <w:p w14:paraId="7BD59BD6" w14:textId="77777777" w:rsidR="00000000" w:rsidRDefault="00000000">
      <w:pPr>
        <w:numPr>
          <w:ilvl w:val="0"/>
          <w:numId w:val="4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HTMLCode"/>
          <w:lang w:val="en"/>
        </w:rPr>
        <w:t>I(n)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empty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a pure destination labware with no initial contents: it trivially subsets everything, so it has zero discriminating power. Skip it.</w:t>
      </w:r>
    </w:p>
    <w:p w14:paraId="4CC85DB9" w14:textId="77777777" w:rsidR="00000000" w:rsidRDefault="00000000">
      <w:pPr>
        <w:numPr>
          <w:ilvl w:val="0"/>
          <w:numId w:val="4"/>
        </w:numPr>
        <w:spacing w:after="135"/>
        <w:divId w:val="1382248211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Fonts w:ascii="Segoe UI" w:eastAsia="Times New Roman" w:hAnsi="Segoe UI" w:cs="Segoe UI"/>
          <w:sz w:val="26"/>
          <w:szCs w:val="26"/>
          <w:lang w:val="en"/>
        </w:rPr>
        <w:t xml:space="preserve">An oracle label matched by </w:t>
      </w: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no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nickname — candidate for a "row unused" notice.</w:t>
      </w:r>
    </w:p>
    <w:p w14:paraId="3DC07213" w14:textId="77777777" w:rsidR="00000000" w:rsidRDefault="00000000">
      <w:pPr>
        <w:spacing w:after="210"/>
        <w:outlineLvl w:val="2"/>
        <w:divId w:val="464279489"/>
        <w:rPr>
          <w:rFonts w:ascii="Segoe UI" w:eastAsia="Times New Roman" w:hAnsi="Segoe UI" w:cs="Segoe UI"/>
          <w:b/>
          <w:bCs/>
          <w:spacing w:val="-2"/>
          <w:sz w:val="32"/>
          <w:szCs w:val="32"/>
          <w:lang w:val="en"/>
        </w:rPr>
      </w:pPr>
      <w:r>
        <w:rPr>
          <w:rFonts w:ascii="Segoe UI" w:eastAsia="Times New Roman" w:hAnsi="Segoe UI" w:cs="Segoe UI"/>
          <w:b/>
          <w:bCs/>
          <w:spacing w:val="-2"/>
          <w:sz w:val="32"/>
          <w:szCs w:val="32"/>
          <w:lang w:val="en"/>
        </w:rPr>
        <w:t>5. How it fits the resolver — and the override rule</w:t>
      </w:r>
    </w:p>
    <w:p w14:paraId="1AE52403" w14:textId="77777777" w:rsidR="00000000" w:rsidRDefault="00000000">
      <w:pPr>
        <w:numPr>
          <w:ilvl w:val="0"/>
          <w:numId w:val="5"/>
        </w:numPr>
        <w:spacing w:after="135"/>
        <w:divId w:val="464279489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Never overrides physical geometry.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If the oracle claims wells a labware cannot physically have, that is a conflict, not an override. Geometry is truth.</w:t>
      </w:r>
    </w:p>
    <w:p w14:paraId="63A34A26" w14:textId="77777777" w:rsidR="00000000" w:rsidRDefault="00000000">
      <w:pPr>
        <w:numPr>
          <w:ilvl w:val="0"/>
          <w:numId w:val="5"/>
        </w:numPr>
        <w:spacing w:after="135"/>
        <w:divId w:val="464279489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Replaces the LLM guess.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Where the resolver would hand 2+ survivors to the LLM, a confident oracle match wins — real data beats a guess. The oracle demotes the LLM to a fallback for what it cannot see.</w:t>
      </w:r>
    </w:p>
    <w:p w14:paraId="0A608374" w14:textId="77777777" w:rsidR="00000000" w:rsidRDefault="00000000">
      <w:pPr>
        <w:numPr>
          <w:ilvl w:val="0"/>
          <w:numId w:val="5"/>
        </w:numPr>
        <w:spacing w:after="135"/>
        <w:divId w:val="464279489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Contradiction with a deterministic pick is a conflict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to surface, not a silent flip.</w:t>
      </w:r>
    </w:p>
    <w:p w14:paraId="339F9EFB" w14:textId="77777777" w:rsidR="00000000" w:rsidRDefault="00000000">
      <w:pPr>
        <w:numPr>
          <w:ilvl w:val="0"/>
          <w:numId w:val="5"/>
        </w:numPr>
        <w:spacing w:after="135"/>
        <w:divId w:val="464279489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Output: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the forced bindings </w:t>
      </w:r>
      <w:r>
        <w:rPr>
          <w:rStyle w:val="HTMLCode"/>
          <w:lang w:val="en"/>
        </w:rPr>
        <w:t>{ nickname → config label }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feed the resolver as external hints, consumed after the type filter.</w:t>
      </w:r>
    </w:p>
    <w:p w14:paraId="0DA2D29C" w14:textId="77777777" w:rsidR="00000000" w:rsidRDefault="00000000">
      <w:pPr>
        <w:spacing w:after="150"/>
        <w:outlineLvl w:val="2"/>
        <w:divId w:val="147522666"/>
        <w:rPr>
          <w:rFonts w:ascii="Segoe UI" w:eastAsia="Times New Roman" w:hAnsi="Segoe UI" w:cs="Segoe UI"/>
          <w:b/>
          <w:bCs/>
          <w:spacing w:val="-2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spacing w:val="-2"/>
          <w:sz w:val="27"/>
          <w:szCs w:val="27"/>
          <w:lang w:val="en"/>
        </w:rPr>
        <w:t>6. What the oracle cannot resolve (the residual)</w:t>
      </w:r>
    </w:p>
    <w:p w14:paraId="3A7672D4" w14:textId="77777777" w:rsidR="00000000" w:rsidRDefault="00000000">
      <w:pPr>
        <w:pStyle w:val="NormalWeb"/>
        <w:divId w:val="147522666"/>
        <w:rPr>
          <w:rFonts w:ascii="Segoe UI" w:hAnsi="Segoe UI" w:cs="Segoe UI"/>
          <w:sz w:val="26"/>
          <w:szCs w:val="26"/>
          <w:lang w:val="en"/>
        </w:rPr>
      </w:pPr>
      <w:r>
        <w:rPr>
          <w:rFonts w:ascii="Segoe UI" w:hAnsi="Segoe UI" w:cs="Segoe UI"/>
          <w:sz w:val="26"/>
          <w:szCs w:val="26"/>
          <w:lang w:val="en"/>
        </w:rPr>
        <w:t>Exactly the cases the oracle structurally cannot see — these fall back to type / usage / user:</w:t>
      </w:r>
    </w:p>
    <w:p w14:paraId="6D2005C8" w14:textId="77777777" w:rsidR="00000000" w:rsidRDefault="00000000">
      <w:pPr>
        <w:numPr>
          <w:ilvl w:val="0"/>
          <w:numId w:val="6"/>
        </w:numPr>
        <w:spacing w:after="135"/>
        <w:divId w:val="147522666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Non-well labware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tip racks, trash, temperature / magnetic modules, adapters: no contents, no shape signal.</w:t>
      </w:r>
    </w:p>
    <w:p w14:paraId="008AB089" w14:textId="77777777" w:rsidR="00000000" w:rsidRDefault="00000000">
      <w:pPr>
        <w:numPr>
          <w:ilvl w:val="0"/>
          <w:numId w:val="6"/>
        </w:numPr>
        <w:spacing w:after="135"/>
        <w:divId w:val="147522666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Destination-only labware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empty at the start, so absent from the oracle.</w:t>
      </w:r>
    </w:p>
    <w:p w14:paraId="63A33A61" w14:textId="77777777" w:rsidR="00000000" w:rsidRDefault="00000000">
      <w:pPr>
        <w:numPr>
          <w:ilvl w:val="0"/>
          <w:numId w:val="6"/>
        </w:numPr>
        <w:spacing w:after="135"/>
        <w:divId w:val="147522666"/>
        <w:rPr>
          <w:rFonts w:ascii="Segoe UI" w:eastAsia="Times New Roman" w:hAnsi="Segoe UI" w:cs="Segoe UI"/>
          <w:sz w:val="26"/>
          <w:szCs w:val="26"/>
          <w:lang w:val="en"/>
        </w:rPr>
      </w:pPr>
      <w:r>
        <w:rPr>
          <w:rStyle w:val="Strong"/>
          <w:rFonts w:ascii="Segoe UI" w:eastAsia="Times New Roman" w:hAnsi="Segoe UI" w:cs="Segoe UI"/>
          <w:sz w:val="26"/>
          <w:szCs w:val="26"/>
          <w:lang w:val="en"/>
        </w:rPr>
        <w:t>Irreducible ties</w:t>
      </w:r>
      <w:r>
        <w:rPr>
          <w:rFonts w:ascii="Segoe UI" w:eastAsia="Times New Roman" w:hAnsi="Segoe UI" w:cs="Segoe UI"/>
          <w:sz w:val="26"/>
          <w:szCs w:val="26"/>
          <w:lang w:val="en"/>
        </w:rPr>
        <w:t xml:space="preserve"> — two identical labware with identical contents: indistinguishable even with every hint, so the user picks (or slot / position decides).</w:t>
      </w:r>
    </w:p>
    <w:p w14:paraId="08038771" w14:textId="77777777" w:rsidR="00000000" w:rsidRDefault="00000000">
      <w:pPr>
        <w:pStyle w:val="Heading2"/>
        <w:divId w:val="138224821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7. Why this is the terminal deterministic step</w:t>
      </w:r>
    </w:p>
    <w:p w14:paraId="0A6F9DB8" w14:textId="77777777" w:rsidR="00000000" w:rsidRDefault="00000000">
      <w:pPr>
        <w:pStyle w:val="NormalWeb"/>
        <w:divId w:val="1382248211"/>
        <w:rPr>
          <w:rFonts w:ascii="Segoe UI" w:hAnsi="Segoe UI" w:cs="Segoe UI"/>
          <w:sz w:val="26"/>
          <w:szCs w:val="26"/>
          <w:lang w:val="en"/>
        </w:rPr>
      </w:pPr>
      <w:r>
        <w:rPr>
          <w:rFonts w:ascii="Segoe UI" w:hAnsi="Segoe UI" w:cs="Segoe UI"/>
          <w:sz w:val="26"/>
          <w:szCs w:val="26"/>
          <w:lang w:val="en"/>
        </w:rPr>
        <w:t xml:space="preserve">After volume / capacity, occupied wells, well-shape, and type, the discriminating signals for contents-bearing labware are </w:t>
      </w:r>
      <w:r>
        <w:rPr>
          <w:rStyle w:val="Strong"/>
          <w:rFonts w:ascii="Segoe UI" w:hAnsi="Segoe UI" w:cs="Segoe UI"/>
          <w:sz w:val="26"/>
          <w:szCs w:val="26"/>
          <w:lang w:val="en"/>
        </w:rPr>
        <w:t>exhausted</w:t>
      </w:r>
      <w:r>
        <w:rPr>
          <w:rFonts w:ascii="Segoe UI" w:hAnsi="Segoe UI" w:cs="Segoe UI"/>
          <w:sz w:val="26"/>
          <w:szCs w:val="26"/>
          <w:lang w:val="en"/>
        </w:rPr>
        <w:t xml:space="preserve">. A unique shape match is the strongest, data-grounded resolution. Beyond it lies only a guess (the LLM) or a genuine ambiguity (the user). So the oracle shape-match is the </w:t>
      </w:r>
      <w:r>
        <w:rPr>
          <w:rStyle w:val="Strong"/>
          <w:rFonts w:ascii="Segoe UI" w:hAnsi="Segoe UI" w:cs="Segoe UI"/>
          <w:sz w:val="26"/>
          <w:szCs w:val="26"/>
          <w:lang w:val="en"/>
        </w:rPr>
        <w:t>primary deterministic resolver for contents-bearing labware</w:t>
      </w:r>
      <w:r>
        <w:rPr>
          <w:rFonts w:ascii="Segoe UI" w:hAnsi="Segoe UI" w:cs="Segoe UI"/>
          <w:sz w:val="26"/>
          <w:szCs w:val="26"/>
          <w:lang w:val="en"/>
        </w:rPr>
        <w:t>, with the LLM and the user handling only what the oracle cannot structurally see.</w:t>
      </w:r>
    </w:p>
    <w:p w14:paraId="77026100" w14:textId="77777777" w:rsidR="00F5235D" w:rsidRDefault="00000000">
      <w:pPr>
        <w:pStyle w:val="foot"/>
        <w:spacing w:after="240"/>
        <w:divId w:val="1382248211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docs/plans/labware-resolution-shape-matching.html</w:t>
      </w:r>
    </w:p>
    <w:sectPr w:rsidR="00F52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107A8"/>
    <w:multiLevelType w:val="multilevel"/>
    <w:tmpl w:val="B05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83B23"/>
    <w:multiLevelType w:val="multilevel"/>
    <w:tmpl w:val="D28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5DE4"/>
    <w:multiLevelType w:val="multilevel"/>
    <w:tmpl w:val="7B6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83164"/>
    <w:multiLevelType w:val="multilevel"/>
    <w:tmpl w:val="145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F3578"/>
    <w:multiLevelType w:val="multilevel"/>
    <w:tmpl w:val="EA2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A38FE"/>
    <w:multiLevelType w:val="multilevel"/>
    <w:tmpl w:val="6F6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3398">
    <w:abstractNumId w:val="2"/>
  </w:num>
  <w:num w:numId="2" w16cid:durableId="1040939438">
    <w:abstractNumId w:val="3"/>
  </w:num>
  <w:num w:numId="3" w16cid:durableId="1791432174">
    <w:abstractNumId w:val="4"/>
  </w:num>
  <w:num w:numId="4" w16cid:durableId="500586441">
    <w:abstractNumId w:val="0"/>
  </w:num>
  <w:num w:numId="5" w16cid:durableId="588972689">
    <w:abstractNumId w:val="5"/>
  </w:num>
  <w:num w:numId="6" w16cid:durableId="4197631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E2"/>
    <w:rsid w:val="002C7357"/>
    <w:rsid w:val="00A115E2"/>
    <w:rsid w:val="00F5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A799BB"/>
  <w15:chartTrackingRefBased/>
  <w15:docId w15:val="{1589C3A8-AD70-EA4E-88D5-1A3238B4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90"/>
      <w:outlineLvl w:val="0"/>
    </w:pPr>
    <w:rPr>
      <w:b/>
      <w:bCs/>
      <w:spacing w:val="-2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750" w:after="210"/>
      <w:outlineLvl w:val="1"/>
    </w:pPr>
    <w:rPr>
      <w:b/>
      <w:bCs/>
      <w:spacing w:val="-2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90" w:after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Menlo" w:eastAsiaTheme="minorEastAsia" w:hAnsi="Menlo" w:cs="Menlo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240"/>
    </w:pPr>
  </w:style>
  <w:style w:type="paragraph" w:styleId="NormalWeb">
    <w:name w:val="Normal (Web)"/>
    <w:basedOn w:val="Normal"/>
    <w:uiPriority w:val="99"/>
    <w:semiHidden/>
    <w:unhideWhenUsed/>
    <w:pPr>
      <w:spacing w:after="240"/>
    </w:pPr>
  </w:style>
  <w:style w:type="paragraph" w:customStyle="1" w:styleId="wrap">
    <w:name w:val="wrap"/>
    <w:basedOn w:val="Normal"/>
  </w:style>
  <w:style w:type="paragraph" w:customStyle="1" w:styleId="kicker">
    <w:name w:val="kicker"/>
    <w:basedOn w:val="Normal"/>
    <w:pPr>
      <w:spacing w:after="150"/>
    </w:pPr>
    <w:rPr>
      <w:b/>
      <w:bCs/>
      <w:caps/>
      <w:spacing w:val="34"/>
      <w:sz w:val="18"/>
      <w:szCs w:val="18"/>
    </w:rPr>
  </w:style>
  <w:style w:type="paragraph" w:customStyle="1" w:styleId="sub">
    <w:name w:val="sub"/>
    <w:basedOn w:val="Normal"/>
    <w:pPr>
      <w:spacing w:after="600"/>
    </w:pPr>
  </w:style>
  <w:style w:type="paragraph" w:customStyle="1" w:styleId="lede">
    <w:name w:val="lede"/>
    <w:basedOn w:val="Normal"/>
    <w:pPr>
      <w:spacing w:after="360"/>
    </w:pPr>
    <w:rPr>
      <w:color w:val="322F2A"/>
      <w:sz w:val="27"/>
      <w:szCs w:val="27"/>
    </w:rPr>
  </w:style>
  <w:style w:type="paragraph" w:customStyle="1" w:styleId="warn">
    <w:name w:val="warn"/>
    <w:basedOn w:val="Normal"/>
    <w:pPr>
      <w:spacing w:before="330" w:after="330"/>
    </w:pPr>
  </w:style>
  <w:style w:type="paragraph" w:customStyle="1" w:styleId="box">
    <w:name w:val="box"/>
    <w:basedOn w:val="Normal"/>
    <w:pPr>
      <w:pBdr>
        <w:top w:val="single" w:sz="6" w:space="15" w:color="D4E3D9"/>
        <w:left w:val="single" w:sz="6" w:space="18" w:color="D4E3D9"/>
        <w:bottom w:val="single" w:sz="6" w:space="5" w:color="D4E3D9"/>
        <w:right w:val="single" w:sz="6" w:space="18" w:color="D4E3D9"/>
      </w:pBdr>
      <w:spacing w:before="270" w:after="270"/>
    </w:pPr>
  </w:style>
  <w:style w:type="paragraph" w:customStyle="1" w:styleId="foot">
    <w:name w:val="foot"/>
    <w:basedOn w:val="Normal"/>
    <w:pPr>
      <w:spacing w:before="720" w:after="135"/>
    </w:pPr>
    <w:rPr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8224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9489">
          <w:marLeft w:val="0"/>
          <w:marRight w:val="0"/>
          <w:marTop w:val="270"/>
          <w:marBottom w:val="270"/>
          <w:divBdr>
            <w:top w:val="single" w:sz="6" w:space="15" w:color="D4E3D9"/>
            <w:left w:val="single" w:sz="6" w:space="18" w:color="D4E3D9"/>
            <w:bottom w:val="single" w:sz="6" w:space="5" w:color="D4E3D9"/>
            <w:right w:val="single" w:sz="6" w:space="18" w:color="D4E3D9"/>
          </w:divBdr>
        </w:div>
        <w:div w:id="1475226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Labware Resolution and the Initial-State Oracle</dc:title>
  <dc:subject/>
  <dc:creator>Aryan Amit Agarwal</dc:creator>
  <cp:keywords/>
  <dc:description/>
  <cp:lastModifiedBy>Aryan Amit Agarwal</cp:lastModifiedBy>
  <cp:revision>2</cp:revision>
  <dcterms:created xsi:type="dcterms:W3CDTF">2026-06-20T15:23:00Z</dcterms:created>
  <dcterms:modified xsi:type="dcterms:W3CDTF">2026-06-20T15:23:00Z</dcterms:modified>
</cp:coreProperties>
</file>