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Global Market Outlook &amp; Monetary Policy</w:t>
      </w:r>
    </w:p>
    <w:p>
      <w:r>
        <w:t>Global Economic &amp; Capital Markets Review • Q4 2026</w:t>
      </w:r>
    </w:p>
    <w:p>
      <w:r>
        <w:t>Central banks across the G7 economies announced a coordinated easing cycle following sharp declines in headline inflation. The Federal Reserve reduced benchmark lending rates by 50 basis points to 3.75%, prompting immediate rallies across global equities. The S&amp;P 500 index surged 2.4% while bond yields dropped to 18-month lows.</w:t>
      </w:r>
    </w:p>
    <w:p>
      <w:r>
        <w:t>Corporate earnings for financial and fintech institutions showed resilience, driven by increased transaction volumes and robust retail banking net interest margins. Asset managers noted accelerated portfolio reallocation into emerging market debt and high-yield corporate bonds as foreign exchange volatility stabilized.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