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Breakthrough in Quantum Computing Architecture</w:t>
      </w:r>
    </w:p>
    <w:p>
      <w:r>
        <w:t>Tech Horizon Research Labs • Published October 2026</w:t>
      </w:r>
    </w:p>
    <w:p>
      <w:r>
        <w:t>Researchers at the Quantum Nanoelectronics Center have unveiled a 256-qubit superconducting processor featuring advanced topological error-correction algorithms. The chip operates at near absolute zero and demonstrates a 99.8% two-qubit gate fidelity, surpassing existing semiconductor benchmarks. Cloud computing providers are now integrating the processor into enterprise machine learning pipelines, enabling ultra-fast cryptographic calculations and complex molecular simulations that previously took weeks.</w:t>
      </w:r>
    </w:p>
    <w:p>
      <w:r>
        <w:t>The architectural leap integrates localized silicon photonics for inter-chip communication, significantly reducing thermal dissipation and latency. Industry analysts expect commercial deployment by late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