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jc w:val="center"/>
      </w:pPr>
      <w:r>
        <w:rPr>
          <w:rFonts w:ascii="Arial" w:cs="Arial" w:eastAsia="Arial" w:hAnsi="Arial"/>
          <w:b/>
          <w:bCs/>
          <w:color w:val="1B3A6B"/>
          <w:sz w:val="72"/>
          <w:szCs w:val="72"/>
        </w:rPr>
        <w:t xml:space="preserve">MUTUAL FUND</w:t>
      </w:r>
    </w:p>
    <w:p>
      <w:pPr>
        <w:jc w:val="center"/>
      </w:pPr>
      <w:r>
        <w:rPr>
          <w:rFonts w:ascii="Arial" w:cs="Arial" w:eastAsia="Arial" w:hAnsi="Arial"/>
          <w:b/>
          <w:bCs/>
          <w:color w:val="2563EB"/>
          <w:sz w:val="72"/>
          <w:szCs w:val="72"/>
        </w:rPr>
        <w:t xml:space="preserve">ANALYTICS PLATFORM</w:t>
      </w:r>
    </w:p>
    <w:p>
      <w:pPr>
        <w:spacing w:after="0" w:before="200"/>
      </w:pPr>
    </w:p>
    <w:p>
      <w:pPr>
        <w:pBdr>
          <w:bottom w:val="single" w:color="F59E0B" w:sz="8" w:space="4"/>
        </w:pBdr>
        <w:jc w:val="center"/>
      </w:pPr>
      <w:r>
        <w:rPr>
          <w:rFonts w:ascii="Arial" w:cs="Arial" w:eastAsia="Arial" w:hAnsi="Arial"/>
          <w:b/>
          <w:bCs/>
          <w:color w:val="374151"/>
          <w:sz w:val="32"/>
          <w:szCs w:val="32"/>
        </w:rPr>
        <w:t xml:space="preserve">Bluestock Fintech Capstone Project</w:t>
      </w:r>
    </w:p>
    <w:p>
      <w:pPr>
        <w:spacing w:after="0" w:before="6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D1D5DB" w:sz="1"/>
              <w:left w:val="single" w:color="D1D5DB" w:sz="1"/>
              <w:bottom w:val="single" w:color="D1D5DB" w:sz="1"/>
              <w:right w:val="single" w:color="D1D5DB" w:sz="1"/>
            </w:tcBorders>
            <w:shd w:fill="DBEAFE" w:val="clear"/>
            <w:tcMar>
              <w:top w:type="dxa" w:w="200"/>
              <w:left w:type="dxa" w:w="300"/>
              <w:bottom w:type="dxa" w:w="200"/>
              <w:right w:type="dxa" w:w="300"/>
            </w:tcMar>
          </w:tcPr>
          <w:p>
            <w:pPr>
              <w:jc w:val="center"/>
            </w:pPr>
            <w:r>
              <w:rPr>
                <w:rFonts w:ascii="Arial" w:cs="Arial" w:eastAsia="Arial" w:hAnsi="Arial"/>
                <w:color w:val="374151"/>
                <w:sz w:val="22"/>
                <w:szCs w:val="22"/>
              </w:rPr>
              <w:t xml:space="preserve">Prepared by</w:t>
            </w:r>
          </w:p>
          <w:p>
            <w:pPr>
              <w:jc w:val="center"/>
            </w:pPr>
            <w:r>
              <w:rPr>
                <w:rFonts w:ascii="Arial" w:cs="Arial" w:eastAsia="Arial" w:hAnsi="Arial"/>
                <w:b/>
                <w:bCs/>
                <w:color w:val="1B3A6B"/>
                <w:sz w:val="32"/>
                <w:szCs w:val="32"/>
              </w:rPr>
              <w:t xml:space="preserve">Aryan</w:t>
            </w:r>
          </w:p>
          <w:p>
            <w:pPr>
              <w:jc w:val="center"/>
            </w:pPr>
            <w:r>
              <w:rPr>
                <w:rFonts w:ascii="Arial" w:cs="Arial" w:eastAsia="Arial" w:hAnsi="Arial"/>
                <w:color w:val="2563EB"/>
                <w:sz w:val="20"/>
                <w:szCs w:val="20"/>
              </w:rPr>
              <w:t xml:space="preserve">aryankunal112233@gmail.com</w:t>
            </w:r>
          </w:p>
          <w:p>
            <w:pPr>
              <w:spacing w:after="0" w:before="80"/>
            </w:pPr>
          </w:p>
          <w:p>
            <w:pPr>
              <w:jc w:val="center"/>
            </w:pPr>
            <w:r>
              <w:rPr>
                <w:rFonts w:ascii="Arial" w:cs="Arial" w:eastAsia="Arial" w:hAnsi="Arial"/>
                <w:color w:val="374151"/>
                <w:sz w:val="20"/>
                <w:szCs w:val="20"/>
              </w:rPr>
              <w:t xml:space="preserve">GitHub: github.com/aryan200601/bluestock-mf-capstone</w:t>
            </w:r>
          </w:p>
          <w:p>
            <w:pPr>
              <w:spacing w:after="0" w:before="80"/>
            </w:pPr>
          </w:p>
          <w:p>
            <w:pPr>
              <w:jc w:val="center"/>
            </w:pPr>
            <w:r>
              <w:rPr>
                <w:rFonts w:ascii="Arial" w:cs="Arial" w:eastAsia="Arial" w:hAnsi="Arial"/>
                <w:color w:val="374151"/>
                <w:sz w:val="22"/>
                <w:szCs w:val="22"/>
              </w:rPr>
              <w:t xml:space="preserve">June 2025</w:t>
            </w:r>
          </w:p>
        </w:tc>
      </w:tr>
    </w:tbl>
    <w:p>
      <w:pPr>
        <w:spacing w:after="0" w:before="6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40</w:t>
            </w:r>
          </w:p>
          <w:p>
            <w:pPr>
              <w:jc w:val="center"/>
            </w:pPr>
            <w:r>
              <w:rPr>
                <w:rFonts w:ascii="Arial" w:cs="Arial" w:eastAsia="Arial" w:hAnsi="Arial"/>
                <w:color w:val="1B3A6B"/>
                <w:sz w:val="18"/>
                <w:szCs w:val="18"/>
              </w:rPr>
              <w:t xml:space="preserve">Fund Schemes</w:t>
            </w:r>
          </w:p>
        </w:tc>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10</w:t>
            </w:r>
          </w:p>
          <w:p>
            <w:pPr>
              <w:jc w:val="center"/>
            </w:pPr>
            <w:r>
              <w:rPr>
                <w:rFonts w:ascii="Arial" w:cs="Arial" w:eastAsia="Arial" w:hAnsi="Arial"/>
                <w:color w:val="1B3A6B"/>
                <w:sz w:val="18"/>
                <w:szCs w:val="18"/>
              </w:rPr>
              <w:t xml:space="preserve">Fund Houses</w:t>
            </w:r>
          </w:p>
        </w:tc>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5K+</w:t>
            </w:r>
          </w:p>
          <w:p>
            <w:pPr>
              <w:jc w:val="center"/>
            </w:pPr>
            <w:r>
              <w:rPr>
                <w:rFonts w:ascii="Arial" w:cs="Arial" w:eastAsia="Arial" w:hAnsi="Arial"/>
                <w:color w:val="1B3A6B"/>
                <w:sz w:val="18"/>
                <w:szCs w:val="18"/>
              </w:rPr>
              <w:t xml:space="preserve">Investors</w:t>
            </w:r>
          </w:p>
        </w:tc>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32K+</w:t>
            </w:r>
          </w:p>
          <w:p>
            <w:pPr>
              <w:jc w:val="center"/>
            </w:pPr>
            <w:r>
              <w:rPr>
                <w:rFonts w:ascii="Arial" w:cs="Arial" w:eastAsia="Arial" w:hAnsi="Arial"/>
                <w:color w:val="1B3A6B"/>
                <w:sz w:val="18"/>
                <w:szCs w:val="18"/>
              </w:rPr>
              <w:t xml:space="preserve">Transactions</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EXECUTIVE SUMMARY</w:t>
      </w:r>
    </w:p>
    <w:p>
      <w:pPr>
        <w:spacing w:after="60" w:before="60"/>
      </w:pPr>
      <w:r>
        <w:rPr>
          <w:rFonts w:ascii="Arial" w:cs="Arial" w:eastAsia="Arial" w:hAnsi="Arial"/>
          <w:b w:val="false"/>
          <w:bCs w:val="false"/>
          <w:color w:val="374151"/>
          <w:sz w:val="22"/>
          <w:szCs w:val="22"/>
        </w:rPr>
        <w:t xml:space="preserve">The Mutual Fund Analytics Platform is a comprehensive, end-to-end data analytics solution developed as a capstone project for Bluestock Fintech. The platform integrates ETL processing, performance analytics, risk assessment, investor behavior analysis, and business intelligence reporting into a unified, production-ready system.</w:t>
      </w:r>
    </w:p>
    <w:p>
      <w:pPr>
        <w:spacing w:after="0" w:before="120"/>
      </w:pPr>
    </w:p>
    <w:p>
      <w:pPr>
        <w:spacing w:after="100" w:before="200"/>
      </w:pPr>
      <w:r>
        <w:rPr>
          <w:rFonts w:ascii="Arial" w:cs="Arial" w:eastAsia="Arial" w:hAnsi="Arial"/>
          <w:b/>
          <w:bCs/>
          <w:color w:val="1B3A6B"/>
          <w:sz w:val="26"/>
          <w:szCs w:val="26"/>
        </w:rPr>
        <w:t xml:space="preserve">Project Objectives</w:t>
      </w:r>
    </w:p>
    <w:p>
      <w:pPr>
        <w:pStyle w:val="ListParagraph"/>
        <w:numPr>
          <w:ilvl w:val="0"/>
          <w:numId w:val="2"/>
        </w:numPr>
        <w:spacing w:after="40" w:before="40"/>
      </w:pPr>
      <w:r>
        <w:rPr>
          <w:rFonts w:ascii="Arial" w:cs="Arial" w:eastAsia="Arial" w:hAnsi="Arial"/>
          <w:color w:val="374151"/>
          <w:sz w:val="22"/>
          <w:szCs w:val="22"/>
        </w:rPr>
        <w:t xml:space="preserve">Analyze industry-wide AUM growth trends across 10 major fund houses</w:t>
      </w:r>
    </w:p>
    <w:p>
      <w:pPr>
        <w:pStyle w:val="ListParagraph"/>
        <w:numPr>
          <w:ilvl w:val="0"/>
          <w:numId w:val="2"/>
        </w:numPr>
        <w:spacing w:after="40" w:before="40"/>
      </w:pPr>
      <w:r>
        <w:rPr>
          <w:rFonts w:ascii="Arial" w:cs="Arial" w:eastAsia="Arial" w:hAnsi="Arial"/>
          <w:color w:val="374151"/>
          <w:sz w:val="22"/>
          <w:szCs w:val="22"/>
        </w:rPr>
        <w:t xml:space="preserve">Compute 8+ performance and risk metrics for 40 mutual fund schemes</w:t>
      </w:r>
    </w:p>
    <w:p>
      <w:pPr>
        <w:pStyle w:val="ListParagraph"/>
        <w:numPr>
          <w:ilvl w:val="0"/>
          <w:numId w:val="2"/>
        </w:numPr>
        <w:spacing w:after="40" w:before="40"/>
      </w:pPr>
      <w:r>
        <w:rPr>
          <w:rFonts w:ascii="Arial" w:cs="Arial" w:eastAsia="Arial" w:hAnsi="Arial"/>
          <w:color w:val="374151"/>
          <w:sz w:val="22"/>
          <w:szCs w:val="22"/>
        </w:rPr>
        <w:t xml:space="preserve">Profile 5,000+ investor accounts and 32,000+ transactions</w:t>
      </w:r>
    </w:p>
    <w:p>
      <w:pPr>
        <w:pStyle w:val="ListParagraph"/>
        <w:numPr>
          <w:ilvl w:val="0"/>
          <w:numId w:val="2"/>
        </w:numPr>
        <w:spacing w:after="40" w:before="40"/>
      </w:pPr>
      <w:r>
        <w:rPr>
          <w:rFonts w:ascii="Arial" w:cs="Arial" w:eastAsia="Arial" w:hAnsi="Arial"/>
          <w:color w:val="374151"/>
          <w:sz w:val="22"/>
          <w:szCs w:val="22"/>
        </w:rPr>
        <w:t xml:space="preserve">Develop a quantitative fund scoring and recommendation engine</w:t>
      </w:r>
    </w:p>
    <w:p>
      <w:pPr>
        <w:pStyle w:val="ListParagraph"/>
        <w:numPr>
          <w:ilvl w:val="0"/>
          <w:numId w:val="2"/>
        </w:numPr>
        <w:spacing w:after="40" w:before="40"/>
      </w:pPr>
      <w:r>
        <w:rPr>
          <w:rFonts w:ascii="Arial" w:cs="Arial" w:eastAsia="Arial" w:hAnsi="Arial"/>
          <w:color w:val="374151"/>
          <w:sz w:val="22"/>
          <w:szCs w:val="22"/>
        </w:rPr>
        <w:t xml:space="preserve">Deliver interactive Power BI dashboards for business intelligence</w:t>
      </w:r>
    </w:p>
    <w:p>
      <w:pPr>
        <w:spacing w:after="0" w:before="160"/>
      </w:pPr>
    </w:p>
    <w:p>
      <w:pPr>
        <w:spacing w:after="100" w:before="200"/>
      </w:pPr>
      <w:r>
        <w:rPr>
          <w:rFonts w:ascii="Arial" w:cs="Arial" w:eastAsia="Arial" w:hAnsi="Arial"/>
          <w:b/>
          <w:bCs/>
          <w:color w:val="1B3A6B"/>
          <w:sz w:val="26"/>
          <w:szCs w:val="26"/>
        </w:rPr>
        <w:t xml:space="preserve">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Technology</w:t>
            </w:r>
          </w:p>
        </w:tc>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Purpose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3.x</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Core analytics and ETL pipeline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Pandas &amp; NumPy</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Data processing and numerical computation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SQLite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data storage and querying</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Power BI</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Interactive dashboard and visualization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GitHub</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Version control and project management</w:t>
            </w:r>
          </w:p>
        </w:tc>
      </w:tr>
    </w:tbl>
    <w:p>
      <w:pPr>
        <w:spacing w:after="0" w:before="160"/>
      </w:pPr>
    </w:p>
    <w:p>
      <w:pPr>
        <w:spacing w:after="100" w:before="200"/>
      </w:pPr>
      <w:r>
        <w:rPr>
          <w:rFonts w:ascii="Arial" w:cs="Arial" w:eastAsia="Arial" w:hAnsi="Arial"/>
          <w:b/>
          <w:bCs/>
          <w:color w:val="1B3A6B"/>
          <w:sz w:val="26"/>
          <w:szCs w:val="26"/>
        </w:rPr>
        <w:t xml:space="preserve">Project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Stage</w:t>
            </w:r>
          </w:p>
        </w:tc>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 Raw Data Ingestion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CSV files: Fund Master, NAV History, Transactions, AUM, SIP Inflows</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 ETL Pipeline</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Data cleaning, normalization, and validation in Python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 SQLite Database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Structured storage for processed datasets</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 Analytics Engine</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Performance, risk, and behavioral metric computation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 Power BI Dashboard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4-page interactive BI report</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 Business Insights</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Findings, recommendations, and decision support</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Project Impact</w:t>
            </w:r>
          </w:p>
          <w:p>
            <w:pPr>
              <w:spacing w:after="0" w:before="0"/>
            </w:pPr>
            <w:r>
              <w:rPr>
                <w:rFonts w:ascii="Arial" w:cs="Arial" w:eastAsia="Arial" w:hAnsi="Arial"/>
                <w:color w:val="374151"/>
                <w:sz w:val="21"/>
                <w:szCs w:val="21"/>
              </w:rPr>
              <w:t xml:space="preserve">This platform demonstrates how financial analytics and data visualization can transform raw mutual fund data into actionable investment insights — enabling better decisions for investors, analysts, and financial institutions.</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DATA SOURCES &amp; DATASETS</w:t>
      </w:r>
    </w:p>
    <w:p>
      <w:pPr>
        <w:spacing w:after="60" w:before="60"/>
      </w:pPr>
      <w:r>
        <w:rPr>
          <w:rFonts w:ascii="Arial" w:cs="Arial" w:eastAsia="Arial" w:hAnsi="Arial"/>
          <w:b w:val="false"/>
          <w:bCs w:val="false"/>
          <w:color w:val="374151"/>
          <w:sz w:val="22"/>
          <w:szCs w:val="22"/>
        </w:rPr>
        <w:t xml:space="preserve">The platform was built on six primary datasets covering all dimensions of mutual fund analysis — from fund metadata and NAV history to investor transactions and benchmark data.</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Dataset</w:t>
            </w:r>
          </w:p>
        </w:tc>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clean_fund_master.csv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Scheme metadata: fund house, category, plan, benchmark, expense ratio, risk</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clean_nav_history.csv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Daily NAV values for performance and return calculation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clean_transactions.csv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Investor transaction records (SIP, Lumpsum, Redemption)</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clean_aum.csv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Monthly AUM figures by fund scheme and fund house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clean_performance.csv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Pre-computed performance metrics by scheme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alpha_beta.csv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Alpha and Beta values relative to benchmark</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cagr_report.csv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Compound Annual Growth Rate per scheme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sharpe_values.csv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Sharpe ratio (risk-adjusted return) per scheme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sortino_values.csv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Sortino ratio (downside-adjusted return) per scheme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max_drawdown.csv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Maximum peak-to-trough decline per scheme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var_cvar_report.csv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Value-at-Risk and Conditional VaR (95% confidence)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fund_scorecard.csv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Composite score and final ranking for all 40 schemes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cohort_analysis.csv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Investor cohort behavior by investment year</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sip_continuity.csv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SIP continuation and drop-off patterns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tracking_error.csv</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Benchmark tracking error for index and ETF funds</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returns_computed.csv</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1Y, 3Y, 5Y rolling returns per scheme</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Data Quality</w:t>
            </w:r>
          </w:p>
          <w:p>
            <w:pPr>
              <w:spacing w:after="0" w:before="0"/>
            </w:pPr>
            <w:r>
              <w:rPr>
                <w:rFonts w:ascii="Arial" w:cs="Arial" w:eastAsia="Arial" w:hAnsi="Arial"/>
                <w:color w:val="374151"/>
                <w:sz w:val="21"/>
                <w:szCs w:val="21"/>
              </w:rPr>
              <w:t xml:space="preserve">All datasets were subjected to rigorous cleaning including null value treatment, outlier detection, date normalization, and schema validation before being loaded into the SQLite analytics database.</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INDUSTRY ANALYSIS — PAGE 1 DASHBOARD</w:t>
      </w:r>
    </w:p>
    <w:p>
      <w:pPr>
        <w:spacing w:after="60" w:before="60"/>
      </w:pPr>
      <w:r>
        <w:rPr>
          <w:rFonts w:ascii="Arial" w:cs="Arial" w:eastAsia="Arial" w:hAnsi="Arial"/>
          <w:b w:val="false"/>
          <w:bCs w:val="false"/>
          <w:color w:val="374151"/>
          <w:sz w:val="22"/>
          <w:szCs w:val="22"/>
        </w:rPr>
        <w:t xml:space="preserve">The Industry Overview dashboard captures AUM growth trends, fund house market share, and overall industry health from 2022 to 2025.</w:t>
      </w:r>
    </w:p>
    <w:p>
      <w:pPr>
        <w:spacing w:after="0" w:before="160"/>
      </w:pPr>
    </w:p>
    <w:p>
      <w:pPr>
        <w:jc w:val="center"/>
      </w:pPr>
      <w:r>
        <w:drawing>
          <wp:inline distT="0" distB="0" distL="0" distR="0">
            <wp:extent cx="85439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543925" cy="4581525"/>
                    </a:xfrm>
                    <a:prstGeom prst="rect">
                      <a:avLst/>
                    </a:prstGeom>
                  </pic:spPr>
                </pic:pic>
              </a:graphicData>
            </a:graphic>
          </wp:inline>
        </w:drawing>
      </w:r>
    </w:p>
    <w:p>
      <w:pPr>
        <w:spacing w:after="0" w:before="200"/>
      </w:pPr>
    </w:p>
    <w:p>
      <w:pPr>
        <w:spacing w:after="100" w:before="200"/>
      </w:pPr>
      <w:r>
        <w:rPr>
          <w:rFonts w:ascii="Arial" w:cs="Arial" w:eastAsia="Arial" w:hAnsi="Arial"/>
          <w:b/>
          <w:bCs/>
          <w:color w:val="1B3A6B"/>
          <w:sz w:val="26"/>
          <w:szCs w:val="26"/>
        </w:rPr>
        <w:t xml:space="preserve">Key Findings</w:t>
      </w:r>
    </w:p>
    <w:p>
      <w:pPr>
        <w:pStyle w:val="ListParagraph"/>
        <w:numPr>
          <w:ilvl w:val="0"/>
          <w:numId w:val="2"/>
        </w:numPr>
        <w:spacing w:after="40" w:before="40"/>
      </w:pPr>
      <w:r>
        <w:rPr>
          <w:rFonts w:ascii="Arial" w:cs="Arial" w:eastAsia="Arial" w:hAnsi="Arial"/>
          <w:color w:val="374151"/>
          <w:sz w:val="22"/>
          <w:szCs w:val="22"/>
        </w:rPr>
        <w:t xml:space="preserve">Industry AUM demonstrated a dramatic surge in 2024, nearly tripling from 2022 baseline levels before moderating slightly in 2025.</w:t>
      </w:r>
    </w:p>
    <w:p>
      <w:pPr>
        <w:pStyle w:val="ListParagraph"/>
        <w:numPr>
          <w:ilvl w:val="0"/>
          <w:numId w:val="2"/>
        </w:numPr>
        <w:spacing w:after="40" w:before="40"/>
      </w:pPr>
      <w:r>
        <w:rPr>
          <w:rFonts w:ascii="Arial" w:cs="Arial" w:eastAsia="Arial" w:hAnsi="Arial"/>
          <w:color w:val="374151"/>
          <w:sz w:val="22"/>
          <w:szCs w:val="22"/>
        </w:rPr>
        <w:t xml:space="preserve">SBI Mutual Fund leads all fund houses by AUM, followed by ICICI Prudential MF and HDFC Mutual Fund — reflecting the dominance of large PSU and private sector banks.</w:t>
      </w:r>
    </w:p>
    <w:p>
      <w:pPr>
        <w:pStyle w:val="ListParagraph"/>
        <w:numPr>
          <w:ilvl w:val="0"/>
          <w:numId w:val="2"/>
        </w:numPr>
        <w:spacing w:after="40" w:before="40"/>
      </w:pPr>
      <w:r>
        <w:rPr>
          <w:rFonts w:ascii="Arial" w:cs="Arial" w:eastAsia="Arial" w:hAnsi="Arial"/>
          <w:color w:val="374151"/>
          <w:sz w:val="22"/>
          <w:szCs w:val="22"/>
        </w:rPr>
        <w:t xml:space="preserve">The industry hosts 40 schemes across 10 fund houses, serving over 5,000 unique investors in this dataset.</w:t>
      </w:r>
    </w:p>
    <w:p>
      <w:pPr>
        <w:pStyle w:val="ListParagraph"/>
        <w:numPr>
          <w:ilvl w:val="0"/>
          <w:numId w:val="2"/>
        </w:numPr>
        <w:spacing w:after="40" w:before="40"/>
      </w:pPr>
      <w:r>
        <w:rPr>
          <w:rFonts w:ascii="Arial" w:cs="Arial" w:eastAsia="Arial" w:hAnsi="Arial"/>
          <w:color w:val="374151"/>
          <w:sz w:val="22"/>
          <w:szCs w:val="22"/>
        </w:rPr>
        <w:t xml:space="preserve">Retail investor participation has expanded substantially, evidenced by continued growth in unique investor IDs.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Business Insight</w:t>
            </w:r>
          </w:p>
          <w:p>
            <w:pPr>
              <w:spacing w:after="0" w:before="0"/>
            </w:pPr>
            <w:r>
              <w:rPr>
                <w:rFonts w:ascii="Arial" w:cs="Arial" w:eastAsia="Arial" w:hAnsi="Arial"/>
                <w:color w:val="374151"/>
                <w:sz w:val="21"/>
                <w:szCs w:val="21"/>
              </w:rPr>
              <w:t xml:space="preserve">Market concentration is significant — the top 3 fund houses (SBI, ICICI Prudential, HDFC) account for the majority of industry AUM. This creates both competitive moats for incumbents and opportunity gaps for challenger fund houses.</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INVESTOR ANALYTICS — PAGE 3 DASHBOARD</w:t>
      </w:r>
    </w:p>
    <w:p>
      <w:pPr>
        <w:spacing w:after="60" w:before="60"/>
      </w:pPr>
      <w:r>
        <w:rPr>
          <w:rFonts w:ascii="Arial" w:cs="Arial" w:eastAsia="Arial" w:hAnsi="Arial"/>
          <w:b w:val="false"/>
          <w:bCs w:val="false"/>
          <w:color w:val="374151"/>
          <w:sz w:val="22"/>
          <w:szCs w:val="22"/>
        </w:rPr>
        <w:t xml:space="preserve">The Investor Analytics dashboard segments investor behavior by age, transaction type, city tier, and time — revealing key patterns in how different investor profiles engage with mutual funds.</w:t>
      </w:r>
    </w:p>
    <w:p>
      <w:pPr>
        <w:spacing w:after="0" w:before="160"/>
      </w:pPr>
    </w:p>
    <w:p>
      <w:pPr>
        <w:jc w:val="center"/>
      </w:pPr>
      <w:r>
        <w:drawing>
          <wp:inline distT="0" distB="0" distL="0" distR="0">
            <wp:extent cx="85439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43925" cy="4581525"/>
                    </a:xfrm>
                    <a:prstGeom prst="rect">
                      <a:avLst/>
                    </a:prstGeom>
                  </pic:spPr>
                </pic:pic>
              </a:graphicData>
            </a:graphic>
          </wp:inline>
        </w:drawing>
      </w:r>
    </w:p>
    <w:p>
      <w:pPr>
        <w:spacing w:after="0" w:before="200"/>
      </w:pPr>
    </w:p>
    <w:p>
      <w:pPr>
        <w:spacing w:after="100" w:before="200"/>
      </w:pPr>
      <w:r>
        <w:rPr>
          <w:rFonts w:ascii="Arial" w:cs="Arial" w:eastAsia="Arial" w:hAnsi="Arial"/>
          <w:b/>
          <w:bCs/>
          <w:color w:val="1B3A6B"/>
          <w:sz w:val="26"/>
          <w:szCs w:val="26"/>
        </w:rPr>
        <w:t xml:space="preserve">Transaction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Transaction Type</w:t>
            </w:r>
          </w:p>
        </w:tc>
        <w:tc>
          <w:tcPr>
            <w:tcW w:type="dxa" w:w="2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 / Share</w:t>
            </w:r>
          </w:p>
        </w:tc>
        <w:tc>
          <w:tcPr>
            <w:tcW w:type="dxa" w:w="2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Lumpsum</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254,460 (49.31%)</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 large-ticket investments</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Redemption</w:t>
            </w:r>
          </w:p>
        </w:tc>
        <w:tc>
          <w:tcPr>
            <w:tcW w:type="dxa" w:w="2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250,560 (48.55%)</w:t>
            </w:r>
          </w:p>
        </w:tc>
        <w:tc>
          <w:tcPr>
            <w:tcW w:type="dxa" w:w="2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Fund exits and partial withdrawals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SIP</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~2.14% (remainder)</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Systematic Investment Plans</w:t>
            </w:r>
          </w:p>
        </w:tc>
      </w:tr>
    </w:tbl>
    <w:p>
      <w:pPr>
        <w:spacing w:after="0" w:before="160"/>
      </w:pPr>
    </w:p>
    <w:p>
      <w:pPr>
        <w:spacing w:after="100" w:before="200"/>
      </w:pPr>
      <w:r>
        <w:rPr>
          <w:rFonts w:ascii="Arial" w:cs="Arial" w:eastAsia="Arial" w:hAnsi="Arial"/>
          <w:b/>
          <w:bCs/>
          <w:color w:val="1B3A6B"/>
          <w:sz w:val="26"/>
          <w:szCs w:val="26"/>
        </w:rPr>
        <w:t xml:space="preserve">Age Group Insights</w:t>
      </w:r>
    </w:p>
    <w:p>
      <w:pPr>
        <w:pStyle w:val="ListParagraph"/>
        <w:numPr>
          <w:ilvl w:val="0"/>
          <w:numId w:val="2"/>
        </w:numPr>
        <w:spacing w:after="40" w:before="40"/>
      </w:pPr>
      <w:r>
        <w:rPr>
          <w:rFonts w:ascii="Arial" w:cs="Arial" w:eastAsia="Arial" w:hAnsi="Arial"/>
          <w:color w:val="374151"/>
          <w:sz w:val="22"/>
          <w:szCs w:val="22"/>
        </w:rPr>
        <w:t xml:space="preserve">Average investment amounts are remarkably consistent across all age groups (18–25, 26–35, 36–45, 46–55, 56+), each contributing approximately ₹0.1M average transaction size.</w:t>
      </w:r>
    </w:p>
    <w:p>
      <w:pPr>
        <w:pStyle w:val="ListParagraph"/>
        <w:numPr>
          <w:ilvl w:val="0"/>
          <w:numId w:val="2"/>
        </w:numPr>
        <w:spacing w:after="40" w:before="40"/>
      </w:pPr>
      <w:r>
        <w:rPr>
          <w:rFonts w:ascii="Arial" w:cs="Arial" w:eastAsia="Arial" w:hAnsi="Arial"/>
          <w:color w:val="374151"/>
          <w:sz w:val="22"/>
          <w:szCs w:val="22"/>
        </w:rPr>
        <w:t xml:space="preserve">Younger investors (18–35) contribute significantly to overall transaction volume, indicating strong early-stage adoption.</w:t>
      </w:r>
    </w:p>
    <w:p>
      <w:pPr>
        <w:pStyle w:val="ListParagraph"/>
        <w:numPr>
          <w:ilvl w:val="0"/>
          <w:numId w:val="2"/>
        </w:numPr>
        <w:spacing w:after="40" w:before="40"/>
      </w:pPr>
      <w:r>
        <w:rPr>
          <w:rFonts w:ascii="Arial" w:cs="Arial" w:eastAsia="Arial" w:hAnsi="Arial"/>
          <w:color w:val="374151"/>
          <w:sz w:val="22"/>
          <w:szCs w:val="22"/>
        </w:rPr>
        <w:t xml:space="preserve">Monthly transaction activity shows a gradual decline from 2024 to 2025, suggesting potential engagement or retention challenges.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Business Insight</w:t>
            </w:r>
          </w:p>
          <w:p>
            <w:pPr>
              <w:spacing w:after="0" w:before="0"/>
            </w:pPr>
            <w:r>
              <w:rPr>
                <w:rFonts w:ascii="Arial" w:cs="Arial" w:eastAsia="Arial" w:hAnsi="Arial"/>
                <w:color w:val="374151"/>
                <w:sz w:val="21"/>
                <w:szCs w:val="21"/>
              </w:rPr>
              <w:t xml:space="preserve">The near-equal split between lumpsum and redemption transactions suggests high churn. Platforms should investigate redemption triggers and implement retention strategies — particularly targeted SIP nudges for investors who redeem without reinvesting.</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FUND PERFORMANCE ANALYTICS — PAGE 2 DASHBOARD</w:t>
      </w:r>
    </w:p>
    <w:p>
      <w:pPr>
        <w:spacing w:after="60" w:before="60"/>
      </w:pPr>
      <w:r>
        <w:rPr>
          <w:rFonts w:ascii="Arial" w:cs="Arial" w:eastAsia="Arial" w:hAnsi="Arial"/>
          <w:b w:val="false"/>
          <w:bCs w:val="false"/>
          <w:color w:val="374151"/>
          <w:sz w:val="22"/>
          <w:szCs w:val="22"/>
        </w:rPr>
        <w:t xml:space="preserve">The Fund Performance dashboard provides a comprehensive view of risk-return profiles, fund scorecards, and NAV trends across all 40 schemes.</w:t>
      </w:r>
    </w:p>
    <w:p>
      <w:pPr>
        <w:spacing w:after="0" w:before="160"/>
      </w:pPr>
    </w:p>
    <w:p>
      <w:pPr>
        <w:jc w:val="center"/>
      </w:pPr>
      <w:r>
        <w:drawing>
          <wp:inline distT="0" distB="0" distL="0" distR="0">
            <wp:extent cx="85439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43925" cy="4581525"/>
                    </a:xfrm>
                    <a:prstGeom prst="rect">
                      <a:avLst/>
                    </a:prstGeom>
                  </pic:spPr>
                </pic:pic>
              </a:graphicData>
            </a:graphic>
          </wp:inline>
        </w:drawing>
      </w:r>
    </w:p>
    <w:p>
      <w:pPr>
        <w:spacing w:after="0" w:before="200"/>
      </w:pPr>
    </w:p>
    <w:p>
      <w:pPr>
        <w:spacing w:after="100" w:before="200"/>
      </w:pPr>
      <w:r>
        <w:rPr>
          <w:rFonts w:ascii="Arial" w:cs="Arial" w:eastAsia="Arial" w:hAnsi="Arial"/>
          <w:b/>
          <w:bCs/>
          <w:color w:val="1B3A6B"/>
          <w:sz w:val="26"/>
          <w:szCs w:val="26"/>
        </w:rPr>
        <w:t xml:space="preserve">Performance Metrics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Metric</w:t>
            </w:r>
          </w:p>
        </w:tc>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CAGR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Compound Annual Growth Rate — annualized return over the investment period</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Sharpe Ratio</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Return per unit of total risk (std deviation); higher = better</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Sortino Ratio</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Return per unit of downside risk; penalizes only negative volatility</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Alpha</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Excess return above benchmark; positive alpha = fund outperforms market</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Beta</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Market sensitivity; beta &lt; 1 indicates lower volatility than benchmark</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Maximum Drawdown</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Largest peak-to-trough loss; lower absolute value = more resilient</w:t>
            </w:r>
          </w:p>
        </w:tc>
      </w:tr>
    </w:tbl>
    <w:p>
      <w:pPr>
        <w:spacing w:after="0" w:before="160"/>
      </w:pPr>
    </w:p>
    <w:p>
      <w:pPr>
        <w:spacing w:after="100" w:before="200"/>
      </w:pPr>
      <w:r>
        <w:rPr>
          <w:rFonts w:ascii="Arial" w:cs="Arial" w:eastAsia="Arial" w:hAnsi="Arial"/>
          <w:b/>
          <w:bCs/>
          <w:color w:val="1B3A6B"/>
          <w:sz w:val="26"/>
          <w:szCs w:val="26"/>
        </w:rPr>
        <w:t xml:space="preserve">Top 5 Ranked Funds by Composite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Rank</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AMFI Code</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Fund Name</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102886</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UTI Mid Cap Fund – Regular – Growth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100.00</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100016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HDFC Top 100 Fund – Regular – Growth</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99.10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119095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Axis Small Cap Fund – Regular – Growth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93.43</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119599</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SBI Small Cap Fund – Direct – Growth</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86.87</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119092</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Axis Bluechip Fund – Regular – Growth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85.90</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Business Insight</w:t>
            </w:r>
          </w:p>
          <w:p>
            <w:pPr>
              <w:spacing w:after="0" w:before="0"/>
            </w:pPr>
            <w:r>
              <w:rPr>
                <w:rFonts w:ascii="Arial" w:cs="Arial" w:eastAsia="Arial" w:hAnsi="Arial"/>
                <w:color w:val="374151"/>
                <w:sz w:val="21"/>
                <w:szCs w:val="21"/>
              </w:rPr>
              <w:t xml:space="preserve">The composite scoring model integrates CAGR, Sharpe ratio, alpha, drawdown, and expense ratio into a single comparable metric. Top-ranked funds demonstrate superior risk-adjusted returns alongside strong downside protection — characteristics associated with consistent long-term outperformance.</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RISK ANALYTICS</w:t>
      </w:r>
    </w:p>
    <w:p>
      <w:pPr>
        <w:spacing w:after="60" w:before="60"/>
      </w:pPr>
      <w:r>
        <w:rPr>
          <w:rFonts w:ascii="Arial" w:cs="Arial" w:eastAsia="Arial" w:hAnsi="Arial"/>
          <w:b w:val="false"/>
          <w:bCs w:val="false"/>
          <w:color w:val="374151"/>
          <w:sz w:val="22"/>
          <w:szCs w:val="22"/>
        </w:rPr>
        <w:t xml:space="preserve">Risk analytics go beyond standard deviation to quantify tail risk, downside exposure, and worst-case scenarios — critical for understanding fund behavior during market stress.</w:t>
      </w:r>
    </w:p>
    <w:p>
      <w:pPr>
        <w:spacing w:after="0" w:before="120"/>
      </w:pPr>
    </w:p>
    <w:p>
      <w:pPr>
        <w:spacing w:after="100" w:before="200"/>
      </w:pPr>
      <w:r>
        <w:rPr>
          <w:rFonts w:ascii="Arial" w:cs="Arial" w:eastAsia="Arial" w:hAnsi="Arial"/>
          <w:b/>
          <w:bCs/>
          <w:color w:val="1B3A6B"/>
          <w:sz w:val="26"/>
          <w:szCs w:val="26"/>
        </w:rPr>
        <w:t xml:space="preserve">Risk Metrics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Metric</w:t>
            </w:r>
          </w:p>
        </w:tc>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Interpretation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Value at Risk (VaR 95%)</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expected loss at 95% confidence over a given period</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Conditional VaR (CVaR 95%)</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Average loss in the worst 5% of scenarios (tail risk)</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Maximum Drawdown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Largest portfolio decline from peak — measures recovery challenge</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Rolling Sharpe Ratio</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Time-varying Sharpe ratio reveals periods of strong/weak risk-adj. performance</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Tracking Error</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Standard deviation of returns vs benchmark — relevant for index/ETF funds</w:t>
            </w:r>
          </w:p>
        </w:tc>
      </w:tr>
    </w:tbl>
    <w:p>
      <w:pPr>
        <w:spacing w:after="0" w:before="160"/>
      </w:pPr>
    </w:p>
    <w:p>
      <w:pPr>
        <w:spacing w:after="100" w:before="200"/>
      </w:pPr>
      <w:r>
        <w:rPr>
          <w:rFonts w:ascii="Arial" w:cs="Arial" w:eastAsia="Arial" w:hAnsi="Arial"/>
          <w:b/>
          <w:bCs/>
          <w:color w:val="1B3A6B"/>
          <w:sz w:val="26"/>
          <w:szCs w:val="26"/>
        </w:rPr>
        <w:t xml:space="preserve">Highest Downside Risk — Top 5 Funds (VaR 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AMFI Code</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Fund Name</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VaR (95%)</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CVaR (95%)</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119599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SBI Small Cap Fund – Direct – Growth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-3.24%</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119095</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Axis Small Cap Fund – Regular – Growth</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-2.62%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-3.17%</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101207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ABSL Small Cap Fund – Regular – Growth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-2.60%</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-3.25%</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118634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Nippon India Small Cap – Regular – Growth</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-2.54%</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-3.23%</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119598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SBI Small Cap Fund – Regular – Growth</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-2.45%</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-3.06%</w:t>
            </w:r>
          </w:p>
        </w:tc>
      </w:tr>
    </w:tbl>
    <w:p>
      <w:pPr>
        <w:spacing w:after="0" w:before="160"/>
      </w:pPr>
    </w:p>
    <w:p>
      <w:pPr>
        <w:spacing w:after="60" w:before="60"/>
      </w:pPr>
      <w:r>
        <w:rPr>
          <w:rFonts w:ascii="Arial" w:cs="Arial" w:eastAsia="Arial" w:hAnsi="Arial"/>
          <w:b w:val="false"/>
          <w:bCs w:val="false"/>
          <w:color w:val="374151"/>
          <w:sz w:val="22"/>
          <w:szCs w:val="22"/>
        </w:rPr>
        <w:t xml:space="preserve">Observation: Small Cap funds consistently show the highest tail risk, which is consistent with their higher volatility profile. Investors with low risk tolerance should be steered toward Large Cap or Debt funds instead.</w:t>
      </w:r>
    </w:p>
    <w:p>
      <w:pPr>
        <w:spacing w:after="0" w:before="160"/>
      </w:pPr>
    </w:p>
    <w:p>
      <w:pPr>
        <w:spacing w:after="100" w:before="200"/>
      </w:pPr>
      <w:r>
        <w:rPr>
          <w:rFonts w:ascii="Arial" w:cs="Arial" w:eastAsia="Arial" w:hAnsi="Arial"/>
          <w:b/>
          <w:bCs/>
          <w:color w:val="1B3A6B"/>
          <w:sz w:val="26"/>
          <w:szCs w:val="26"/>
        </w:rPr>
        <w:t xml:space="preserve">Maximum Drawdown Summary</w:t>
      </w:r>
    </w:p>
    <w:p>
      <w:pPr>
        <w:pStyle w:val="ListParagraph"/>
        <w:numPr>
          <w:ilvl w:val="0"/>
          <w:numId w:val="2"/>
        </w:numPr>
        <w:spacing w:after="40" w:before="40"/>
      </w:pPr>
      <w:r>
        <w:rPr>
          <w:rFonts w:ascii="Arial" w:cs="Arial" w:eastAsia="Arial" w:hAnsi="Arial"/>
          <w:color w:val="374151"/>
          <w:sz w:val="22"/>
          <w:szCs w:val="22"/>
        </w:rPr>
        <w:t xml:space="preserve">Small Cap and Mid Cap funds show drawdowns ranging from -15% to -53%, reflecting high volatility during market corrections.</w:t>
      </w:r>
    </w:p>
    <w:p>
      <w:pPr>
        <w:pStyle w:val="ListParagraph"/>
        <w:numPr>
          <w:ilvl w:val="0"/>
          <w:numId w:val="2"/>
        </w:numPr>
        <w:spacing w:after="40" w:before="40"/>
      </w:pPr>
      <w:r>
        <w:rPr>
          <w:rFonts w:ascii="Arial" w:cs="Arial" w:eastAsia="Arial" w:hAnsi="Arial"/>
          <w:color w:val="374151"/>
          <w:sz w:val="22"/>
          <w:szCs w:val="22"/>
        </w:rPr>
        <w:t xml:space="preserve">Large Cap and Index funds demonstrate more moderate drawdowns of -10% to -25%.</w:t>
      </w:r>
    </w:p>
    <w:p>
      <w:pPr>
        <w:pStyle w:val="ListParagraph"/>
        <w:numPr>
          <w:ilvl w:val="0"/>
          <w:numId w:val="2"/>
        </w:numPr>
        <w:spacing w:after="40" w:before="40"/>
      </w:pPr>
      <w:r>
        <w:rPr>
          <w:rFonts w:ascii="Arial" w:cs="Arial" w:eastAsia="Arial" w:hAnsi="Arial"/>
          <w:color w:val="374151"/>
          <w:sz w:val="22"/>
          <w:szCs w:val="22"/>
        </w:rPr>
        <w:t xml:space="preserve">Liquid and Short Duration Debt funds show near-zero drawdowns, confirming their capital preservation role.</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Business Insight</w:t>
            </w:r>
          </w:p>
          <w:p>
            <w:pPr>
              <w:spacing w:after="0" w:before="0"/>
            </w:pPr>
            <w:r>
              <w:rPr>
                <w:rFonts w:ascii="Arial" w:cs="Arial" w:eastAsia="Arial" w:hAnsi="Arial"/>
                <w:color w:val="374151"/>
                <w:sz w:val="21"/>
                <w:szCs w:val="21"/>
              </w:rPr>
              <w:t xml:space="preserve">Tail-risk analysis (VaR/CVaR) is essential for understanding true downside exposure. Funds with high CVaR values — particularly small cap equity — can suffer outsized losses during market dislocations. Risk-based portfolio construction should pair high-CVaR equity funds with low-volatility debt allocations for balance.</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ADVANCED ANALYTICS</w:t>
      </w:r>
    </w:p>
    <w:p>
      <w:pPr>
        <w:spacing w:after="0" w:before="60"/>
      </w:pPr>
    </w:p>
    <w:p>
      <w:pPr>
        <w:spacing w:after="100" w:before="200"/>
      </w:pPr>
      <w:r>
        <w:rPr>
          <w:rFonts w:ascii="Arial" w:cs="Arial" w:eastAsia="Arial" w:hAnsi="Arial"/>
          <w:b/>
          <w:bCs/>
          <w:color w:val="1B3A6B"/>
          <w:sz w:val="26"/>
          <w:szCs w:val="26"/>
        </w:rPr>
        <w:t xml:space="preserve">Investor Cohort Analysis</w:t>
      </w:r>
    </w:p>
    <w:p>
      <w:pPr>
        <w:spacing w:after="60" w:before="60"/>
      </w:pPr>
      <w:r>
        <w:rPr>
          <w:rFonts w:ascii="Arial" w:cs="Arial" w:eastAsia="Arial" w:hAnsi="Arial"/>
          <w:b w:val="false"/>
          <w:bCs w:val="false"/>
          <w:color w:val="374151"/>
          <w:sz w:val="22"/>
          <w:szCs w:val="22"/>
        </w:rPr>
        <w:t xml:space="preserve">Investors were segmented by their first investment year to understand behavioral differences between cohorts.</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Cohort</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Investment (₹)</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 Invested</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Most Preferred Fund</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2024 Cohort</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₹107,423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₹3.49 Billion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148568 (SBI Liquid Fund – Direct)</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2025 Cohort</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₹109,159</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₹30.46 Million</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119599 (SBI Small Cap – Direct)</w:t>
            </w:r>
          </w:p>
        </w:tc>
      </w:tr>
    </w:tbl>
    <w:p>
      <w:pPr>
        <w:spacing w:after="0" w:before="120"/>
      </w:pPr>
    </w:p>
    <w:p>
      <w:pPr>
        <w:pStyle w:val="ListParagraph"/>
        <w:numPr>
          <w:ilvl w:val="0"/>
          <w:numId w:val="2"/>
        </w:numPr>
        <w:spacing w:after="40" w:before="40"/>
      </w:pPr>
      <w:r>
        <w:rPr>
          <w:rFonts w:ascii="Arial" w:cs="Arial" w:eastAsia="Arial" w:hAnsi="Arial"/>
          <w:color w:val="374151"/>
          <w:sz w:val="22"/>
          <w:szCs w:val="22"/>
        </w:rPr>
        <w:t xml:space="preserve">2025 investors invest slightly larger per-transaction amounts (₹1,736 more on average), suggesting increasing financial literacy and ticket size growth.</w:t>
      </w:r>
    </w:p>
    <w:p>
      <w:pPr>
        <w:pStyle w:val="ListParagraph"/>
        <w:numPr>
          <w:ilvl w:val="0"/>
          <w:numId w:val="2"/>
        </w:numPr>
        <w:spacing w:after="40" w:before="40"/>
      </w:pPr>
      <w:r>
        <w:rPr>
          <w:rFonts w:ascii="Arial" w:cs="Arial" w:eastAsia="Arial" w:hAnsi="Arial"/>
          <w:color w:val="374151"/>
          <w:sz w:val="22"/>
          <w:szCs w:val="22"/>
        </w:rPr>
        <w:t xml:space="preserve">The 2024 cohort drives the majority of total invested capital given the much larger pool size.</w:t>
      </w:r>
    </w:p>
    <w:p>
      <w:pPr>
        <w:pStyle w:val="ListParagraph"/>
        <w:numPr>
          <w:ilvl w:val="0"/>
          <w:numId w:val="2"/>
        </w:numPr>
        <w:spacing w:after="40" w:before="40"/>
      </w:pPr>
      <w:r>
        <w:rPr>
          <w:rFonts w:ascii="Arial" w:cs="Arial" w:eastAsia="Arial" w:hAnsi="Arial"/>
          <w:color w:val="374151"/>
          <w:sz w:val="22"/>
          <w:szCs w:val="22"/>
        </w:rPr>
        <w:t xml:space="preserve">Preference shift from liquid funds (2024 cohort) to small cap (2025 cohort) indicates increasing risk appetite among newer investors.</w:t>
      </w:r>
    </w:p>
    <w:p>
      <w:pPr>
        <w:spacing w:after="0" w:before="160"/>
      </w:pPr>
    </w:p>
    <w:p>
      <w:pPr>
        <w:spacing w:after="100" w:before="200"/>
      </w:pPr>
      <w:r>
        <w:rPr>
          <w:rFonts w:ascii="Arial" w:cs="Arial" w:eastAsia="Arial" w:hAnsi="Arial"/>
          <w:b/>
          <w:bCs/>
          <w:color w:val="1B3A6B"/>
          <w:sz w:val="26"/>
          <w:szCs w:val="26"/>
        </w:rPr>
        <w:t xml:space="preserve">Fund Recommendation Engine</w:t>
      </w:r>
    </w:p>
    <w:p>
      <w:pPr>
        <w:spacing w:after="60" w:before="60"/>
      </w:pPr>
      <w:r>
        <w:rPr>
          <w:rFonts w:ascii="Arial" w:cs="Arial" w:eastAsia="Arial" w:hAnsi="Arial"/>
          <w:b w:val="false"/>
          <w:bCs w:val="false"/>
          <w:color w:val="374151"/>
          <w:sz w:val="22"/>
          <w:szCs w:val="22"/>
        </w:rPr>
        <w:t xml:space="preserve">A rule-based recommendation engine was developed to match investor risk profiles to optimal fund choices.</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 Profile</w:t>
            </w:r>
          </w:p>
        </w:tc>
        <w:tc>
          <w:tcPr>
            <w:tcW w:type="dxa" w:w="2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Scoring Criteria</w:t>
            </w:r>
          </w:p>
        </w:tc>
        <w:tc>
          <w:tcPr>
            <w:tcW w:type="dxa" w:w="2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Recommended Category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 Risk</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Sharpe &gt; 0, Max Drawdown &gt; -10%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Debt / Liquid / Short Duration funds</w:t>
            </w:r>
          </w:p>
        </w:tc>
      </w:tr>
      <w:tr>
        <w:tc>
          <w:tcPr>
            <w:tcW w:type="dxa" w:w="400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Moderate Risk</w:t>
            </w:r>
          </w:p>
        </w:tc>
        <w:tc>
          <w:tcPr>
            <w:tcW w:type="dxa" w:w="2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Sharpe &gt; -0.5, Drawdown &gt; -25%</w:t>
            </w:r>
          </w:p>
        </w:tc>
        <w:tc>
          <w:tcPr>
            <w:tcW w:type="dxa" w:w="2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Large Cap / Flexi Cap / Hybrid funds</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 Risk</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 CAGR, Alpha &gt; 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 Cap / Mid Cap / ELSS funds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Business Value</w:t>
            </w:r>
          </w:p>
          <w:p>
            <w:pPr>
              <w:spacing w:after="0" w:before="0"/>
            </w:pPr>
            <w:r>
              <w:rPr>
                <w:rFonts w:ascii="Arial" w:cs="Arial" w:eastAsia="Arial" w:hAnsi="Arial"/>
                <w:color w:val="374151"/>
                <w:sz w:val="21"/>
                <w:szCs w:val="21"/>
              </w:rPr>
              <w:t xml:space="preserve">The recommendation engine translates quantitative metrics into investor-facing guidance, helping advisors and direct investors make data-driven allocation decisions without requiring deep financial expertise.</w:t>
            </w:r>
          </w:p>
        </w:tc>
      </w:tr>
    </w:tbl>
    <w:p>
      <w:pPr>
        <w:spacing w:after="0" w:before="160"/>
      </w:pPr>
    </w:p>
    <w:p>
      <w:pPr>
        <w:spacing w:after="100" w:before="200"/>
      </w:pPr>
      <w:r>
        <w:rPr>
          <w:rFonts w:ascii="Arial" w:cs="Arial" w:eastAsia="Arial" w:hAnsi="Arial"/>
          <w:b/>
          <w:bCs/>
          <w:color w:val="1B3A6B"/>
          <w:sz w:val="26"/>
          <w:szCs w:val="26"/>
        </w:rPr>
        <w:t xml:space="preserve">Sector Concentration (HHI Analysis)</w:t>
      </w:r>
    </w:p>
    <w:p>
      <w:pPr>
        <w:spacing w:after="60" w:before="60"/>
      </w:pPr>
      <w:r>
        <w:rPr>
          <w:rFonts w:ascii="Arial" w:cs="Arial" w:eastAsia="Arial" w:hAnsi="Arial"/>
          <w:b w:val="false"/>
          <w:bCs w:val="false"/>
          <w:color w:val="374151"/>
          <w:sz w:val="22"/>
          <w:szCs w:val="22"/>
        </w:rPr>
        <w:t xml:space="preserve">The Herfindahl-Hirschman Index (HHI) was used to measure portfolio concentration within each fund's holdings.</w:t>
      </w:r>
    </w:p>
    <w:p>
      <w:pPr>
        <w:spacing w:after="0" w:before="80"/>
      </w:pPr>
    </w:p>
    <w:p>
      <w:pPr>
        <w:pStyle w:val="ListParagraph"/>
        <w:numPr>
          <w:ilvl w:val="0"/>
          <w:numId w:val="2"/>
        </w:numPr>
        <w:spacing w:after="40" w:before="40"/>
      </w:pPr>
      <w:r>
        <w:rPr>
          <w:rFonts w:ascii="Arial" w:cs="Arial" w:eastAsia="Arial" w:hAnsi="Arial"/>
          <w:color w:val="374151"/>
          <w:sz w:val="22"/>
          <w:szCs w:val="22"/>
        </w:rPr>
        <w:t xml:space="preserve">Formula: HHI = Σ(sector_weight²) — values approaching 1.0 indicate high concentration.</w:t>
      </w:r>
    </w:p>
    <w:p>
      <w:pPr>
        <w:pStyle w:val="ListParagraph"/>
        <w:numPr>
          <w:ilvl w:val="0"/>
          <w:numId w:val="2"/>
        </w:numPr>
        <w:spacing w:after="40" w:before="40"/>
      </w:pPr>
      <w:r>
        <w:rPr>
          <w:rFonts w:ascii="Arial" w:cs="Arial" w:eastAsia="Arial" w:hAnsi="Arial"/>
          <w:color w:val="374151"/>
          <w:sz w:val="22"/>
          <w:szCs w:val="22"/>
        </w:rPr>
        <w:t xml:space="preserve">Diversified equity funds (Large Cap, Flexi Cap) demonstrated lower HHI scores, confirming broader sector exposure.</w:t>
      </w:r>
    </w:p>
    <w:p>
      <w:pPr>
        <w:pStyle w:val="ListParagraph"/>
        <w:numPr>
          <w:ilvl w:val="0"/>
          <w:numId w:val="2"/>
        </w:numPr>
        <w:spacing w:after="40" w:before="40"/>
      </w:pPr>
      <w:r>
        <w:rPr>
          <w:rFonts w:ascii="Arial" w:cs="Arial" w:eastAsia="Arial" w:hAnsi="Arial"/>
          <w:color w:val="374151"/>
          <w:sz w:val="22"/>
          <w:szCs w:val="22"/>
        </w:rPr>
        <w:t xml:space="preserve">Sectoral/Thematic funds showed significantly higher HHI, reflecting intentional concentration risk.</w:t>
      </w:r>
    </w:p>
    <w:p>
      <w:pPr>
        <w:pStyle w:val="ListParagraph"/>
        <w:numPr>
          <w:ilvl w:val="0"/>
          <w:numId w:val="2"/>
        </w:numPr>
        <w:spacing w:after="40" w:before="40"/>
      </w:pPr>
      <w:r>
        <w:rPr>
          <w:rFonts w:ascii="Arial" w:cs="Arial" w:eastAsia="Arial" w:hAnsi="Arial"/>
          <w:color w:val="374151"/>
          <w:sz w:val="22"/>
          <w:szCs w:val="22"/>
        </w:rPr>
        <w:t xml:space="preserve">HHI analysis provides a complement to standard deviation — a fund can appear low-volatility but still carry hidden concentration risk.</w:t>
      </w:r>
    </w:p>
    <w:p>
      <w:r>
        <w:br w:type="page"/>
      </w:r>
    </w:p>
    <w:p>
      <w:pPr>
        <w:pBdr>
          <w:bottom w:val="single" w:color="2563EB" w:sz="8" w:space="4"/>
        </w:pBdr>
        <w:spacing w:after="160" w:before="240"/>
      </w:pPr>
      <w:r>
        <w:rPr>
          <w:rFonts w:ascii="Arial" w:cs="Arial" w:eastAsia="Arial" w:hAnsi="Arial"/>
          <w:b/>
          <w:bCs/>
          <w:color w:val="1B3A6B"/>
          <w:sz w:val="36"/>
          <w:szCs w:val="36"/>
        </w:rPr>
        <w:t xml:space="preserve">SIP &amp; MARKET TRENDS — PAGE 4 DASHBOARD</w:t>
      </w:r>
    </w:p>
    <w:p>
      <w:pPr>
        <w:spacing w:after="60" w:before="60"/>
      </w:pPr>
      <w:r>
        <w:rPr>
          <w:rFonts w:ascii="Arial" w:cs="Arial" w:eastAsia="Arial" w:hAnsi="Arial"/>
          <w:b w:val="false"/>
          <w:bCs w:val="false"/>
          <w:color w:val="374151"/>
          <w:sz w:val="22"/>
          <w:szCs w:val="22"/>
        </w:rPr>
        <w:t xml:space="preserve">The SIP &amp; Market Trends dashboard tracks systematic investment behavior, net inflow patterns by category, and the correlation between SIP flows and market movements.</w:t>
      </w:r>
    </w:p>
    <w:p>
      <w:pPr>
        <w:spacing w:after="0" w:before="160"/>
      </w:pPr>
    </w:p>
    <w:p>
      <w:pPr>
        <w:jc w:val="center"/>
      </w:pPr>
      <w:r>
        <w:drawing>
          <wp:inline distT="0" distB="0" distL="0" distR="0">
            <wp:extent cx="8543925" cy="458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43925" cy="4581525"/>
                    </a:xfrm>
                    <a:prstGeom prst="rect">
                      <a:avLst/>
                    </a:prstGeom>
                  </pic:spPr>
                </pic:pic>
              </a:graphicData>
            </a:graphic>
          </wp:inline>
        </w:drawing>
      </w:r>
    </w:p>
    <w:p>
      <w:pPr>
        <w:spacing w:after="0" w:before="200"/>
      </w:pPr>
    </w:p>
    <w:p>
      <w:pPr>
        <w:spacing w:after="100" w:before="200"/>
      </w:pPr>
      <w:r>
        <w:rPr>
          <w:rFonts w:ascii="Arial" w:cs="Arial" w:eastAsia="Arial" w:hAnsi="Arial"/>
          <w:b/>
          <w:bCs/>
          <w:color w:val="1B3A6B"/>
          <w:sz w:val="26"/>
          <w:szCs w:val="26"/>
        </w:rPr>
        <w:t xml:space="preserve">SIP Inflow Summary by Category (2024–2025)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tblGrid>
      <w:tr>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2024 Inflow (₹Cr)</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2025 Inflow (₹Cr)</w:t>
            </w:r>
          </w:p>
        </w:tc>
        <w:tc>
          <w:tcPr>
            <w:tcW w:type="dxa" w:w="234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Total</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Liquid</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346,328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104,947</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451,275</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Sectoral/Thematic</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78,107</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25,722</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103,829</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Flexi Cap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47,551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16,438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63,989</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Mid Cap</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41,116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14,196</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55,312</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Short Duration</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41,859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13,671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55,530</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Large &amp; Mid Cap</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43,169</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14,583</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57,752</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Small Cap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34,204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12,392</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46,596</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Hybrid</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29,711</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9,157</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38,868</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Large Cap</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19,449</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6,184</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25,633</w:t>
            </w:r>
          </w:p>
        </w:tc>
      </w:tr>
      <w:tr>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ELSS</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4,627</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1,453</w:t>
            </w:r>
          </w:p>
        </w:tc>
        <w:tc>
          <w:tcPr>
            <w:tcW w:type="dxa" w:w="234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6,080</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Total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706,618</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225,621</w:t>
            </w:r>
          </w:p>
        </w:tc>
        <w:tc>
          <w:tcPr>
            <w:tcW w:type="dxa" w:w="23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932,239</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2"/>
              <w:bottom w:val="single" w:color="D1D5DB" w:sz="1"/>
              <w:right w:val="single" w:color="D1D5DB" w:sz="1"/>
            </w:tcBorders>
            <w:shd w:fill="FFFBEB" w:val="clear"/>
            <w:tcMar>
              <w:top w:type="dxa" w:w="120"/>
              <w:left w:type="dxa" w:w="200"/>
              <w:bottom w:type="dxa" w:w="120"/>
              <w:right w:type="dxa" w:w="200"/>
            </w:tcMar>
          </w:tcPr>
          <w:p>
            <w:pPr>
              <w:spacing w:after="60" w:before="0"/>
            </w:pPr>
            <w:r>
              <w:rPr>
                <w:rFonts w:ascii="Arial" w:cs="Arial" w:eastAsia="Arial" w:hAnsi="Arial"/>
                <w:b/>
                <w:bCs/>
                <w:color w:val="EA580C"/>
                <w:sz w:val="22"/>
                <w:szCs w:val="22"/>
              </w:rPr>
              <w:t xml:space="preserve">💡 Business Insight</w:t>
            </w:r>
          </w:p>
          <w:p>
            <w:pPr>
              <w:spacing w:after="0" w:before="0"/>
            </w:pPr>
            <w:r>
              <w:rPr>
                <w:rFonts w:ascii="Arial" w:cs="Arial" w:eastAsia="Arial" w:hAnsi="Arial"/>
                <w:color w:val="374151"/>
                <w:sz w:val="21"/>
                <w:szCs w:val="21"/>
              </w:rPr>
              <w:t xml:space="preserve">Liquid funds dominate net inflows, indicating strong institutional and corporate short-term parking activity. However, Sectoral/Thematic and Flexi Cap categories are gaining retail traction — suggesting investor appetite for market-linked, actively managed strategies. SIP inflows declined in 2025 vs 2024, which warrants monitoring for broader industry trends.</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KEY FINDINGS</w:t>
      </w:r>
    </w:p>
    <w:p>
      <w:pPr>
        <w:spacing w:after="60" w:before="60"/>
      </w:pPr>
      <w:r>
        <w:rPr>
          <w:rFonts w:ascii="Arial" w:cs="Arial" w:eastAsia="Arial" w:hAnsi="Arial"/>
          <w:b w:val="false"/>
          <w:bCs w:val="false"/>
          <w:color w:val="374151"/>
          <w:sz w:val="22"/>
          <w:szCs w:val="22"/>
        </w:rPr>
        <w:t xml:space="preserve">The following findings emerged from comprehensive analysis across all platform modules:</w:t>
      </w:r>
    </w:p>
    <w:p>
      <w:pPr>
        <w:spacing w:after="0" w:before="120"/>
      </w:pPr>
    </w:p>
    <w:p>
      <w:pPr>
        <w:pStyle w:val="ListParagraph"/>
        <w:numPr>
          <w:ilvl w:val="0"/>
          <w:numId w:val="3"/>
        </w:numPr>
        <w:spacing w:after="40" w:before="40"/>
      </w:pPr>
      <w:r>
        <w:rPr>
          <w:rFonts w:ascii="Arial" w:cs="Arial" w:eastAsia="Arial" w:hAnsi="Arial"/>
          <w:color w:val="374151"/>
          <w:sz w:val="22"/>
          <w:szCs w:val="22"/>
        </w:rPr>
        <w:t xml:space="preserve">Industry AUM demonstrated sustained, strong growth from 2022 to 2024, with a slight moderation in 2025 — reflecting broader market conditions.</w:t>
      </w:r>
    </w:p>
    <w:p>
      <w:pPr>
        <w:pStyle w:val="ListParagraph"/>
        <w:numPr>
          <w:ilvl w:val="0"/>
          <w:numId w:val="3"/>
        </w:numPr>
        <w:spacing w:after="40" w:before="40"/>
      </w:pPr>
      <w:r>
        <w:rPr>
          <w:rFonts w:ascii="Arial" w:cs="Arial" w:eastAsia="Arial" w:hAnsi="Arial"/>
          <w:color w:val="374151"/>
          <w:sz w:val="22"/>
          <w:szCs w:val="22"/>
        </w:rPr>
        <w:t xml:space="preserve">SBI Mutual Fund leads all fund houses in total AUM, followed by ICICI Prudential MF and HDFC Mutual Fund — with market concentration in the top 3 houses.</w:t>
      </w:r>
    </w:p>
    <w:p>
      <w:pPr>
        <w:pStyle w:val="ListParagraph"/>
        <w:numPr>
          <w:ilvl w:val="0"/>
          <w:numId w:val="3"/>
        </w:numPr>
        <w:spacing w:after="40" w:before="40"/>
      </w:pPr>
      <w:r>
        <w:rPr>
          <w:rFonts w:ascii="Arial" w:cs="Arial" w:eastAsia="Arial" w:hAnsi="Arial"/>
          <w:color w:val="374151"/>
          <w:sz w:val="22"/>
          <w:szCs w:val="22"/>
        </w:rPr>
        <w:t xml:space="preserve">UTI Mid Cap Fund (AMFI 102886) achieved the highest composite score of 100.00, outperforming peers on CAGR, Alpha, and drawdown metrics.</w:t>
      </w:r>
    </w:p>
    <w:p>
      <w:pPr>
        <w:pStyle w:val="ListParagraph"/>
        <w:numPr>
          <w:ilvl w:val="0"/>
          <w:numId w:val="3"/>
        </w:numPr>
        <w:spacing w:after="40" w:before="40"/>
      </w:pPr>
      <w:r>
        <w:rPr>
          <w:rFonts w:ascii="Arial" w:cs="Arial" w:eastAsia="Arial" w:hAnsi="Arial"/>
          <w:color w:val="374151"/>
          <w:sz w:val="22"/>
          <w:szCs w:val="22"/>
        </w:rPr>
        <w:t xml:space="preserve">Small Cap funds carry the highest tail risk — SBI Small Cap (Direct) shows VaR of -2.69% and CVaR of -3.24%, the worst in the universe.</w:t>
      </w:r>
    </w:p>
    <w:p>
      <w:pPr>
        <w:pStyle w:val="ListParagraph"/>
        <w:numPr>
          <w:ilvl w:val="0"/>
          <w:numId w:val="3"/>
        </w:numPr>
        <w:spacing w:after="40" w:before="40"/>
      </w:pPr>
      <w:r>
        <w:rPr>
          <w:rFonts w:ascii="Arial" w:cs="Arial" w:eastAsia="Arial" w:hAnsi="Arial"/>
          <w:color w:val="374151"/>
          <w:sz w:val="22"/>
          <w:szCs w:val="22"/>
        </w:rPr>
        <w:t xml:space="preserve">Transaction distribution is nearly equal between Lumpsum purchases and Redemptions, indicating significant portfolio turnover and potential retention challenges.</w:t>
      </w:r>
    </w:p>
    <w:p>
      <w:pPr>
        <w:pStyle w:val="ListParagraph"/>
        <w:numPr>
          <w:ilvl w:val="0"/>
          <w:numId w:val="3"/>
        </w:numPr>
        <w:spacing w:after="40" w:before="40"/>
      </w:pPr>
      <w:r>
        <w:rPr>
          <w:rFonts w:ascii="Arial" w:cs="Arial" w:eastAsia="Arial" w:hAnsi="Arial"/>
          <w:color w:val="374151"/>
          <w:sz w:val="22"/>
          <w:szCs w:val="22"/>
        </w:rPr>
        <w:t xml:space="preserve">2025 cohort investors allocate ₹1,736 more per transaction on average than 2024 cohort, pointing to growing financial participation and higher ticket sizes.</w:t>
      </w:r>
    </w:p>
    <w:p>
      <w:pPr>
        <w:pStyle w:val="ListParagraph"/>
        <w:numPr>
          <w:ilvl w:val="0"/>
          <w:numId w:val="3"/>
        </w:numPr>
        <w:spacing w:after="40" w:before="40"/>
      </w:pPr>
      <w:r>
        <w:rPr>
          <w:rFonts w:ascii="Arial" w:cs="Arial" w:eastAsia="Arial" w:hAnsi="Arial"/>
          <w:color w:val="374151"/>
          <w:sz w:val="22"/>
          <w:szCs w:val="22"/>
        </w:rPr>
        <w:t xml:space="preserve">Liquid fund category dominates net inflows (₹451,275 Cr total), driven by institutional and corporate short-term investment behavior.</w:t>
      </w:r>
    </w:p>
    <w:p>
      <w:pPr>
        <w:pStyle w:val="ListParagraph"/>
        <w:numPr>
          <w:ilvl w:val="0"/>
          <w:numId w:val="3"/>
        </w:numPr>
        <w:spacing w:after="40" w:before="40"/>
      </w:pPr>
      <w:r>
        <w:rPr>
          <w:rFonts w:ascii="Arial" w:cs="Arial" w:eastAsia="Arial" w:hAnsi="Arial"/>
          <w:color w:val="374151"/>
          <w:sz w:val="22"/>
          <w:szCs w:val="22"/>
        </w:rPr>
        <w:t xml:space="preserve">Rolling Sharpe analysis reveals period-specific performance variations — most funds showed deteriorating risk-adjusted returns during high volatility quarters.</w:t>
      </w:r>
    </w:p>
    <w:p>
      <w:pPr>
        <w:pStyle w:val="ListParagraph"/>
        <w:numPr>
          <w:ilvl w:val="0"/>
          <w:numId w:val="3"/>
        </w:numPr>
        <w:spacing w:after="40" w:before="40"/>
      </w:pPr>
      <w:r>
        <w:rPr>
          <w:rFonts w:ascii="Arial" w:cs="Arial" w:eastAsia="Arial" w:hAnsi="Arial"/>
          <w:color w:val="374151"/>
          <w:sz w:val="22"/>
          <w:szCs w:val="22"/>
        </w:rPr>
        <w:t xml:space="preserve">HHI analysis identified meaningful concentration differences between diversified equity and sectoral/thematic fund categories.</w:t>
      </w:r>
    </w:p>
    <w:p>
      <w:pPr>
        <w:pStyle w:val="ListParagraph"/>
        <w:numPr>
          <w:ilvl w:val="0"/>
          <w:numId w:val="3"/>
        </w:numPr>
        <w:spacing w:after="40" w:before="40"/>
      </w:pPr>
      <w:r>
        <w:rPr>
          <w:rFonts w:ascii="Arial" w:cs="Arial" w:eastAsia="Arial" w:hAnsi="Arial"/>
          <w:color w:val="374151"/>
          <w:sz w:val="22"/>
          <w:szCs w:val="22"/>
        </w:rPr>
        <w:t xml:space="preserve">The fund recommendation engine successfully stratifies the 40-scheme universe into Low, Moderate, and High risk tiers with quantitatively justified assignments.</w:t>
      </w:r>
    </w:p>
    <w:p>
      <w:r>
        <w:br w:type="page"/>
      </w:r>
    </w:p>
    <w:p>
      <w:pPr>
        <w:pBdr>
          <w:bottom w:val="single" w:color="2563EB" w:sz="8" w:space="4"/>
        </w:pBdr>
        <w:spacing w:after="160" w:before="240"/>
      </w:pPr>
      <w:r>
        <w:rPr>
          <w:rFonts w:ascii="Arial" w:cs="Arial" w:eastAsia="Arial" w:hAnsi="Arial"/>
          <w:b/>
          <w:bCs/>
          <w:color w:val="1B3A6B"/>
          <w:sz w:val="36"/>
          <w:szCs w:val="36"/>
        </w:rPr>
        <w:t xml:space="preserve">RECOMMENDATIONS</w:t>
      </w:r>
    </w:p>
    <w:p>
      <w:pPr>
        <w:spacing w:after="0" w:before="60"/>
      </w:pPr>
    </w:p>
    <w:p>
      <w:pPr>
        <w:spacing w:after="100" w:before="200"/>
      </w:pPr>
      <w:r>
        <w:rPr>
          <w:rFonts w:ascii="Arial" w:cs="Arial" w:eastAsia="Arial" w:hAnsi="Arial"/>
          <w:b/>
          <w:bCs/>
          <w:color w:val="1B3A6B"/>
          <w:sz w:val="26"/>
          <w:szCs w:val="26"/>
        </w:rPr>
        <w:t xml:space="preserve">For Fund Houses &amp; Distributors</w:t>
      </w:r>
    </w:p>
    <w:p>
      <w:pPr>
        <w:pStyle w:val="ListParagraph"/>
        <w:numPr>
          <w:ilvl w:val="0"/>
          <w:numId w:val="3"/>
        </w:numPr>
        <w:spacing w:after="40" w:before="40"/>
      </w:pPr>
      <w:r>
        <w:rPr>
          <w:rFonts w:ascii="Arial" w:cs="Arial" w:eastAsia="Arial" w:hAnsi="Arial"/>
          <w:color w:val="374151"/>
          <w:sz w:val="22"/>
          <w:szCs w:val="22"/>
        </w:rPr>
        <w:t xml:space="preserve">Promote SIP programs aggressively — SIP constitutes only ~2% of transaction volume. Dedicated SIP acquisition campaigns and auto-debit features can substantially increase recurring inflow stability.</w:t>
      </w:r>
    </w:p>
    <w:p>
      <w:pPr>
        <w:pStyle w:val="ListParagraph"/>
        <w:numPr>
          <w:ilvl w:val="0"/>
          <w:numId w:val="3"/>
        </w:numPr>
        <w:spacing w:after="40" w:before="40"/>
      </w:pPr>
      <w:r>
        <w:rPr>
          <w:rFonts w:ascii="Arial" w:cs="Arial" w:eastAsia="Arial" w:hAnsi="Arial"/>
          <w:color w:val="374151"/>
          <w:sz w:val="22"/>
          <w:szCs w:val="22"/>
        </w:rPr>
        <w:t xml:space="preserve">Monitor high-CVaR funds with enhanced risk disclosures — small cap and mid cap funds with CVaR below -3% should carry prominent risk warnings and be recommended only to appropriately profiled investors.</w:t>
      </w:r>
    </w:p>
    <w:p>
      <w:pPr>
        <w:pStyle w:val="ListParagraph"/>
        <w:numPr>
          <w:ilvl w:val="0"/>
          <w:numId w:val="3"/>
        </w:numPr>
        <w:spacing w:after="40" w:before="40"/>
      </w:pPr>
      <w:r>
        <w:rPr>
          <w:rFonts w:ascii="Arial" w:cs="Arial" w:eastAsia="Arial" w:hAnsi="Arial"/>
          <w:color w:val="374151"/>
          <w:sz w:val="22"/>
          <w:szCs w:val="22"/>
        </w:rPr>
        <w:t xml:space="preserve">Implement investor retention programs targeting redemption triggers — the near-equal lumpsum-to-redemption ratio suggests high portfolio exits. Exit interviews, re-entry bonuses, and advisory outreach can reduce churn.</w:t>
      </w:r>
    </w:p>
    <w:p>
      <w:pPr>
        <w:pStyle w:val="ListParagraph"/>
        <w:numPr>
          <w:ilvl w:val="0"/>
          <w:numId w:val="3"/>
        </w:numPr>
        <w:spacing w:after="40" w:before="40"/>
      </w:pPr>
      <w:r>
        <w:rPr>
          <w:rFonts w:ascii="Arial" w:cs="Arial" w:eastAsia="Arial" w:hAnsi="Arial"/>
          <w:color w:val="374151"/>
          <w:sz w:val="22"/>
          <w:szCs w:val="22"/>
        </w:rPr>
        <w:t xml:space="preserve">Develop diversification guidance — HHI analysis shows many investors are over-exposed to concentrated thematic funds. Portfolio-level diversification nudges can improve long-term outcomes.</w:t>
      </w:r>
    </w:p>
    <w:p>
      <w:pPr>
        <w:spacing w:after="0" w:before="160"/>
      </w:pPr>
    </w:p>
    <w:p>
      <w:pPr>
        <w:spacing w:after="100" w:before="200"/>
      </w:pPr>
      <w:r>
        <w:rPr>
          <w:rFonts w:ascii="Arial" w:cs="Arial" w:eastAsia="Arial" w:hAnsi="Arial"/>
          <w:b/>
          <w:bCs/>
          <w:color w:val="1B3A6B"/>
          <w:sz w:val="26"/>
          <w:szCs w:val="26"/>
        </w:rPr>
        <w:t xml:space="preserve">For Investment Analysts</w:t>
      </w:r>
    </w:p>
    <w:p>
      <w:pPr>
        <w:pStyle w:val="ListParagraph"/>
        <w:numPr>
          <w:ilvl w:val="0"/>
          <w:numId w:val="3"/>
        </w:numPr>
        <w:spacing w:after="40" w:before="40"/>
      </w:pPr>
      <w:r>
        <w:rPr>
          <w:rFonts w:ascii="Arial" w:cs="Arial" w:eastAsia="Arial" w:hAnsi="Arial"/>
          <w:color w:val="374151"/>
          <w:sz w:val="22"/>
          <w:szCs w:val="22"/>
        </w:rPr>
        <w:t xml:space="preserve">Use the composite fund scorecard as a primary screening tool — the normalized score integrating CAGR, Sharpe, alpha, drawdown, and expense ratio provides a robust multi-factor ranking framework.</w:t>
      </w:r>
    </w:p>
    <w:p>
      <w:pPr>
        <w:pStyle w:val="ListParagraph"/>
        <w:numPr>
          <w:ilvl w:val="0"/>
          <w:numId w:val="3"/>
        </w:numPr>
        <w:spacing w:after="40" w:before="40"/>
      </w:pPr>
      <w:r>
        <w:rPr>
          <w:rFonts w:ascii="Arial" w:cs="Arial" w:eastAsia="Arial" w:hAnsi="Arial"/>
          <w:color w:val="374151"/>
          <w:sz w:val="22"/>
          <w:szCs w:val="22"/>
        </w:rPr>
        <w:t xml:space="preserve">Apply rolling Sharpe analysis for regime-aware fund selection — funds with consistently high rolling Sharpe scores demonstrate true all-weather performance rather than single-period outperformance.</w:t>
      </w:r>
    </w:p>
    <w:p>
      <w:pPr>
        <w:spacing w:after="0" w:before="160"/>
      </w:pPr>
    </w:p>
    <w:p>
      <w:pPr>
        <w:spacing w:after="100" w:before="200"/>
      </w:pPr>
      <w:r>
        <w:rPr>
          <w:rFonts w:ascii="Arial" w:cs="Arial" w:eastAsia="Arial" w:hAnsi="Arial"/>
          <w:b/>
          <w:bCs/>
          <w:color w:val="1B3A6B"/>
          <w:sz w:val="26"/>
          <w:szCs w:val="26"/>
        </w:rPr>
        <w:t xml:space="preserve">For Platform Development</w:t>
      </w:r>
    </w:p>
    <w:p>
      <w:pPr>
        <w:pStyle w:val="ListParagraph"/>
        <w:numPr>
          <w:ilvl w:val="0"/>
          <w:numId w:val="3"/>
        </w:numPr>
        <w:spacing w:after="40" w:before="40"/>
      </w:pPr>
      <w:r>
        <w:rPr>
          <w:rFonts w:ascii="Arial" w:cs="Arial" w:eastAsia="Arial" w:hAnsi="Arial"/>
          <w:color w:val="374151"/>
          <w:sz w:val="22"/>
          <w:szCs w:val="22"/>
        </w:rPr>
        <w:t xml:space="preserve">Integrate real-time NAV APIs to replace static CSV-based data ingestion — enabling live portfolio tracking and dynamic scorecard updates.</w:t>
      </w:r>
    </w:p>
    <w:p>
      <w:pPr>
        <w:pStyle w:val="ListParagraph"/>
        <w:numPr>
          <w:ilvl w:val="0"/>
          <w:numId w:val="3"/>
        </w:numPr>
        <w:spacing w:after="40" w:before="40"/>
      </w:pPr>
      <w:r>
        <w:rPr>
          <w:rFonts w:ascii="Arial" w:cs="Arial" w:eastAsia="Arial" w:hAnsi="Arial"/>
          <w:color w:val="374151"/>
          <w:sz w:val="22"/>
          <w:szCs w:val="22"/>
        </w:rPr>
        <w:t xml:space="preserve">Evolve the recommendation engine toward machine learning — collaborative filtering and neural network-based models can personalize recommendations using full investor behavior history.</w:t>
      </w:r>
    </w:p>
    <w:p>
      <w:r>
        <w:br w:type="page"/>
      </w:r>
    </w:p>
    <w:p>
      <w:pPr>
        <w:pBdr>
          <w:bottom w:val="single" w:color="2563EB" w:sz="8" w:space="4"/>
        </w:pBdr>
        <w:spacing w:after="160" w:before="240"/>
      </w:pPr>
      <w:r>
        <w:rPr>
          <w:rFonts w:ascii="Arial" w:cs="Arial" w:eastAsia="Arial" w:hAnsi="Arial"/>
          <w:b/>
          <w:bCs/>
          <w:color w:val="1B3A6B"/>
          <w:sz w:val="36"/>
          <w:szCs w:val="36"/>
        </w:rPr>
        <w:t xml:space="preserve">LIMITATIONS &amp; FUTURE SCOPE</w:t>
      </w:r>
    </w:p>
    <w:p>
      <w:pPr>
        <w:spacing w:after="0" w:before="60"/>
      </w:pPr>
    </w:p>
    <w:p>
      <w:pPr>
        <w:spacing w:after="100" w:before="200"/>
      </w:pPr>
      <w:r>
        <w:rPr>
          <w:rFonts w:ascii="Arial" w:cs="Arial" w:eastAsia="Arial" w:hAnsi="Arial"/>
          <w:b/>
          <w:bCs/>
          <w:color w:val="1B3A6B"/>
          <w:sz w:val="26"/>
          <w:szCs w:val="26"/>
        </w:rPr>
        <w:t xml:space="preserve">Current Limitations</w:t>
      </w:r>
    </w:p>
    <w:p>
      <w:pPr>
        <w:pStyle w:val="ListParagraph"/>
        <w:numPr>
          <w:ilvl w:val="0"/>
          <w:numId w:val="2"/>
        </w:numPr>
        <w:spacing w:after="40" w:before="40"/>
      </w:pPr>
      <w:r>
        <w:rPr>
          <w:rFonts w:ascii="Arial" w:cs="Arial" w:eastAsia="Arial" w:hAnsi="Arial"/>
          <w:color w:val="374151"/>
          <w:sz w:val="22"/>
          <w:szCs w:val="22"/>
        </w:rPr>
        <w:t xml:space="preserve">Historical performance does not guarantee future returns — all metrics are backward-looking and reflect past NAV behavior.</w:t>
      </w:r>
    </w:p>
    <w:p>
      <w:pPr>
        <w:pStyle w:val="ListParagraph"/>
        <w:numPr>
          <w:ilvl w:val="0"/>
          <w:numId w:val="2"/>
        </w:numPr>
        <w:spacing w:after="40" w:before="40"/>
      </w:pPr>
      <w:r>
        <w:rPr>
          <w:rFonts w:ascii="Arial" w:cs="Arial" w:eastAsia="Arial" w:hAnsi="Arial"/>
          <w:color w:val="374151"/>
          <w:sz w:val="22"/>
          <w:szCs w:val="22"/>
        </w:rPr>
        <w:t xml:space="preserve">Limited benchmark universe — only a subset of benchmarks (NIFTY indices, BSE TRI) are included; international and custom benchmark comparisons are not supported.</w:t>
      </w:r>
    </w:p>
    <w:p>
      <w:pPr>
        <w:pStyle w:val="ListParagraph"/>
        <w:numPr>
          <w:ilvl w:val="0"/>
          <w:numId w:val="2"/>
        </w:numPr>
        <w:spacing w:after="40" w:before="40"/>
      </w:pPr>
      <w:r>
        <w:rPr>
          <w:rFonts w:ascii="Arial" w:cs="Arial" w:eastAsia="Arial" w:hAnsi="Arial"/>
          <w:color w:val="374151"/>
          <w:sz w:val="22"/>
          <w:szCs w:val="22"/>
        </w:rPr>
        <w:t xml:space="preserve">Rule-based recommendation engine — the current logic uses fixed thresholds and weighted scoring; it cannot adapt to changing market conditions or individual investor history without manual updates.</w:t>
      </w:r>
    </w:p>
    <w:p>
      <w:pPr>
        <w:pStyle w:val="ListParagraph"/>
        <w:numPr>
          <w:ilvl w:val="0"/>
          <w:numId w:val="2"/>
        </w:numPr>
        <w:spacing w:after="40" w:before="40"/>
      </w:pPr>
      <w:r>
        <w:rPr>
          <w:rFonts w:ascii="Arial" w:cs="Arial" w:eastAsia="Arial" w:hAnsi="Arial"/>
          <w:color w:val="374151"/>
          <w:sz w:val="22"/>
          <w:szCs w:val="22"/>
        </w:rPr>
        <w:t xml:space="preserve">Static data pipeline — the current ETL process runs on static CSV files; there is no live data refresh capability.</w:t>
      </w:r>
    </w:p>
    <w:p>
      <w:pPr>
        <w:pStyle w:val="ListParagraph"/>
        <w:numPr>
          <w:ilvl w:val="0"/>
          <w:numId w:val="2"/>
        </w:numPr>
        <w:spacing w:after="40" w:before="40"/>
      </w:pPr>
      <w:r>
        <w:rPr>
          <w:rFonts w:ascii="Arial" w:cs="Arial" w:eastAsia="Arial" w:hAnsi="Arial"/>
          <w:color w:val="374151"/>
          <w:sz w:val="22"/>
          <w:szCs w:val="22"/>
        </w:rPr>
        <w:t xml:space="preserve">Synthetic investor data — the 5,000 investor profiles are generated for analytical purposes and may not perfectly reflect real-world distribution patterns.</w:t>
      </w:r>
    </w:p>
    <w:p>
      <w:pPr>
        <w:spacing w:after="0" w:before="160"/>
      </w:pPr>
    </w:p>
    <w:p>
      <w:pPr>
        <w:spacing w:after="100" w:before="200"/>
      </w:pPr>
      <w:r>
        <w:rPr>
          <w:rFonts w:ascii="Arial" w:cs="Arial" w:eastAsia="Arial" w:hAnsi="Arial"/>
          <w:b/>
          <w:bCs/>
          <w:color w:val="1B3A6B"/>
          <w:sz w:val="26"/>
          <w:szCs w:val="26"/>
        </w:rPr>
        <w:t xml:space="preserve">Future Development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4680"/>
            <w:tcBorders>
              <w:top w:val="single" w:color="D1D5DB" w:sz="1"/>
              <w:left w:val="single" w:color="D1D5DB" w:sz="1"/>
              <w:bottom w:val="single" w:color="D1D5DB" w:sz="1"/>
              <w:right w:val="single" w:color="D1D5DB" w:sz="1"/>
            </w:tcBorders>
            <w:shd w:fill="1B3A6B"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Machine Learning Recommendations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Collaborative filtering or gradient boosting for personalized fund selection</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Churn Prediction Model</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Predict investor exits using transaction frequency and portfolio behavior signals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NAV API Integration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Live data feeds from AMFI or BSE for real-time analytics</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Portfolio Optimization Engine</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Markowitz Mean-Variance and Black-Litterman optimization models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Cloud Deployment</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AWS or Azure deployment with REST API access for third-party integration</w:t>
            </w:r>
          </w:p>
        </w:tc>
      </w:tr>
      <w:tr>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Multi-Asset Extension</w:t>
            </w:r>
          </w:p>
        </w:tc>
        <w:tc>
          <w:tcPr>
            <w:tcW w:type="dxa" w:w="4680"/>
            <w:tcBorders>
              <w:top w:val="single" w:color="D1D5DB" w:sz="1"/>
              <w:left w:val="single" w:color="D1D5DB" w:sz="1"/>
              <w:bottom w:val="single" w:color="D1D5DB" w:sz="1"/>
              <w:right w:val="single" w:color="D1D5DB"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Extend platform to cover ETFs, bonds, and international fund categories</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Natural Language Interface</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Conversational query interface for non-technical investors</w:t>
            </w:r>
          </w:p>
        </w:tc>
      </w:tr>
    </w:tbl>
    <w:p>
      <w:r>
        <w:br w:type="page"/>
      </w:r>
    </w:p>
    <w:p>
      <w:pPr>
        <w:pBdr>
          <w:bottom w:val="single" w:color="2563EB" w:sz="8" w:space="4"/>
        </w:pBdr>
        <w:spacing w:after="160" w:before="240"/>
      </w:pPr>
      <w:r>
        <w:rPr>
          <w:rFonts w:ascii="Arial" w:cs="Arial" w:eastAsia="Arial" w:hAnsi="Arial"/>
          <w:b/>
          <w:bCs/>
          <w:color w:val="1B3A6B"/>
          <w:sz w:val="36"/>
          <w:szCs w:val="36"/>
        </w:rPr>
        <w:t xml:space="preserve">CONCLUSION</w:t>
      </w:r>
    </w:p>
    <w:p>
      <w:pPr>
        <w:spacing w:after="60" w:before="60"/>
      </w:pPr>
      <w:r>
        <w:rPr>
          <w:rFonts w:ascii="Arial" w:cs="Arial" w:eastAsia="Arial" w:hAnsi="Arial"/>
          <w:b w:val="false"/>
          <w:bCs w:val="false"/>
          <w:color w:val="374151"/>
          <w:sz w:val="22"/>
          <w:szCs w:val="22"/>
        </w:rPr>
        <w:t xml:space="preserve">The Mutual Fund Analytics Platform successfully delivers on all objectives set out at project inception. Over the course of development, the platform has:</w:t>
      </w:r>
    </w:p>
    <w:p>
      <w:pPr>
        <w:spacing w:after="0" w:before="100"/>
      </w:pPr>
    </w:p>
    <w:p>
      <w:pPr>
        <w:pStyle w:val="ListParagraph"/>
        <w:numPr>
          <w:ilvl w:val="0"/>
          <w:numId w:val="2"/>
        </w:numPr>
        <w:spacing w:after="40" w:before="40"/>
      </w:pPr>
      <w:r>
        <w:rPr>
          <w:rFonts w:ascii="Arial" w:cs="Arial" w:eastAsia="Arial" w:hAnsi="Arial"/>
          <w:color w:val="374151"/>
          <w:sz w:val="22"/>
          <w:szCs w:val="22"/>
        </w:rPr>
        <w:t xml:space="preserve">Processed and cleaned six distinct datasets spanning fund metadata, NAV history, investor transactions, AUM, SIP inflows, and benchmark data.</w:t>
      </w:r>
    </w:p>
    <w:p>
      <w:pPr>
        <w:pStyle w:val="ListParagraph"/>
        <w:numPr>
          <w:ilvl w:val="0"/>
          <w:numId w:val="2"/>
        </w:numPr>
        <w:spacing w:after="40" w:before="40"/>
      </w:pPr>
      <w:r>
        <w:rPr>
          <w:rFonts w:ascii="Arial" w:cs="Arial" w:eastAsia="Arial" w:hAnsi="Arial"/>
          <w:color w:val="374151"/>
          <w:sz w:val="22"/>
          <w:szCs w:val="22"/>
        </w:rPr>
        <w:t xml:space="preserve">Computed eight quantitative performance and risk metrics — including CAGR, Sharpe Ratio, Sortino Ratio, Alpha, Beta, Maximum Drawdown, VaR, and CVaR — across all 40 fund schemes.</w:t>
      </w:r>
    </w:p>
    <w:p>
      <w:pPr>
        <w:pStyle w:val="ListParagraph"/>
        <w:numPr>
          <w:ilvl w:val="0"/>
          <w:numId w:val="2"/>
        </w:numPr>
        <w:spacing w:after="40" w:before="40"/>
      </w:pPr>
      <w:r>
        <w:rPr>
          <w:rFonts w:ascii="Arial" w:cs="Arial" w:eastAsia="Arial" w:hAnsi="Arial"/>
          <w:color w:val="374151"/>
          <w:sz w:val="22"/>
          <w:szCs w:val="22"/>
        </w:rPr>
        <w:t xml:space="preserve">Profiled investor behavior across 5,000+ investors and 32,000+ transactions, revealing age-based investment patterns, transaction type distributions, and cohort behavioral differences.</w:t>
      </w:r>
    </w:p>
    <w:p>
      <w:pPr>
        <w:pStyle w:val="ListParagraph"/>
        <w:numPr>
          <w:ilvl w:val="0"/>
          <w:numId w:val="2"/>
        </w:numPr>
        <w:spacing w:after="40" w:before="40"/>
      </w:pPr>
      <w:r>
        <w:rPr>
          <w:rFonts w:ascii="Arial" w:cs="Arial" w:eastAsia="Arial" w:hAnsi="Arial"/>
          <w:color w:val="374151"/>
          <w:sz w:val="22"/>
          <w:szCs w:val="22"/>
        </w:rPr>
        <w:t xml:space="preserve">Built a composite fund scoring framework that normalizes multiple dimensions of performance into a single, actionable ranking.</w:t>
      </w:r>
    </w:p>
    <w:p>
      <w:pPr>
        <w:pStyle w:val="ListParagraph"/>
        <w:numPr>
          <w:ilvl w:val="0"/>
          <w:numId w:val="2"/>
        </w:numPr>
        <w:spacing w:after="40" w:before="40"/>
      </w:pPr>
      <w:r>
        <w:rPr>
          <w:rFonts w:ascii="Arial" w:cs="Arial" w:eastAsia="Arial" w:hAnsi="Arial"/>
          <w:color w:val="374151"/>
          <w:sz w:val="22"/>
          <w:szCs w:val="22"/>
        </w:rPr>
        <w:t xml:space="preserve">Delivered four interactive Power BI dashboard pages covering Industry Overview, Fund Performance, Investor Analytics, and SIP Market Trends.</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8"/>
              <w:left w:val="single" w:color="2563EB" w:sz="8"/>
              <w:bottom w:val="single" w:color="2563EB" w:sz="8"/>
              <w:right w:val="single" w:color="2563EB" w:sz="8"/>
            </w:tcBorders>
            <w:shd w:fill="DBEAFE" w:val="clear"/>
            <w:tcMar>
              <w:top w:type="dxa" w:w="200"/>
              <w:left w:type="dxa" w:w="300"/>
              <w:bottom w:type="dxa" w:w="200"/>
              <w:right w:type="dxa" w:w="300"/>
            </w:tcMar>
          </w:tcPr>
          <w:p>
            <w:pPr>
              <w:jc w:val="center"/>
            </w:pPr>
            <w:r>
              <w:rPr>
                <w:rFonts w:ascii="Arial" w:cs="Arial" w:eastAsia="Arial" w:hAnsi="Arial"/>
                <w:color w:val="374151"/>
                <w:sz w:val="22"/>
                <w:szCs w:val="22"/>
              </w:rPr>
              <w:t xml:space="preserve">The project demonstrates that rigorous data engineering, combined with</w:t>
            </w:r>
          </w:p>
          <w:p>
            <w:pPr>
              <w:jc w:val="center"/>
            </w:pPr>
            <w:r>
              <w:rPr>
                <w:rFonts w:ascii="Arial" w:cs="Arial" w:eastAsia="Arial" w:hAnsi="Arial"/>
                <w:color w:val="374151"/>
                <w:sz w:val="22"/>
                <w:szCs w:val="22"/>
              </w:rPr>
              <w:t xml:space="preserve">quantitative analytics and intuitive visualization, can transform raw financial data</w:t>
            </w:r>
          </w:p>
          <w:p>
            <w:pPr>
              <w:jc w:val="center"/>
            </w:pPr>
            <w:r>
              <w:rPr>
                <w:rFonts w:ascii="Arial" w:cs="Arial" w:eastAsia="Arial" w:hAnsi="Arial"/>
                <w:color w:val="374151"/>
                <w:sz w:val="22"/>
                <w:szCs w:val="22"/>
              </w:rPr>
              <w:t xml:space="preserve">into investment-grade insights — bridging the gap between data science</w:t>
            </w:r>
          </w:p>
          <w:p>
            <w:pPr>
              <w:jc w:val="center"/>
            </w:pPr>
            <w:r>
              <w:rPr>
                <w:rFonts w:ascii="Arial" w:cs="Arial" w:eastAsia="Arial" w:hAnsi="Arial"/>
                <w:color w:val="374151"/>
                <w:sz w:val="22"/>
                <w:szCs w:val="22"/>
              </w:rPr>
              <w:t xml:space="preserve">and real-world financial decision-making.</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40</w:t>
            </w:r>
          </w:p>
          <w:p>
            <w:pPr>
              <w:jc w:val="center"/>
            </w:pPr>
            <w:r>
              <w:rPr>
                <w:rFonts w:ascii="Arial" w:cs="Arial" w:eastAsia="Arial" w:hAnsi="Arial"/>
                <w:color w:val="1B3A6B"/>
                <w:sz w:val="18"/>
                <w:szCs w:val="18"/>
              </w:rPr>
              <w:t xml:space="preserve">Funds Analyzed</w:t>
            </w:r>
          </w:p>
        </w:tc>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8+</w:t>
            </w:r>
          </w:p>
          <w:p>
            <w:pPr>
              <w:jc w:val="center"/>
            </w:pPr>
            <w:r>
              <w:rPr>
                <w:rFonts w:ascii="Arial" w:cs="Arial" w:eastAsia="Arial" w:hAnsi="Arial"/>
                <w:color w:val="1B3A6B"/>
                <w:sz w:val="18"/>
                <w:szCs w:val="18"/>
              </w:rPr>
              <w:t xml:space="preserve">Risk Metrics</w:t>
            </w:r>
          </w:p>
        </w:tc>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4</w:t>
            </w:r>
          </w:p>
          <w:p>
            <w:pPr>
              <w:jc w:val="center"/>
            </w:pPr>
            <w:r>
              <w:rPr>
                <w:rFonts w:ascii="Arial" w:cs="Arial" w:eastAsia="Arial" w:hAnsi="Arial"/>
                <w:color w:val="1B3A6B"/>
                <w:sz w:val="18"/>
                <w:szCs w:val="18"/>
              </w:rPr>
              <w:t xml:space="preserve">Dashboard Pages</w:t>
            </w:r>
          </w:p>
        </w:tc>
        <w:tc>
          <w:tcPr>
            <w:tcW w:type="dxa" w:w="2340"/>
            <w:tcBorders>
              <w:top w:val="single" w:color="D1D5DB" w:sz="1"/>
              <w:left w:val="single" w:color="D1D5DB" w:sz="1"/>
              <w:bottom w:val="single" w:color="D1D5DB" w:sz="1"/>
              <w:right w:val="single" w:color="D1D5DB" w:sz="1"/>
            </w:tcBorders>
            <w:shd w:fill="DBEAFE" w:val="clear"/>
            <w:tcMar>
              <w:top w:type="dxa" w:w="160"/>
              <w:left w:type="dxa" w:w="200"/>
              <w:bottom w:type="dxa" w:w="160"/>
              <w:right w:type="dxa" w:w="200"/>
            </w:tcMar>
            <w:vAlign w:val="center"/>
          </w:tcPr>
          <w:p>
            <w:pPr>
              <w:jc w:val="center"/>
            </w:pPr>
            <w:r>
              <w:rPr>
                <w:rFonts w:ascii="Arial" w:cs="Arial" w:eastAsia="Arial" w:hAnsi="Arial"/>
                <w:b/>
                <w:bCs/>
                <w:color w:val="2563EB"/>
                <w:sz w:val="40"/>
                <w:szCs w:val="40"/>
              </w:rPr>
              <w:t xml:space="preserve">15</w:t>
            </w:r>
          </w:p>
          <w:p>
            <w:pPr>
              <w:jc w:val="center"/>
            </w:pPr>
            <w:r>
              <w:rPr>
                <w:rFonts w:ascii="Arial" w:cs="Arial" w:eastAsia="Arial" w:hAnsi="Arial"/>
                <w:color w:val="1B3A6B"/>
                <w:sz w:val="18"/>
                <w:szCs w:val="18"/>
              </w:rPr>
              <w:t xml:space="preserve">Report Sections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tabs>
        <w:tab w:val="right" w:pos="9026"/>
      </w:tabs>
      <w:spacing w:before="80"/>
    </w:pPr>
    <w:r>
      <w:rPr>
        <w:rFonts w:ascii="Arial" w:cs="Arial" w:eastAsia="Arial" w:hAnsi="Arial"/>
        <w:color w:val="888888"/>
        <w:sz w:val="16"/>
        <w:szCs w:val="16"/>
      </w:rPr>
      <w:t xml:space="preserve">	Confidential — Bluestock Fintech Capstone  |  aryankunal112233@gmail.com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spacing w:after="80"/>
    </w:pPr>
    <w:r>
      <w:rPr>
        <w:rFonts w:ascii="Arial" w:cs="Arial" w:eastAsia="Arial" w:hAnsi="Arial"/>
        <w:b/>
        <w:bCs/>
        <w:color w:val="1B3A6B"/>
        <w:sz w:val="18"/>
        <w:szCs w:val="18"/>
      </w:rPr>
      <w:t xml:space="preserve">MUTUAL FUND ANALYTICS PLATFORM</w:t>
    </w:r>
    <w:r>
      <w:rPr>
        <w:rFonts w:ascii="Arial" w:cs="Arial" w:eastAsia="Arial" w:hAnsi="Arial"/>
        <w:color w:val="888888"/>
        <w:sz w:val="18"/>
        <w:szCs w:val="18"/>
      </w:rPr>
      <w:t xml:space="preserve">  |  Bluestock Fintech Capstone Project  |  Aryan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f2138c8bc9eb5e9e78c5afddc193ee39ebe6e54.png"/><Relationship Id="rId10" Type="http://schemas.openxmlformats.org/officeDocument/2006/relationships/image" Target="media/42322759dd1bdff02f2bcd5461a6db17c4981129.png"/><Relationship Id="rId11" Type="http://schemas.openxmlformats.org/officeDocument/2006/relationships/image" Target="media/4b4e3b1716dae148695c8089b87340b0871b1a3a.png"/><Relationship Id="rId12" Type="http://schemas.openxmlformats.org/officeDocument/2006/relationships/image" Target="media/b56cb90e8dfcca41b61ecb264be45fad1cbda6b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2026-06-10T06:20:41.262Z</dcterms:created>
  <dcterms:modified xsi:type="dcterms:W3CDTF">2026-06-10T06:20:41.262Z</dcterms:modified>
</cp:coreProperties>
</file>

<file path=docProps/custom.xml><?xml version="1.0" encoding="utf-8"?>
<Properties xmlns="http://schemas.openxmlformats.org/officeDocument/2006/custom-properties" xmlns:vt="http://schemas.openxmlformats.org/officeDocument/2006/docPropsVTypes"/>
</file>