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Calibri" w:cs="Calibri" w:eastAsia="Calibri" w:hAnsi="Calibri"/>
          <w:b/>
          <w:bCs/>
          <w:color w:val="1F2A44"/>
          <w:sz w:val="72"/>
          <w:szCs w:val="72"/>
        </w:rPr>
        <w:t xml:space="preserve">TOKENTO</w:t>
      </w:r>
    </w:p>
    <w:p>
      <w:pPr>
        <w:spacing w:after="240" w:before="0"/>
        <w:jc w:val="left"/>
      </w:pPr>
      <w:r>
        <w:rPr>
          <w:rFonts w:ascii="Calibri" w:cs="Calibri" w:eastAsia="Calibri" w:hAnsi="Calibri"/>
          <w:i/>
          <w:iCs/>
          <w:color w:val="6B7280"/>
          <w:sz w:val="28"/>
          <w:szCs w:val="28"/>
        </w:rPr>
        <w:t xml:space="preserve">The loyalty layer for AI shopping agents</w:t>
      </w:r>
    </w:p>
    <w:p>
      <w:pPr>
        <w:spacing w:after="40" w:before="0"/>
      </w:pPr>
      <w:r>
        <w:rPr>
          <w:rFonts w:ascii="Calibri" w:cs="Calibri" w:eastAsia="Calibri" w:hAnsi="Calibri"/>
          <w:b/>
          <w:bCs/>
          <w:color w:val="1F2A44"/>
          <w:sz w:val="24"/>
          <w:szCs w:val="24"/>
        </w:rPr>
        <w:t xml:space="preserve">Strategic Product Specification and Operating Plan</w:t>
      </w:r>
    </w:p>
    <w:p>
      <w:pPr>
        <w:spacing w:after="40" w:before="0"/>
      </w:pPr>
      <w:r>
        <w:rPr>
          <w:rFonts w:ascii="Calibri" w:cs="Calibri" w:eastAsia="Calibri" w:hAnsi="Calibri"/>
          <w:color w:val="6B7280"/>
          <w:sz w:val="20"/>
          <w:szCs w:val="20"/>
        </w:rPr>
        <w:t xml:space="preserve">Version 2.0  |  Confidential  |  Internal Use Only</w:t>
      </w:r>
    </w:p>
    <w:p>
      <w:pPr>
        <w:spacing w:after="360" w:before="0"/>
      </w:pPr>
      <w:r>
        <w:rPr>
          <w:rFonts w:ascii="Calibri" w:cs="Calibri" w:eastAsia="Calibri" w:hAnsi="Calibri"/>
          <w:i/>
          <w:iCs/>
          <w:color w:val="6B7280"/>
          <w:sz w:val="20"/>
          <w:szCs w:val="20"/>
        </w:rPr>
        <w:t xml:space="preserve">Prepared for founding team and prospective design partners</w:t>
      </w:r>
    </w:p>
    <w:p>
      <w:pPr>
        <w:pBdr>
          <w:bottom w:val="single" w:color="2E75B6" w:sz="6" w:space="1"/>
        </w:pBdr>
        <w:spacing w:after="120" w:before="120"/>
      </w:pPr>
      <w:r>
        <w:t xml:space="preserve"/>
      </w:r>
    </w:p>
    <w:p>
      <w:pPr>
        <w:pStyle w:val="Heading1"/>
        <w:spacing w:after="160" w:before="360"/>
      </w:pPr>
      <w:r>
        <w:rPr>
          <w:rFonts w:ascii="Calibri" w:cs="Calibri" w:eastAsia="Calibri" w:hAnsi="Calibri"/>
          <w:b/>
          <w:bCs/>
          <w:color w:val="1F2A44"/>
          <w:sz w:val="36"/>
          <w:szCs w:val="36"/>
        </w:rPr>
        <w:t xml:space="preserve">I. Executive Summary</w:t>
      </w:r>
    </w:p>
    <w:p>
      <w:pPr>
        <w:spacing w:after="80" w:before="80" w:line="300"/>
        <w:jc w:val="left"/>
      </w:pPr>
      <w:r>
        <w:rPr>
          <w:rFonts w:ascii="Calibri" w:cs="Calibri" w:eastAsia="Calibri" w:hAnsi="Calibri"/>
          <w:sz w:val="22"/>
          <w:szCs w:val="22"/>
        </w:rPr>
        <w:t xml:space="preserve">Tokento is the value-encoding layer for the agent commerce economy. When AI agents transact on behalf of users, merchant loyalty programs become functionally invisible. Tokento closes that gap by giving every merchant a single API to issue structured value tokens that any AI agent can discover, validate, and redeem at checkout. The result is the first loyalty infrastructure designed natively for machine-mediated commerce.</w:t>
      </w:r>
    </w:p>
    <w:p>
      <w:pPr>
        <w:spacing w:after="80" w:before="80" w:line="300"/>
        <w:jc w:val="left"/>
      </w:pPr>
      <w:r>
        <w:rPr>
          <w:rFonts w:ascii="Calibri" w:cs="Calibri" w:eastAsia="Calibri" w:hAnsi="Calibri"/>
          <w:sz w:val="22"/>
          <w:szCs w:val="22"/>
        </w:rPr>
        <w:t xml:space="preserve">The product is API-first, protocol-agnostic, and built on a four-layer architecture: merchant token issuance, a platform-managed customer wallet, a canonical Token Query Interface, and thin adapters for each major agent protocol (MCP, x402, AP2). The architectural bet is that protocols will churn but the value abstraction will not.</w:t>
      </w:r>
    </w:p>
    <w:p>
      <w:pPr>
        <w:shd w:fill="EAF1F8" w:val="clear"/>
        <w:spacing w:after="120" w:before="120" w:line="300"/>
        <w:ind w:left="200" w:right="200"/>
      </w:pPr>
      <w:r>
        <w:rPr>
          <w:rFonts w:ascii="Calibri" w:cs="Calibri" w:eastAsia="Calibri" w:hAnsi="Calibri"/>
          <w:b/>
          <w:bCs/>
          <w:color w:val="1F2A44"/>
          <w:sz w:val="22"/>
          <w:szCs w:val="22"/>
        </w:rPr>
        <w:t xml:space="preserve">Strategic posture.  </w:t>
      </w:r>
      <w:r>
        <w:rPr>
          <w:rFonts w:ascii="Calibri" w:cs="Calibri" w:eastAsia="Calibri" w:hAnsi="Calibri"/>
          <w:sz w:val="22"/>
          <w:szCs w:val="22"/>
        </w:rPr>
        <w:t xml:space="preserve">Tokento is infrastructure, not a loyalty application. Defensibility accrues through cross-merchant wallet density per customer, not through any individual API endpoint. Every product decision is evaluated against a single question: does this increase the average number of merchants per active wallet?</w:t>
      </w:r>
    </w:p>
    <w:p>
      <w:pPr>
        <w:pStyle w:val="Heading3"/>
        <w:spacing w:after="100" w:before="200"/>
      </w:pPr>
      <w:r>
        <w:rPr>
          <w:rFonts w:ascii="Calibri" w:cs="Calibri" w:eastAsia="Calibri" w:hAnsi="Calibri"/>
          <w:b/>
          <w:bCs/>
          <w:color w:val="1F2A44"/>
          <w:sz w:val="24"/>
          <w:szCs w:val="24"/>
        </w:rPr>
        <w:t xml:space="preserve">One-page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Dimension</w:t>
            </w:r>
          </w:p>
        </w:tc>
        <w:tc>
          <w:tcPr>
            <w:tcW w:type="dxa" w:w="696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Position</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Company</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Tokento</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Product type</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B2B infrastructure: token issuance API + customer wallet + agent interoperability layer</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Primary customer</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Mid-market merchants with existing loyalty programs and emerging agent traffic</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Core technology</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Token issuance engine, platform-managed wallet, Token Query Interface (TQI)</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Agent compatibility</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Protocol-agnostic adapter pattern: MCP (Day 1), x402 (Day 1 or Phase 2 depending on PayPal angle), AP2 (Phase 3)</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Revenue model</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Free SaaS + 25 bps interchange for first 50 merchants; tiered pricing introduced post-validation</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MVP scope</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Loyalty token type only, MCP adapter only, one design partner live in production</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MVP timeline</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8 to 10 weeks to production with one design partner (2 weeks to internal prototype)</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Strategic moat</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Cross-merchant wallet density; every additional merchant compounds customer switching cost</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Single biggest risk</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Agentic commerce transaction volume does not materialize on the expected curve</w:t>
            </w:r>
          </w:p>
        </w:tc>
      </w:tr>
    </w:tbl>
    <w:p>
      <w:pPr>
        <w:spacing w:after="80" w:before="80" w:line="300"/>
        <w:jc w:val="left"/>
      </w:pPr>
      <w:r>
        <w:rPr>
          <w:rFonts w:ascii="Calibri" w:cs="Calibri" w:eastAsia="Calibri" w:hAnsi="Calibri"/>
          <w:sz w:val="22"/>
          <w:szCs w:val="22"/>
        </w:rPr>
        <w:t xml:space="preserve"/>
      </w:r>
    </w:p>
    <w:p>
      <w:pPr>
        <w:pStyle w:val="Heading1"/>
        <w:spacing w:after="160" w:before="360"/>
      </w:pPr>
      <w:r>
        <w:rPr>
          <w:rFonts w:ascii="Calibri" w:cs="Calibri" w:eastAsia="Calibri" w:hAnsi="Calibri"/>
          <w:b/>
          <w:bCs/>
          <w:color w:val="1F2A44"/>
          <w:sz w:val="36"/>
          <w:szCs w:val="36"/>
        </w:rPr>
        <w:t xml:space="preserve">II. Strategic Thesis</w:t>
      </w:r>
    </w:p>
    <w:p>
      <w:pPr>
        <w:pStyle w:val="Heading2"/>
        <w:spacing w:after="120" w:before="280"/>
      </w:pPr>
      <w:r>
        <w:rPr>
          <w:rFonts w:ascii="Calibri" w:cs="Calibri" w:eastAsia="Calibri" w:hAnsi="Calibri"/>
          <w:b/>
          <w:bCs/>
          <w:color w:val="1F2A44"/>
          <w:sz w:val="28"/>
          <w:szCs w:val="28"/>
        </w:rPr>
        <w:t xml:space="preserve">2.1 The thesis in one sentence</w:t>
      </w:r>
    </w:p>
    <w:p>
      <w:pPr>
        <w:spacing w:after="80" w:before="80" w:line="300"/>
        <w:jc w:val="left"/>
      </w:pPr>
      <w:r>
        <w:rPr>
          <w:rFonts w:ascii="Calibri" w:cs="Calibri" w:eastAsia="Calibri" w:hAnsi="Calibri"/>
          <w:sz w:val="22"/>
          <w:szCs w:val="22"/>
        </w:rPr>
        <w:t xml:space="preserve">Agentic commerce will rewire the consumer transaction stack, and the merchant-side value layer (loyalty, discounts, credits, trials) has no infrastructure designed for machine-mediated execution. Tokento builds that infrastructure before incumbents reach for it as a feature.</w:t>
      </w:r>
    </w:p>
    <w:p>
      <w:pPr>
        <w:pStyle w:val="Heading2"/>
        <w:spacing w:after="120" w:before="280"/>
      </w:pPr>
      <w:r>
        <w:rPr>
          <w:rFonts w:ascii="Calibri" w:cs="Calibri" w:eastAsia="Calibri" w:hAnsi="Calibri"/>
          <w:b/>
          <w:bCs/>
          <w:color w:val="1F2A44"/>
          <w:sz w:val="28"/>
          <w:szCs w:val="28"/>
        </w:rPr>
        <w:t xml:space="preserve">2.2 Why this is a real market, not a fashionable one</w:t>
      </w:r>
    </w:p>
    <w:p>
      <w:pPr>
        <w:spacing w:after="80" w:before="80" w:line="300"/>
        <w:jc w:val="left"/>
      </w:pPr>
      <w:r>
        <w:rPr>
          <w:rFonts w:ascii="Calibri" w:cs="Calibri" w:eastAsia="Calibri" w:hAnsi="Calibri"/>
          <w:sz w:val="22"/>
          <w:szCs w:val="22"/>
        </w:rPr>
        <w:t xml:space="preserve">Three signals must be true for this thesis to hold. Each is testable, and each is currently trending in the right direction.</w:t>
      </w:r>
    </w:p>
    <w:p>
      <w:pPr>
        <w:pStyle w:val="ListParagraph"/>
        <w:numPr>
          <w:ilvl w:val="0"/>
          <w:numId w:val="2"/>
        </w:numPr>
        <w:spacing w:after="60" w:before="60" w:line="300"/>
      </w:pPr>
      <w:r>
        <w:rPr>
          <w:rFonts w:ascii="Calibri" w:cs="Calibri" w:eastAsia="Calibri" w:hAnsi="Calibri"/>
          <w:b/>
          <w:bCs/>
          <w:sz w:val="22"/>
          <w:szCs w:val="22"/>
        </w:rPr>
        <w:t xml:space="preserve">Signal 1. </w:t>
      </w:r>
      <w:r>
        <w:rPr>
          <w:rFonts w:ascii="Calibri" w:cs="Calibri" w:eastAsia="Calibri" w:hAnsi="Calibri"/>
          <w:sz w:val="22"/>
          <w:szCs w:val="22"/>
        </w:rPr>
        <w:t xml:space="preserve">Agent platforms ship real transaction volume. Anthropic MCP adoption, OpenAI Agentic Commerce Protocol, and PayPal agent-mediated checkout pilots all show non-trivial month-over-month growth from a low base.</w:t>
      </w:r>
    </w:p>
    <w:p>
      <w:pPr>
        <w:pStyle w:val="ListParagraph"/>
        <w:numPr>
          <w:ilvl w:val="0"/>
          <w:numId w:val="2"/>
        </w:numPr>
        <w:spacing w:after="60" w:before="60" w:line="300"/>
      </w:pPr>
      <w:r>
        <w:rPr>
          <w:rFonts w:ascii="Calibri" w:cs="Calibri" w:eastAsia="Calibri" w:hAnsi="Calibri"/>
          <w:b/>
          <w:bCs/>
          <w:sz w:val="22"/>
          <w:szCs w:val="22"/>
        </w:rPr>
        <w:t xml:space="preserve">Signal 2. </w:t>
      </w:r>
      <w:r>
        <w:rPr>
          <w:rFonts w:ascii="Calibri" w:cs="Calibri" w:eastAsia="Calibri" w:hAnsi="Calibri"/>
          <w:sz w:val="22"/>
          <w:szCs w:val="22"/>
        </w:rPr>
        <w:t xml:space="preserve">Merchants notice loyalty invisibility. Early merchant interviews from large platforms confirm that loyalty mechanics break the moment a third-party agent enters the checkout flow.</w:t>
      </w:r>
    </w:p>
    <w:p>
      <w:pPr>
        <w:pStyle w:val="ListParagraph"/>
        <w:numPr>
          <w:ilvl w:val="0"/>
          <w:numId w:val="2"/>
        </w:numPr>
        <w:spacing w:after="60" w:before="60" w:line="300"/>
      </w:pPr>
      <w:r>
        <w:rPr>
          <w:rFonts w:ascii="Calibri" w:cs="Calibri" w:eastAsia="Calibri" w:hAnsi="Calibri"/>
          <w:b/>
          <w:bCs/>
          <w:sz w:val="22"/>
          <w:szCs w:val="22"/>
        </w:rPr>
        <w:t xml:space="preserve">Signal 3. </w:t>
      </w:r>
      <w:r>
        <w:rPr>
          <w:rFonts w:ascii="Calibri" w:cs="Calibri" w:eastAsia="Calibri" w:hAnsi="Calibri"/>
          <w:sz w:val="22"/>
          <w:szCs w:val="22"/>
        </w:rPr>
        <w:t xml:space="preserve">No incumbent has shipped the solution. Talon.One, Yotpo, LoyaltyLion, Annex Cloud, and Antavo all remain UI-first and human-redemption-first. Shopify supports MCP at the storefront level but not at the loyalty layer.</w:t>
      </w:r>
    </w:p>
    <w:p>
      <w:pPr>
        <w:pStyle w:val="Heading2"/>
        <w:spacing w:after="120" w:before="280"/>
      </w:pPr>
      <w:r>
        <w:rPr>
          <w:rFonts w:ascii="Calibri" w:cs="Calibri" w:eastAsia="Calibri" w:hAnsi="Calibri"/>
          <w:b/>
          <w:bCs/>
          <w:color w:val="1F2A44"/>
          <w:sz w:val="28"/>
          <w:szCs w:val="28"/>
        </w:rPr>
        <w:t xml:space="preserve">2.3 Why now, not in 2028</w:t>
      </w:r>
    </w:p>
    <w:p>
      <w:pPr>
        <w:spacing w:after="80" w:before="80" w:line="300"/>
        <w:jc w:val="left"/>
      </w:pPr>
      <w:r>
        <w:rPr>
          <w:rFonts w:ascii="Calibri" w:cs="Calibri" w:eastAsia="Calibri" w:hAnsi="Calibri"/>
          <w:sz w:val="22"/>
          <w:szCs w:val="22"/>
        </w:rPr>
        <w:t xml:space="preserve">There is a narrow window, roughly 18 to 30 months, during which (a) merchants are starting to feel the pain but (b) incumbents have not yet shipped a solution. Entering after the window closes means competing against Shopify Loyalty for Agents or Stripe Rewards as a feature. Entering before the window opens means selling infrastructure to a market with no transaction volume. The window is now.</w:t>
      </w:r>
    </w:p>
    <w:p>
      <w:pPr>
        <w:pStyle w:val="Heading2"/>
        <w:spacing w:after="120" w:before="280"/>
      </w:pPr>
      <w:r>
        <w:rPr>
          <w:rFonts w:ascii="Calibri" w:cs="Calibri" w:eastAsia="Calibri" w:hAnsi="Calibri"/>
          <w:b/>
          <w:bCs/>
          <w:color w:val="1F2A44"/>
          <w:sz w:val="28"/>
          <w:szCs w:val="28"/>
        </w:rPr>
        <w:t xml:space="preserve">2.4 Why we are credible to build this</w:t>
      </w:r>
    </w:p>
    <w:p>
      <w:pPr>
        <w:pStyle w:val="ListParagraph"/>
        <w:numPr>
          <w:ilvl w:val="0"/>
          <w:numId w:val="2"/>
        </w:numPr>
        <w:spacing w:after="60" w:before="60" w:line="300"/>
      </w:pPr>
      <w:r>
        <w:rPr>
          <w:rFonts w:ascii="Calibri" w:cs="Calibri" w:eastAsia="Calibri" w:hAnsi="Calibri"/>
          <w:sz w:val="22"/>
          <w:szCs w:val="22"/>
        </w:rPr>
        <w:t xml:space="preserve">Founding-team operator depth in MCP and agentic product surfaces (CribLiv production work, WebMCP early access).</w:t>
      </w:r>
    </w:p>
    <w:p>
      <w:pPr>
        <w:pStyle w:val="ListParagraph"/>
        <w:numPr>
          <w:ilvl w:val="0"/>
          <w:numId w:val="2"/>
        </w:numPr>
        <w:spacing w:after="60" w:before="60" w:line="300"/>
      </w:pPr>
      <w:r>
        <w:rPr>
          <w:rFonts w:ascii="Calibri" w:cs="Calibri" w:eastAsia="Calibri" w:hAnsi="Calibri"/>
          <w:sz w:val="22"/>
          <w:szCs w:val="22"/>
        </w:rPr>
        <w:t xml:space="preserve">Direct line of sight into PayPal agentic commerce strategy through founding-team relationships, providing early signal on merchant pain, protocol traction, and potential distribution channels.</w:t>
      </w:r>
    </w:p>
    <w:p>
      <w:pPr>
        <w:pStyle w:val="ListParagraph"/>
        <w:numPr>
          <w:ilvl w:val="0"/>
          <w:numId w:val="2"/>
        </w:numPr>
        <w:spacing w:after="60" w:before="60" w:line="300"/>
      </w:pPr>
      <w:r>
        <w:rPr>
          <w:rFonts w:ascii="Calibri" w:cs="Calibri" w:eastAsia="Calibri" w:hAnsi="Calibri"/>
          <w:sz w:val="22"/>
          <w:szCs w:val="22"/>
        </w:rPr>
        <w:t xml:space="preserve">Architectural posture (adapter pattern, protocol-agnostic) that incumbents would have to redesign their products to match.</w:t>
      </w:r>
    </w:p>
    <w:p>
      <w:pPr>
        <w:shd w:fill="EAF1F8" w:val="clear"/>
        <w:spacing w:after="120" w:before="120" w:line="300"/>
        <w:ind w:left="200" w:right="200"/>
      </w:pPr>
      <w:r>
        <w:rPr>
          <w:rFonts w:ascii="Calibri" w:cs="Calibri" w:eastAsia="Calibri" w:hAnsi="Calibri"/>
          <w:b/>
          <w:bCs/>
          <w:color w:val="1F2A44"/>
          <w:sz w:val="22"/>
          <w:szCs w:val="22"/>
        </w:rPr>
        <w:t xml:space="preserve">Honest caveat.  </w:t>
      </w:r>
      <w:r>
        <w:rPr>
          <w:rFonts w:ascii="Calibri" w:cs="Calibri" w:eastAsia="Calibri" w:hAnsi="Calibri"/>
          <w:sz w:val="22"/>
          <w:szCs w:val="22"/>
        </w:rPr>
        <w:t xml:space="preserve">Credibility on paper does not equal validated demand. Section XV (First 90 Days) defines the validation gates that determine whether this thesis is real before further capital or time commitment.</w:t>
      </w:r>
    </w:p>
    <w:p>
      <w:pPr>
        <w:pStyle w:val="Heading1"/>
        <w:spacing w:after="160" w:before="360"/>
      </w:pPr>
      <w:r>
        <w:rPr>
          <w:rFonts w:ascii="Calibri" w:cs="Calibri" w:eastAsia="Calibri" w:hAnsi="Calibri"/>
          <w:b/>
          <w:bCs/>
          <w:color w:val="1F2A44"/>
          <w:sz w:val="36"/>
          <w:szCs w:val="36"/>
        </w:rPr>
        <w:t xml:space="preserve">III. The Problem</w:t>
      </w:r>
    </w:p>
    <w:p>
      <w:pPr>
        <w:pStyle w:val="Heading2"/>
        <w:spacing w:after="120" w:before="280"/>
      </w:pPr>
      <w:r>
        <w:rPr>
          <w:rFonts w:ascii="Calibri" w:cs="Calibri" w:eastAsia="Calibri" w:hAnsi="Calibri"/>
          <w:b/>
          <w:bCs/>
          <w:color w:val="1F2A44"/>
          <w:sz w:val="28"/>
          <w:szCs w:val="28"/>
        </w:rPr>
        <w:t xml:space="preserve">3.1 Loyalty infrastructure was built for humans</w:t>
      </w:r>
    </w:p>
    <w:p>
      <w:pPr>
        <w:spacing w:after="80" w:before="80" w:line="300"/>
        <w:jc w:val="left"/>
      </w:pPr>
      <w:r>
        <w:rPr>
          <w:rFonts w:ascii="Calibri" w:cs="Calibri" w:eastAsia="Calibri" w:hAnsi="Calibri"/>
          <w:sz w:val="22"/>
          <w:szCs w:val="22"/>
        </w:rPr>
        <w:t xml:space="preserve">Every component of today's loyalty stack assumes a human actor in the loop. Redemption portals require login. Punch cards require physical presence. Points balances require the customer to remember, check, and choose. The entire model is predicated on conscious human-initiated action at the moment of purchase.</w:t>
      </w:r>
    </w:p>
    <w:p>
      <w:pPr>
        <w:spacing w:after="80" w:before="80" w:line="300"/>
        <w:jc w:val="left"/>
      </w:pPr>
      <w:r>
        <w:rPr>
          <w:rFonts w:ascii="Calibri" w:cs="Calibri" w:eastAsia="Calibri" w:hAnsi="Calibri"/>
          <w:sz w:val="22"/>
          <w:szCs w:val="22"/>
        </w:rPr>
        <w:t xml:space="preserve">That model is structurally incompatible with agentic commerce. AI agents acting as purchasing proxies have no surface area to interact with loyalty portals, no mechanism to retrieve a customer's fragmented points balances, and no protocol for presenting loyalty credentials at checkout. Merchant incentives become functionally invisible the moment an agent enters the transaction.</w:t>
      </w:r>
    </w:p>
    <w:p>
      <w:pPr>
        <w:pStyle w:val="Heading2"/>
        <w:spacing w:after="120" w:before="280"/>
      </w:pPr>
      <w:r>
        <w:rPr>
          <w:rFonts w:ascii="Calibri" w:cs="Calibri" w:eastAsia="Calibri" w:hAnsi="Calibri"/>
          <w:b/>
          <w:bCs/>
          <w:color w:val="1F2A44"/>
          <w:sz w:val="28"/>
          <w:szCs w:val="28"/>
        </w:rPr>
        <w:t xml:space="preserve">3.2 The agentic commerce transition is accelerating</w:t>
      </w:r>
    </w:p>
    <w:p>
      <w:pPr>
        <w:spacing w:after="80" w:before="80" w:line="300"/>
        <w:jc w:val="left"/>
      </w:pPr>
      <w:r>
        <w:rPr>
          <w:rFonts w:ascii="Calibri" w:cs="Calibri" w:eastAsia="Calibri" w:hAnsi="Calibri"/>
          <w:sz w:val="22"/>
          <w:szCs w:val="22"/>
        </w:rPr>
        <w:t xml:space="preserve">OpenAI's Agentic Commerce Protocol, Anthropic's MCP ecosystem, PayPal's agent SDK and partnerships, and payment primitives like x402 are collectively moving commerce toward machine-to-machine transaction execution. Payments (Stripe, PayPal), identity (Okta), and bank connectivity (Plaid) already have agent-aware primitives. The value layer, the place where merchant incentives are encoded and delivered, does not. That gap is Tokento's market.</w:t>
      </w:r>
    </w:p>
    <w:p>
      <w:pPr>
        <w:pStyle w:val="Heading2"/>
        <w:spacing w:after="120" w:before="280"/>
      </w:pPr>
      <w:r>
        <w:rPr>
          <w:rFonts w:ascii="Calibri" w:cs="Calibri" w:eastAsia="Calibri" w:hAnsi="Calibri"/>
          <w:b/>
          <w:bCs/>
          <w:color w:val="1F2A44"/>
          <w:sz w:val="28"/>
          <w:szCs w:val="28"/>
        </w:rPr>
        <w:t xml:space="preserve">3.3 The loyalty market is large but the relevant TAM is bottom-up</w:t>
      </w:r>
    </w:p>
    <w:p>
      <w:pPr>
        <w:spacing w:after="80" w:before="80" w:line="300"/>
        <w:jc w:val="left"/>
      </w:pPr>
      <w:r>
        <w:rPr>
          <w:rFonts w:ascii="Calibri" w:cs="Calibri" w:eastAsia="Calibri" w:hAnsi="Calibri"/>
          <w:sz w:val="22"/>
          <w:szCs w:val="22"/>
        </w:rPr>
        <w:t xml:space="preserve">The global customer loyalty market represents over five trillion dollars in issued value annually. That number is technically correct and strategically useless. The defensible TAM is bottom-up: if five percent of US e-commerce volume becomes agent-mediated by 2028, and Tokento captures 20 basis points on 30 percent of that volume, the addressable revenue pool is on the order of low hundreds of millions annually. That is the number to plan against.</w:t>
      </w:r>
    </w:p>
    <w:p>
      <w:pPr>
        <w:pStyle w:val="Heading2"/>
        <w:spacing w:after="120" w:before="280"/>
      </w:pPr>
      <w:r>
        <w:rPr>
          <w:rFonts w:ascii="Calibri" w:cs="Calibri" w:eastAsia="Calibri" w:hAnsi="Calibri"/>
          <w:b/>
          <w:bCs/>
          <w:color w:val="1F2A44"/>
          <w:sz w:val="28"/>
          <w:szCs w:val="28"/>
        </w:rPr>
        <w:t xml:space="preserve">3.4 Fragmentation compounds the gap</w:t>
      </w:r>
    </w:p>
    <w:p>
      <w:pPr>
        <w:spacing w:after="80" w:before="80" w:line="300"/>
        <w:jc w:val="left"/>
      </w:pPr>
      <w:r>
        <w:rPr>
          <w:rFonts w:ascii="Calibri" w:cs="Calibri" w:eastAsia="Calibri" w:hAnsi="Calibri"/>
          <w:sz w:val="22"/>
          <w:szCs w:val="22"/>
        </w:rPr>
        <w:t xml:space="preserve">A customer's loyalty value is distributed across dozens of merchant-siloed programs with incompatible formats and no shared addressing scheme. An AI agent optimizing a purchase has no practical mechanism to discover, aggregate, or apply that value. Tokento solves fragmentation at the issuance layer: by being the system of record through which merchants mint tokens, Tokento becomes the natural aggregation point. A single wallet any authorized agent can query.</w:t>
      </w:r>
    </w:p>
    <w:p>
      <w:pPr>
        <w:pStyle w:val="Heading1"/>
        <w:spacing w:after="160" w:before="360"/>
      </w:pPr>
      <w:r>
        <w:rPr>
          <w:rFonts w:ascii="Calibri" w:cs="Calibri" w:eastAsia="Calibri" w:hAnsi="Calibri"/>
          <w:b/>
          <w:bCs/>
          <w:color w:val="1F2A44"/>
          <w:sz w:val="36"/>
          <w:szCs w:val="36"/>
        </w:rPr>
        <w:t xml:space="preserve">IV. Vision and Positioning</w:t>
      </w:r>
    </w:p>
    <w:p>
      <w:pPr>
        <w:pStyle w:val="Heading2"/>
        <w:spacing w:after="120" w:before="280"/>
      </w:pPr>
      <w:r>
        <w:rPr>
          <w:rFonts w:ascii="Calibri" w:cs="Calibri" w:eastAsia="Calibri" w:hAnsi="Calibri"/>
          <w:b/>
          <w:bCs/>
          <w:color w:val="1F2A44"/>
          <w:sz w:val="28"/>
          <w:szCs w:val="28"/>
        </w:rPr>
        <w:t xml:space="preserve">4.1 The vision statement</w:t>
      </w:r>
    </w:p>
    <w:p>
      <w:pPr>
        <w:spacing w:after="80" w:before="80" w:line="300"/>
        <w:jc w:val="left"/>
      </w:pPr>
      <w:r>
        <w:rPr>
          <w:rFonts w:ascii="Calibri" w:cs="Calibri" w:eastAsia="Calibri" w:hAnsi="Calibri"/>
          <w:sz w:val="22"/>
          <w:szCs w:val="22"/>
        </w:rPr>
        <w:t xml:space="preserve">Loyalty programs were built for a world where humans shop. In the emerging agentic economy, AI agents act as purchasing proxies and cannot interact with the redemption surfaces that loyalty programs depend on. Existing loyalty infrastructure becomes functionally invisible the moment an agent enters the transaction.</w:t>
      </w:r>
    </w:p>
    <w:p>
      <w:pPr>
        <w:spacing w:after="80" w:before="80" w:line="300"/>
        <w:jc w:val="left"/>
      </w:pPr>
      <w:r>
        <w:rPr>
          <w:rFonts w:ascii="Calibri" w:cs="Calibri" w:eastAsia="Calibri" w:hAnsi="Calibri"/>
          <w:sz w:val="22"/>
          <w:szCs w:val="22"/>
        </w:rPr>
        <w:t xml:space="preserve">Tokento makes merchant incentives a first-class citizen of the agentic transaction stack. Merchants issue structured value tokens through a single API. Tokens travel with the customer, are queryable by any AI agent regardless of protocol, and are redeemable at checkout automatically.</w:t>
      </w:r>
    </w:p>
    <w:p>
      <w:pPr>
        <w:pStyle w:val="Heading2"/>
        <w:spacing w:after="120" w:before="280"/>
      </w:pPr>
      <w:r>
        <w:rPr>
          <w:rFonts w:ascii="Calibri" w:cs="Calibri" w:eastAsia="Calibri" w:hAnsi="Calibri"/>
          <w:b/>
          <w:bCs/>
          <w:color w:val="1F2A44"/>
          <w:sz w:val="28"/>
          <w:szCs w:val="28"/>
        </w:rPr>
        <w:t xml:space="preserve">4.2 External positioning</w:t>
      </w:r>
    </w:p>
    <w:p>
      <w:pPr>
        <w:spacing w:after="80" w:before="80" w:line="300"/>
        <w:jc w:val="left"/>
      </w:pPr>
      <w:r>
        <w:rPr>
          <w:rFonts w:ascii="Calibri" w:cs="Calibri" w:eastAsia="Calibri" w:hAnsi="Calibri"/>
          <w:sz w:val="22"/>
          <w:szCs w:val="22"/>
        </w:rPr>
        <w:t xml:space="preserve">Public-facing positioning is a direct frame, not a technical one. The headline is "The loyalty layer for AI shopping agents." The word "token" appears only in technical documentation, not in homepage copy. The product is sold as agent-accessible loyalty, not as a token network. The implementation detail does not need to be the brand.</w:t>
      </w:r>
    </w:p>
    <w:p>
      <w:pPr>
        <w:pStyle w:val="Heading2"/>
        <w:spacing w:after="120" w:before="280"/>
      </w:pPr>
      <w:r>
        <w:rPr>
          <w:rFonts w:ascii="Calibri" w:cs="Calibri" w:eastAsia="Calibri" w:hAnsi="Calibri"/>
          <w:b/>
          <w:bCs/>
          <w:color w:val="1F2A44"/>
          <w:sz w:val="28"/>
          <w:szCs w:val="28"/>
        </w:rPr>
        <w:t xml:space="preserve">4.3 Token type expansion roadmap</w:t>
      </w:r>
    </w:p>
    <w:p>
      <w:pPr>
        <w:spacing w:after="80" w:before="80" w:line="300"/>
        <w:jc w:val="left"/>
      </w:pPr>
      <w:r>
        <w:rPr>
          <w:rFonts w:ascii="Calibri" w:cs="Calibri" w:eastAsia="Calibri" w:hAnsi="Calibri"/>
          <w:sz w:val="22"/>
          <w:szCs w:val="22"/>
        </w:rPr>
        <w:t xml:space="preserve">MVP is loyalty only. Pricing and Returns are post-MVP additions once the loyalty thesis is validated. Trial and Subscription token types are explicitly deferred until a paid-merchant base exists. The original spec listed five token types in v1; that surface area is premature and will not appear on marketing material until the underlying mechanism is proven.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Token type</w:t>
            </w:r>
          </w:p>
        </w:tc>
        <w:tc>
          <w:tcPr>
            <w:tcW w:type="dxa" w:w="556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Description</w:t>
            </w:r>
          </w:p>
        </w:tc>
        <w:tc>
          <w:tcPr>
            <w:tcW w:type="dxa" w:w="16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Phase</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Loyalty</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Earn-and-redeem rewards issued on qualifying transactions</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v1 (MVP)</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Pricing</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Dynamic discount tokens encoding conditional price reductions</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v2 (post-validation)</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Returns</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Store credit tokens issued post-return, applicable to future purchases</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v2 (post-validation)</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Trials and Subscriptions</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First-purchase incentives and recurring membership tokens</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Deferred until paid-merchant traction</w:t>
            </w:r>
          </w:p>
        </w:tc>
      </w:tr>
    </w:tbl>
    <w:p>
      <w:pPr>
        <w:spacing w:after="80" w:before="80" w:line="300"/>
        <w:jc w:val="left"/>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2A44"/>
          <w:sz w:val="28"/>
          <w:szCs w:val="28"/>
        </w:rPr>
        <w:t xml:space="preserve">4.4 Why this is infrastructure, not an application</w:t>
      </w:r>
    </w:p>
    <w:p>
      <w:pPr>
        <w:spacing w:after="80" w:before="80" w:line="300"/>
        <w:jc w:val="left"/>
      </w:pPr>
      <w:r>
        <w:rPr>
          <w:rFonts w:ascii="Calibri" w:cs="Calibri" w:eastAsia="Calibri" w:hAnsi="Calibri"/>
          <w:sz w:val="22"/>
          <w:szCs w:val="22"/>
        </w:rPr>
        <w:t xml:space="preserve">Tokento earns value through ubiquity. It sits beneath every agentic transaction that involves merchant incentives. The product does not compete with merchant-facing loyalty applications such as Yotpo or LoyaltyLion in the short term; it complements them by making their existing incentive logic agent-accessible. Long-term, as merchants increasingly issue tokens directly through Tokento, the platform absorbs functionality that incumbents currently sell as the primary product.</w:t>
      </w:r>
    </w:p>
    <w:p>
      <w:pPr>
        <w:pStyle w:val="Heading1"/>
        <w:spacing w:after="160" w:before="360"/>
      </w:pPr>
      <w:r>
        <w:rPr>
          <w:rFonts w:ascii="Calibri" w:cs="Calibri" w:eastAsia="Calibri" w:hAnsi="Calibri"/>
          <w:b/>
          <w:bCs/>
          <w:color w:val="1F2A44"/>
          <w:sz w:val="36"/>
          <w:szCs w:val="36"/>
        </w:rPr>
        <w:t xml:space="preserve">V. Platform Architecture</w:t>
      </w:r>
    </w:p>
    <w:p>
      <w:pPr>
        <w:pStyle w:val="Heading2"/>
        <w:spacing w:after="120" w:before="280"/>
      </w:pPr>
      <w:r>
        <w:rPr>
          <w:rFonts w:ascii="Calibri" w:cs="Calibri" w:eastAsia="Calibri" w:hAnsi="Calibri"/>
          <w:b/>
          <w:bCs/>
          <w:color w:val="1F2A44"/>
          <w:sz w:val="28"/>
          <w:szCs w:val="28"/>
        </w:rPr>
        <w:t xml:space="preserve">5.1 Four-layer model</w:t>
      </w:r>
    </w:p>
    <w:p>
      <w:pPr>
        <w:spacing w:after="80" w:before="80" w:line="300"/>
        <w:jc w:val="left"/>
      </w:pPr>
      <w:r>
        <w:rPr>
          <w:rFonts w:ascii="Calibri" w:cs="Calibri" w:eastAsia="Calibri" w:hAnsi="Calibri"/>
          <w:sz w:val="22"/>
          <w:szCs w:val="22"/>
        </w:rPr>
        <w:t xml:space="preserve">Tokento is structured in four layers, top to bottom: merchant issuance, platform core, agent interoperability, and settlement. The architectural commitment is that the platform core (specifically the Token Query Interface) is the stable internal contract. Adapters translate external protocols into TQI calls; settlement infrastructure is composed from third-party primitives. Adding a new agent protocol is an adapter problem, never an architecture problem.</w:t>
      </w:r>
    </w:p>
    <w:p>
      <w:pPr>
        <w:pStyle w:val="Heading3"/>
        <w:spacing w:after="100" w:before="200"/>
      </w:pPr>
      <w:r>
        <w:rPr>
          <w:rFonts w:ascii="Calibri" w:cs="Calibri" w:eastAsia="Calibri" w:hAnsi="Calibri"/>
          <w:b/>
          <w:bCs/>
          <w:color w:val="1F2A44"/>
          <w:sz w:val="24"/>
          <w:szCs w:val="24"/>
        </w:rPr>
        <w:t xml:space="preserve">Layer 1: Merchant Issuance</w:t>
      </w:r>
    </w:p>
    <w:p>
      <w:pPr>
        <w:pStyle w:val="ListParagraph"/>
        <w:numPr>
          <w:ilvl w:val="0"/>
          <w:numId w:val="2"/>
        </w:numPr>
        <w:spacing w:after="60" w:before="60" w:line="300"/>
      </w:pPr>
      <w:r>
        <w:rPr>
          <w:rFonts w:ascii="Calibri" w:cs="Calibri" w:eastAsia="Calibri" w:hAnsi="Calibri"/>
          <w:sz w:val="22"/>
          <w:szCs w:val="22"/>
        </w:rPr>
        <w:t xml:space="preserve">Merchants call POST /tokens/mint with transaction context and earn-rule reference.</w:t>
      </w:r>
    </w:p>
    <w:p>
      <w:pPr>
        <w:pStyle w:val="ListParagraph"/>
        <w:numPr>
          <w:ilvl w:val="0"/>
          <w:numId w:val="2"/>
        </w:numPr>
        <w:spacing w:after="60" w:before="60" w:line="300"/>
      </w:pPr>
      <w:r>
        <w:rPr>
          <w:rFonts w:ascii="Calibri" w:cs="Calibri" w:eastAsia="Calibri" w:hAnsi="Calibri"/>
          <w:sz w:val="22"/>
          <w:szCs w:val="22"/>
        </w:rPr>
        <w:t xml:space="preserve">Token type enum: loyalty (v1), pricing (v2), returns (v2).</w:t>
      </w:r>
    </w:p>
    <w:p>
      <w:pPr>
        <w:pStyle w:val="ListParagraph"/>
        <w:numPr>
          <w:ilvl w:val="0"/>
          <w:numId w:val="2"/>
        </w:numPr>
        <w:spacing w:after="60" w:before="60" w:line="300"/>
      </w:pPr>
      <w:r>
        <w:rPr>
          <w:rFonts w:ascii="Calibri" w:cs="Calibri" w:eastAsia="Calibri" w:hAnsi="Calibri"/>
          <w:sz w:val="22"/>
          <w:szCs w:val="22"/>
        </w:rPr>
        <w:t xml:space="preserve">Merchant configuration surface for earn rules, expiry windows, restrictions, and agent opt-in toggle.</w:t>
      </w:r>
    </w:p>
    <w:p>
      <w:pPr>
        <w:pStyle w:val="Heading3"/>
        <w:spacing w:after="100" w:before="200"/>
      </w:pPr>
      <w:r>
        <w:rPr>
          <w:rFonts w:ascii="Calibri" w:cs="Calibri" w:eastAsia="Calibri" w:hAnsi="Calibri"/>
          <w:b/>
          <w:bCs/>
          <w:color w:val="1F2A44"/>
          <w:sz w:val="24"/>
          <w:szCs w:val="24"/>
        </w:rPr>
        <w:t xml:space="preserve">Layer 2: Platform Core</w:t>
      </w:r>
    </w:p>
    <w:p>
      <w:pPr>
        <w:pStyle w:val="ListParagraph"/>
        <w:numPr>
          <w:ilvl w:val="0"/>
          <w:numId w:val="2"/>
        </w:numPr>
        <w:spacing w:after="60" w:before="60" w:line="300"/>
      </w:pPr>
      <w:r>
        <w:rPr>
          <w:rFonts w:ascii="Calibri" w:cs="Calibri" w:eastAsia="Calibri" w:hAnsi="Calibri"/>
          <w:sz w:val="22"/>
          <w:szCs w:val="22"/>
        </w:rPr>
        <w:t xml:space="preserve">Issuance Engine: token minting, HMAC-SHA256 signing, idempotency, expiry enforcement, ledger writes to Modern Treasury.</w:t>
      </w:r>
    </w:p>
    <w:p>
      <w:pPr>
        <w:pStyle w:val="ListParagraph"/>
        <w:numPr>
          <w:ilvl w:val="0"/>
          <w:numId w:val="2"/>
        </w:numPr>
        <w:spacing w:after="60" w:before="60" w:line="300"/>
      </w:pPr>
      <w:r>
        <w:rPr>
          <w:rFonts w:ascii="Calibri" w:cs="Calibri" w:eastAsia="Calibri" w:hAnsi="Calibri"/>
          <w:sz w:val="22"/>
          <w:szCs w:val="22"/>
        </w:rPr>
        <w:t xml:space="preserve">Customer Wallet: platform-managed, multi-merchant token store, OAuth 2.0 access control, append-only redemption log.</w:t>
      </w:r>
    </w:p>
    <w:p>
      <w:pPr>
        <w:pStyle w:val="ListParagraph"/>
        <w:numPr>
          <w:ilvl w:val="0"/>
          <w:numId w:val="2"/>
        </w:numPr>
        <w:spacing w:after="60" w:before="60" w:line="300"/>
      </w:pPr>
      <w:r>
        <w:rPr>
          <w:rFonts w:ascii="Calibri" w:cs="Calibri" w:eastAsia="Calibri" w:hAnsi="Calibri"/>
          <w:sz w:val="22"/>
          <w:szCs w:val="22"/>
        </w:rPr>
        <w:t xml:space="preserve">Token Query Interface (TQI): canonical REST API used by every adapter. Three endpoints: query, validate, redeem.</w:t>
      </w:r>
    </w:p>
    <w:p>
      <w:pPr>
        <w:pStyle w:val="ListParagraph"/>
        <w:numPr>
          <w:ilvl w:val="0"/>
          <w:numId w:val="2"/>
        </w:numPr>
        <w:spacing w:after="60" w:before="60" w:line="300"/>
      </w:pPr>
      <w:r>
        <w:rPr>
          <w:rFonts w:ascii="Calibri" w:cs="Calibri" w:eastAsia="Calibri" w:hAnsi="Calibri"/>
          <w:sz w:val="22"/>
          <w:szCs w:val="22"/>
        </w:rPr>
        <w:t xml:space="preserve">Merchant Config Service: earn rules, agent opt-in flags, redemption caps, settlement preferences.</w:t>
      </w:r>
    </w:p>
    <w:p>
      <w:pPr>
        <w:pStyle w:val="Heading3"/>
        <w:spacing w:after="100" w:before="200"/>
      </w:pPr>
      <w:r>
        <w:rPr>
          <w:rFonts w:ascii="Calibri" w:cs="Calibri" w:eastAsia="Calibri" w:hAnsi="Calibri"/>
          <w:b/>
          <w:bCs/>
          <w:color w:val="1F2A44"/>
          <w:sz w:val="24"/>
          <w:szCs w:val="24"/>
        </w:rPr>
        <w:t xml:space="preserve">Layer 3: Agent Interoperability (Adapters)</w:t>
      </w:r>
    </w:p>
    <w:p>
      <w:pPr>
        <w:pStyle w:val="ListParagraph"/>
        <w:numPr>
          <w:ilvl w:val="0"/>
          <w:numId w:val="2"/>
        </w:numPr>
        <w:spacing w:after="60" w:before="60" w:line="300"/>
      </w:pPr>
      <w:r>
        <w:rPr>
          <w:rFonts w:ascii="Calibri" w:cs="Calibri" w:eastAsia="Calibri" w:hAnsi="Calibri"/>
          <w:sz w:val="22"/>
          <w:szCs w:val="22"/>
        </w:rPr>
        <w:t xml:space="preserve">MCP Adapter (Day 1): TQI exposed as named MCP tools via Composio and Cloudflare Workers.</w:t>
      </w:r>
    </w:p>
    <w:p>
      <w:pPr>
        <w:pStyle w:val="ListParagraph"/>
        <w:numPr>
          <w:ilvl w:val="0"/>
          <w:numId w:val="2"/>
        </w:numPr>
        <w:spacing w:after="60" w:before="60" w:line="300"/>
      </w:pPr>
      <w:r>
        <w:rPr>
          <w:rFonts w:ascii="Calibri" w:cs="Calibri" w:eastAsia="Calibri" w:hAnsi="Calibri"/>
          <w:sz w:val="22"/>
          <w:szCs w:val="22"/>
        </w:rPr>
        <w:t xml:space="preserve">x402 Adapter (Day 1 if PayPal channel is real; otherwise Phase 2): Tokento intercepts x402 payment requests, applies token discount, passes net to settlement.</w:t>
      </w:r>
    </w:p>
    <w:p>
      <w:pPr>
        <w:pStyle w:val="ListParagraph"/>
        <w:numPr>
          <w:ilvl w:val="0"/>
          <w:numId w:val="2"/>
        </w:numPr>
        <w:spacing w:after="60" w:before="60" w:line="300"/>
      </w:pPr>
      <w:r>
        <w:rPr>
          <w:rFonts w:ascii="Calibri" w:cs="Calibri" w:eastAsia="Calibri" w:hAnsi="Calibri"/>
          <w:sz w:val="22"/>
          <w:szCs w:val="22"/>
        </w:rPr>
        <w:t xml:space="preserve">AP2 / OpenAI ACP Adapter (Phase 3): built but not led with in early GTM.</w:t>
      </w:r>
    </w:p>
    <w:p>
      <w:pPr>
        <w:pStyle w:val="ListParagraph"/>
        <w:numPr>
          <w:ilvl w:val="0"/>
          <w:numId w:val="2"/>
        </w:numPr>
        <w:spacing w:after="60" w:before="60" w:line="300"/>
      </w:pPr>
      <w:r>
        <w:rPr>
          <w:rFonts w:ascii="Calibri" w:cs="Calibri" w:eastAsia="Calibri" w:hAnsi="Calibri"/>
          <w:sz w:val="22"/>
          <w:szCs w:val="22"/>
        </w:rPr>
        <w:t xml:space="preserve">Future protocols: new adapter only. Internal contract is unchanged.</w:t>
      </w:r>
    </w:p>
    <w:p>
      <w:pPr>
        <w:pStyle w:val="Heading3"/>
        <w:spacing w:after="100" w:before="200"/>
      </w:pPr>
      <w:r>
        <w:rPr>
          <w:rFonts w:ascii="Calibri" w:cs="Calibri" w:eastAsia="Calibri" w:hAnsi="Calibri"/>
          <w:b/>
          <w:bCs/>
          <w:color w:val="1F2A44"/>
          <w:sz w:val="24"/>
          <w:szCs w:val="24"/>
        </w:rPr>
        <w:t xml:space="preserve">Layer 4: Settlement</w:t>
      </w:r>
    </w:p>
    <w:p>
      <w:pPr>
        <w:pStyle w:val="ListParagraph"/>
        <w:numPr>
          <w:ilvl w:val="0"/>
          <w:numId w:val="2"/>
        </w:numPr>
        <w:spacing w:after="60" w:before="60" w:line="300"/>
      </w:pPr>
      <w:r>
        <w:rPr>
          <w:rFonts w:ascii="Calibri" w:cs="Calibri" w:eastAsia="Calibri" w:hAnsi="Calibri"/>
          <w:sz w:val="22"/>
          <w:szCs w:val="22"/>
        </w:rPr>
        <w:t xml:space="preserve">Redemption confirmation returned to agent in real time.</w:t>
      </w:r>
    </w:p>
    <w:p>
      <w:pPr>
        <w:pStyle w:val="ListParagraph"/>
        <w:numPr>
          <w:ilvl w:val="0"/>
          <w:numId w:val="2"/>
        </w:numPr>
        <w:spacing w:after="60" w:before="60" w:line="300"/>
      </w:pPr>
      <w:r>
        <w:rPr>
          <w:rFonts w:ascii="Calibri" w:cs="Calibri" w:eastAsia="Calibri" w:hAnsi="Calibri"/>
          <w:sz w:val="22"/>
          <w:szCs w:val="22"/>
        </w:rPr>
        <w:t xml:space="preserve">Merchant settlement: daily batch in MVP, real-time in v2. Modern Treasury for ledger, Runa or Tremendous for disbursement.</w:t>
      </w:r>
    </w:p>
    <w:p>
      <w:pPr>
        <w:pStyle w:val="ListParagraph"/>
        <w:numPr>
          <w:ilvl w:val="0"/>
          <w:numId w:val="2"/>
        </w:numPr>
        <w:spacing w:after="60" w:before="60" w:line="300"/>
      </w:pPr>
      <w:r>
        <w:rPr>
          <w:rFonts w:ascii="Calibri" w:cs="Calibri" w:eastAsia="Calibri" w:hAnsi="Calibri"/>
          <w:sz w:val="22"/>
          <w:szCs w:val="22"/>
        </w:rPr>
        <w:t xml:space="preserve">Revenue capture: 15 to 30 bps interchange fee plus SaaS subscription. Float on unredeemed liability is a post-Series A consideration only.</w:t>
      </w:r>
    </w:p>
    <w:p>
      <w:pPr>
        <w:pStyle w:val="Heading1"/>
        <w:spacing w:after="160" w:before="360"/>
      </w:pPr>
      <w:r>
        <w:rPr>
          <w:rFonts w:ascii="Calibri" w:cs="Calibri" w:eastAsia="Calibri" w:hAnsi="Calibri"/>
          <w:b/>
          <w:bCs/>
          <w:color w:val="1F2A44"/>
          <w:sz w:val="36"/>
          <w:szCs w:val="36"/>
        </w:rPr>
        <w:t xml:space="preserve">VI. Token Architecture</w:t>
      </w:r>
    </w:p>
    <w:p>
      <w:pPr>
        <w:pStyle w:val="Heading2"/>
        <w:spacing w:after="120" w:before="280"/>
      </w:pPr>
      <w:r>
        <w:rPr>
          <w:rFonts w:ascii="Calibri" w:cs="Calibri" w:eastAsia="Calibri" w:hAnsi="Calibri"/>
          <w:b/>
          <w:bCs/>
          <w:color w:val="1F2A44"/>
          <w:sz w:val="28"/>
          <w:szCs w:val="28"/>
        </w:rPr>
        <w:t xml:space="preserve">6.1 What a token is</w:t>
      </w:r>
    </w:p>
    <w:p>
      <w:pPr>
        <w:spacing w:after="80" w:before="80" w:line="300"/>
        <w:jc w:val="left"/>
      </w:pPr>
      <w:r>
        <w:rPr>
          <w:rFonts w:ascii="Calibri" w:cs="Calibri" w:eastAsia="Calibri" w:hAnsi="Calibri"/>
          <w:sz w:val="22"/>
          <w:szCs w:val="22"/>
        </w:rPr>
        <w:t xml:space="preserve">A Tokento token is a structured, merchant-issued value object with a defined lifecycle: Mint, Hold, Present, Validate, Redeem, Settle. It is not a blockchain token. It lives on a traditional high-performance ledger with token semantics as the API abstraction. The choice prioritizes speed, regulatory simplicity, and merchant familiarity. Crypto-style framing is explicitly avoided because it introduces friction that does not buy the product anything.</w:t>
      </w:r>
    </w:p>
    <w:p>
      <w:pPr>
        <w:pStyle w:val="Heading2"/>
        <w:spacing w:after="120" w:before="280"/>
      </w:pPr>
      <w:r>
        <w:rPr>
          <w:rFonts w:ascii="Calibri" w:cs="Calibri" w:eastAsia="Calibri" w:hAnsi="Calibri"/>
          <w:b/>
          <w:bCs/>
          <w:color w:val="1F2A44"/>
          <w:sz w:val="28"/>
          <w:szCs w:val="28"/>
        </w:rPr>
        <w:t xml:space="preserve">6.2 Token object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Field group</w:t>
            </w:r>
          </w:p>
        </w:tc>
        <w:tc>
          <w:tcPr>
            <w:tcW w:type="dxa" w:w="716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Fields and description</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Identity</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token_id (UUID), issuing_merchant_id, customer_wallet_id, issue_timestamp, expiry_timestamp, token_type enum (loyalty, pricing, returns)</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Value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denomination (USD or merchant-defined unit), partial_redemption_allowed (bool), minimum_transaction_floor (USD)</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Conditions</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category_restriction, channel_restriction, stackability_flag, agent_presentable_flag</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Settlement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settlement_type (discount, cashback, credit), settlement_timing (real-time, daily_batch), merchant_liability_account_ref</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Audit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created_by, last_modified, redemption_log (append-only), schema_version</w:t>
            </w:r>
          </w:p>
        </w:tc>
      </w:tr>
    </w:tbl>
    <w:p>
      <w:pPr>
        <w:spacing w:after="80" w:before="80" w:line="300"/>
        <w:jc w:val="left"/>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2A44"/>
          <w:sz w:val="28"/>
          <w:szCs w:val="28"/>
        </w:rPr>
        <w:t xml:space="preserve">6.3 Token lifecycle state machine</w:t>
      </w:r>
    </w:p>
    <w:p>
      <w:pPr>
        <w:spacing w:after="80" w:before="80" w:line="300"/>
        <w:jc w:val="left"/>
      </w:pPr>
      <w:r>
        <w:rPr>
          <w:rFonts w:ascii="Calibri" w:cs="Calibri" w:eastAsia="Calibri" w:hAnsi="Calibri"/>
          <w:sz w:val="22"/>
          <w:szCs w:val="22"/>
        </w:rPr>
        <w:t xml:space="preserve">Six states: MINT, HOLD, PRESENT, VALIDATE, REDEEM, SETTLE. Two terminal failure states: EXPIRED (triggered by expiry_timestamp) and REJECTED (triggered by validation failure with reason code). All state transitions are append-only logged and immutable.</w:t>
      </w:r>
    </w:p>
    <w:p>
      <w:pPr>
        <w:pStyle w:val="Heading2"/>
        <w:spacing w:after="120" w:before="280"/>
      </w:pPr>
      <w:r>
        <w:rPr>
          <w:rFonts w:ascii="Calibri" w:cs="Calibri" w:eastAsia="Calibri" w:hAnsi="Calibri"/>
          <w:b/>
          <w:bCs/>
          <w:color w:val="1F2A44"/>
          <w:sz w:val="28"/>
          <w:szCs w:val="28"/>
        </w:rPr>
        <w:t xml:space="preserve">6.4 Critical policy change: agent_presentable_flag default</w:t>
      </w:r>
    </w:p>
    <w:p>
      <w:pPr>
        <w:shd w:fill="EAF1F8" w:val="clear"/>
        <w:spacing w:after="120" w:before="120" w:line="300"/>
        <w:ind w:left="200" w:right="200"/>
      </w:pPr>
      <w:r>
        <w:rPr>
          <w:rFonts w:ascii="Calibri" w:cs="Calibri" w:eastAsia="Calibri" w:hAnsi="Calibri"/>
          <w:b/>
          <w:bCs/>
          <w:color w:val="1F2A44"/>
          <w:sz w:val="22"/>
          <w:szCs w:val="22"/>
        </w:rPr>
        <w:t xml:space="preserve">Decision.  </w:t>
      </w:r>
      <w:r>
        <w:rPr>
          <w:rFonts w:ascii="Calibri" w:cs="Calibri" w:eastAsia="Calibri" w:hAnsi="Calibri"/>
          <w:sz w:val="22"/>
          <w:szCs w:val="22"/>
        </w:rPr>
        <w:t xml:space="preserve">The original spec set agent_presentable_flag to off by default, requiring merchants to explicitly opt in. This is reversed. Default is ON. Merchants who do not want their tokens agent-presentable opt out. Rationale: the entire product premise is making loyalty agent-accessible; requiring explicit opt-in to the core value proposition is adoption-killing friction.</w:t>
      </w:r>
    </w:p>
    <w:p>
      <w:pPr>
        <w:pStyle w:val="Heading2"/>
        <w:spacing w:after="120" w:before="280"/>
      </w:pPr>
      <w:r>
        <w:rPr>
          <w:rFonts w:ascii="Calibri" w:cs="Calibri" w:eastAsia="Calibri" w:hAnsi="Calibri"/>
          <w:b/>
          <w:bCs/>
          <w:color w:val="1F2A44"/>
          <w:sz w:val="28"/>
          <w:szCs w:val="28"/>
        </w:rPr>
        <w:t xml:space="preserve">6.5 Merchant configuration surface</w:t>
      </w:r>
    </w:p>
    <w:p>
      <w:pPr>
        <w:pStyle w:val="ListParagraph"/>
        <w:numPr>
          <w:ilvl w:val="0"/>
          <w:numId w:val="2"/>
        </w:numPr>
        <w:spacing w:after="60" w:before="60" w:line="300"/>
      </w:pPr>
      <w:r>
        <w:rPr>
          <w:rFonts w:ascii="Calibri" w:cs="Calibri" w:eastAsia="Calibri" w:hAnsi="Calibri"/>
          <w:sz w:val="22"/>
          <w:szCs w:val="22"/>
        </w:rPr>
        <w:t xml:space="preserve">Earn rules: spend threshold mapped to token denomination.</w:t>
      </w:r>
    </w:p>
    <w:p>
      <w:pPr>
        <w:pStyle w:val="ListParagraph"/>
        <w:numPr>
          <w:ilvl w:val="0"/>
          <w:numId w:val="2"/>
        </w:numPr>
        <w:spacing w:after="60" w:before="60" w:line="300"/>
      </w:pPr>
      <w:r>
        <w:rPr>
          <w:rFonts w:ascii="Calibri" w:cs="Calibri" w:eastAsia="Calibri" w:hAnsi="Calibri"/>
          <w:sz w:val="22"/>
          <w:szCs w:val="22"/>
        </w:rPr>
        <w:t xml:space="preserve">Token parameters: expiry window, category restriction, channel restriction, stackability flag.</w:t>
      </w:r>
    </w:p>
    <w:p>
      <w:pPr>
        <w:pStyle w:val="ListParagraph"/>
        <w:numPr>
          <w:ilvl w:val="0"/>
          <w:numId w:val="2"/>
        </w:numPr>
        <w:spacing w:after="60" w:before="60" w:line="300"/>
      </w:pPr>
      <w:r>
        <w:rPr>
          <w:rFonts w:ascii="Calibri" w:cs="Calibri" w:eastAsia="Calibri" w:hAnsi="Calibri"/>
          <w:sz w:val="22"/>
          <w:szCs w:val="22"/>
        </w:rPr>
        <w:t xml:space="preserve">Redemption caps: maximum value per customer per period; maximum tokens per transaction.</w:t>
      </w:r>
    </w:p>
    <w:p>
      <w:pPr>
        <w:pStyle w:val="ListParagraph"/>
        <w:numPr>
          <w:ilvl w:val="0"/>
          <w:numId w:val="2"/>
        </w:numPr>
        <w:spacing w:after="60" w:before="60" w:line="300"/>
      </w:pPr>
      <w:r>
        <w:rPr>
          <w:rFonts w:ascii="Calibri" w:cs="Calibri" w:eastAsia="Calibri" w:hAnsi="Calibri"/>
          <w:sz w:val="22"/>
          <w:szCs w:val="22"/>
        </w:rPr>
        <w:t xml:space="preserve">Agent opt-out toggle: defaults to opt-in. Merchant can disable per earn rule.</w:t>
      </w:r>
    </w:p>
    <w:p>
      <w:pPr>
        <w:pStyle w:val="ListParagraph"/>
        <w:numPr>
          <w:ilvl w:val="0"/>
          <w:numId w:val="2"/>
        </w:numPr>
        <w:spacing w:after="60" w:before="60" w:line="300"/>
      </w:pPr>
      <w:r>
        <w:rPr>
          <w:rFonts w:ascii="Calibri" w:cs="Calibri" w:eastAsia="Calibri" w:hAnsi="Calibri"/>
          <w:sz w:val="22"/>
          <w:szCs w:val="22"/>
        </w:rPr>
        <w:t xml:space="preserve">Settlement preference: real-time or daily batch; cashback, discount, or credit.</w:t>
      </w:r>
    </w:p>
    <w:p>
      <w:pPr>
        <w:pStyle w:val="Heading1"/>
        <w:spacing w:after="160" w:before="360"/>
      </w:pPr>
      <w:r>
        <w:rPr>
          <w:rFonts w:ascii="Calibri" w:cs="Calibri" w:eastAsia="Calibri" w:hAnsi="Calibri"/>
          <w:b/>
          <w:bCs/>
          <w:color w:val="1F2A44"/>
          <w:sz w:val="36"/>
          <w:szCs w:val="36"/>
        </w:rPr>
        <w:t xml:space="preserve">VII. Agent Interoperability Layer</w:t>
      </w:r>
    </w:p>
    <w:p>
      <w:pPr>
        <w:pStyle w:val="Heading2"/>
        <w:spacing w:after="120" w:before="280"/>
      </w:pPr>
      <w:r>
        <w:rPr>
          <w:rFonts w:ascii="Calibri" w:cs="Calibri" w:eastAsia="Calibri" w:hAnsi="Calibri"/>
          <w:b/>
          <w:bCs/>
          <w:color w:val="1F2A44"/>
          <w:sz w:val="28"/>
          <w:szCs w:val="28"/>
        </w:rPr>
        <w:t xml:space="preserve">7.1 Design philosophy: protocol-agnostic by architecture</w:t>
      </w:r>
    </w:p>
    <w:p>
      <w:pPr>
        <w:spacing w:after="80" w:before="80" w:line="300"/>
        <w:jc w:val="left"/>
      </w:pPr>
      <w:r>
        <w:rPr>
          <w:rFonts w:ascii="Calibri" w:cs="Calibri" w:eastAsia="Calibri" w:hAnsi="Calibri"/>
          <w:sz w:val="22"/>
          <w:szCs w:val="22"/>
        </w:rPr>
        <w:t xml:space="preserve">Tokento does not pick winners among competing agent protocols. The platform serves all of them through the canonical TQI with thin protocol-specific adapters layered on top. This is the single most important architectural decision in the product. Protocol fragmentation is the bet, not protocol consolidation.</w:t>
      </w:r>
    </w:p>
    <w:p>
      <w:pPr>
        <w:pStyle w:val="Heading2"/>
        <w:spacing w:after="120" w:before="280"/>
      </w:pPr>
      <w:r>
        <w:rPr>
          <w:rFonts w:ascii="Calibri" w:cs="Calibri" w:eastAsia="Calibri" w:hAnsi="Calibri"/>
          <w:b/>
          <w:bCs/>
          <w:color w:val="1F2A44"/>
          <w:sz w:val="28"/>
          <w:szCs w:val="28"/>
        </w:rPr>
        <w:t xml:space="preserve">7.2 The Token Query Interface (TQI)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Endpoint</w:t>
            </w:r>
          </w:p>
        </w:tc>
        <w:tc>
          <w:tcPr>
            <w:tcW w:type="dxa" w:w="336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Method and path</w:t>
            </w:r>
          </w:p>
        </w:tc>
        <w:tc>
          <w:tcPr>
            <w:tcW w:type="dxa" w:w="40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Function</w:t>
            </w:r>
          </w:p>
        </w:tc>
      </w:tr>
      <w:tr>
        <w:trPr>
          <w:tblHeader w:val="false"/>
        </w:trPr>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Query wallet</w:t>
            </w:r>
          </w:p>
        </w:tc>
        <w:tc>
          <w:tcPr>
            <w:tcW w:type="dxa" w:w="3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GET /wallet/{customer_id}/tokens</w:t>
            </w:r>
          </w:p>
        </w:tc>
        <w:tc>
          <w:tcPr>
            <w:tcW w:type="dxa" w:w="4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Returns ACTIVE non-expired tokens. Filterable by merchant_id, category, channel, token_type, min_denomination.</w:t>
            </w:r>
          </w:p>
        </w:tc>
      </w:tr>
      <w:tr>
        <w:trPr>
          <w:tblHeader w:val="false"/>
        </w:trPr>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Validate token</w:t>
            </w:r>
          </w:p>
        </w:tc>
        <w:tc>
          <w:tcPr>
            <w:tcW w:type="dxa" w:w="3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POST /tokens/{token_id}/validate</w:t>
            </w:r>
          </w:p>
        </w:tc>
        <w:tc>
          <w:tcPr>
            <w:tcW w:type="dxa" w:w="4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Checks presentability for a transaction context. Returns detailed failure reason on rejection.</w:t>
            </w:r>
          </w:p>
        </w:tc>
      </w:tr>
      <w:tr>
        <w:trPr>
          <w:tblHeader w:val="false"/>
        </w:trPr>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Redeem token</w:t>
            </w:r>
          </w:p>
        </w:tc>
        <w:tc>
          <w:tcPr>
            <w:tcW w:type="dxa" w:w="3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POST /tokens/{token_id}/redeem</w:t>
            </w:r>
          </w:p>
        </w:tc>
        <w:tc>
          <w:tcPr>
            <w:tcW w:type="dxa" w:w="4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Executes redemption. Idempotent. Returns confirmed net transaction value. Initiates settlement.</w:t>
            </w:r>
          </w:p>
        </w:tc>
      </w:tr>
    </w:tbl>
    <w:p>
      <w:pPr>
        <w:spacing w:after="80" w:before="80" w:line="300"/>
        <w:jc w:val="left"/>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2A44"/>
          <w:sz w:val="28"/>
          <w:szCs w:val="28"/>
        </w:rPr>
        <w:t xml:space="preserve">7.3 Protocol adapter prioritization, revised</w:t>
      </w:r>
    </w:p>
    <w:p>
      <w:pPr>
        <w:shd w:fill="EAF1F8" w:val="clear"/>
        <w:spacing w:after="120" w:before="120" w:line="300"/>
        <w:ind w:left="200" w:right="200"/>
      </w:pPr>
      <w:r>
        <w:rPr>
          <w:rFonts w:ascii="Calibri" w:cs="Calibri" w:eastAsia="Calibri" w:hAnsi="Calibri"/>
          <w:b/>
          <w:bCs/>
          <w:color w:val="1F2A44"/>
          <w:sz w:val="22"/>
          <w:szCs w:val="22"/>
        </w:rPr>
        <w:t xml:space="preserve">Revision from v1.0.  </w:t>
      </w:r>
      <w:r>
        <w:rPr>
          <w:rFonts w:ascii="Calibri" w:cs="Calibri" w:eastAsia="Calibri" w:hAnsi="Calibri"/>
          <w:sz w:val="22"/>
          <w:szCs w:val="22"/>
        </w:rPr>
        <w:t xml:space="preserve">The original spec listed MCP as Day 1, x402 as Phase 2. If the founding-team PayPal channel is operational, x402 is elevated to Day 1 alongside MCP. PayPal's investment in agent-mediated payment primitives means that an x402-compatible adapter is a distribution lever, not a future roadmap item. Decision criteria for x402 Day 1 status are in Section XV.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Protocol</w:t>
            </w:r>
          </w:p>
        </w:tc>
        <w:tc>
          <w:tcPr>
            <w:tcW w:type="dxa" w:w="696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Implementation and priority</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MCP — Day 1</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TQI exposed as MCP server with three named tools: query_loyalty_tokens, validate_token, redeem_token. Hosted via Composio plus Cloudflare Workers.</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x402 — Day 1 or Phase 2</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Tokento intercepts x402 payment requests, queries applicable tokens, modifies payment amount, passes net to x402 for settlement. Day 1 if PayPal distribution is real; Phase 2 otherwise.</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AP2 / OpenAI ACP — Phase 3</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Adapter built but not led with in early GTM. MCP and x402 story is broader and cleaner for the first 12 months.</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Future protocols</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New adapter only. TQI remains stable internal contract.</w:t>
            </w:r>
          </w:p>
        </w:tc>
      </w:tr>
    </w:tbl>
    <w:p>
      <w:pPr>
        <w:spacing w:after="80" w:before="80" w:line="300"/>
        <w:jc w:val="left"/>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2A44"/>
          <w:sz w:val="28"/>
          <w:szCs w:val="28"/>
        </w:rPr>
        <w:t xml:space="preserve">7.4 End-to-end agent transaction flow</w:t>
      </w:r>
    </w:p>
    <w:p>
      <w:pPr>
        <w:pStyle w:val="ListParagraph"/>
        <w:numPr>
          <w:ilvl w:val="0"/>
          <w:numId w:val="2"/>
        </w:numPr>
        <w:spacing w:after="60" w:before="60" w:line="300"/>
      </w:pPr>
      <w:r>
        <w:rPr>
          <w:rFonts w:ascii="Calibri" w:cs="Calibri" w:eastAsia="Calibri" w:hAnsi="Calibri"/>
          <w:b/>
          <w:bCs/>
          <w:sz w:val="22"/>
          <w:szCs w:val="22"/>
        </w:rPr>
        <w:t xml:space="preserve">Step 1. </w:t>
      </w:r>
      <w:r>
        <w:rPr>
          <w:rFonts w:ascii="Calibri" w:cs="Calibri" w:eastAsia="Calibri" w:hAnsi="Calibri"/>
          <w:sz w:val="22"/>
          <w:szCs w:val="22"/>
        </w:rPr>
        <w:t xml:space="preserve">Customer grants Tokento wallet access to their AI agent during onboarding (OAuth 2.0). See Section VIII for the bootstrapping detail.</w:t>
      </w:r>
    </w:p>
    <w:p>
      <w:pPr>
        <w:pStyle w:val="ListParagraph"/>
        <w:numPr>
          <w:ilvl w:val="0"/>
          <w:numId w:val="2"/>
        </w:numPr>
        <w:spacing w:after="60" w:before="60" w:line="300"/>
      </w:pPr>
      <w:r>
        <w:rPr>
          <w:rFonts w:ascii="Calibri" w:cs="Calibri" w:eastAsia="Calibri" w:hAnsi="Calibri"/>
          <w:b/>
          <w:bCs/>
          <w:sz w:val="22"/>
          <w:szCs w:val="22"/>
        </w:rPr>
        <w:t xml:space="preserve">Step 2. </w:t>
      </w:r>
      <w:r>
        <w:rPr>
          <w:rFonts w:ascii="Calibri" w:cs="Calibri" w:eastAsia="Calibri" w:hAnsi="Calibri"/>
          <w:sz w:val="22"/>
          <w:szCs w:val="22"/>
        </w:rPr>
        <w:t xml:space="preserve">Agent receives a purchase task, identifies a candidate merchant.</w:t>
      </w:r>
    </w:p>
    <w:p>
      <w:pPr>
        <w:pStyle w:val="ListParagraph"/>
        <w:numPr>
          <w:ilvl w:val="0"/>
          <w:numId w:val="2"/>
        </w:numPr>
        <w:spacing w:after="60" w:before="60" w:line="300"/>
      </w:pPr>
      <w:r>
        <w:rPr>
          <w:rFonts w:ascii="Calibri" w:cs="Calibri" w:eastAsia="Calibri" w:hAnsi="Calibri"/>
          <w:b/>
          <w:bCs/>
          <w:sz w:val="22"/>
          <w:szCs w:val="22"/>
        </w:rPr>
        <w:t xml:space="preserve">Step 3. </w:t>
      </w:r>
      <w:r>
        <w:rPr>
          <w:rFonts w:ascii="Calibri" w:cs="Calibri" w:eastAsia="Calibri" w:hAnsi="Calibri"/>
          <w:sz w:val="22"/>
          <w:szCs w:val="22"/>
        </w:rPr>
        <w:t xml:space="preserve">Pre-checkout: agent calls TQI GET /wallet/{customer_id}/tokens with merchant_id and channel=agent-initiated filter.</w:t>
      </w:r>
    </w:p>
    <w:p>
      <w:pPr>
        <w:pStyle w:val="ListParagraph"/>
        <w:numPr>
          <w:ilvl w:val="0"/>
          <w:numId w:val="2"/>
        </w:numPr>
        <w:spacing w:after="60" w:before="60" w:line="300"/>
      </w:pPr>
      <w:r>
        <w:rPr>
          <w:rFonts w:ascii="Calibri" w:cs="Calibri" w:eastAsia="Calibri" w:hAnsi="Calibri"/>
          <w:b/>
          <w:bCs/>
          <w:sz w:val="22"/>
          <w:szCs w:val="22"/>
        </w:rPr>
        <w:t xml:space="preserve">Step 4. </w:t>
      </w:r>
      <w:r>
        <w:rPr>
          <w:rFonts w:ascii="Calibri" w:cs="Calibri" w:eastAsia="Calibri" w:hAnsi="Calibri"/>
          <w:sz w:val="22"/>
          <w:szCs w:val="22"/>
        </w:rPr>
        <w:t xml:space="preserve">TQI returns applicable tokens.</w:t>
      </w:r>
    </w:p>
    <w:p>
      <w:pPr>
        <w:pStyle w:val="ListParagraph"/>
        <w:numPr>
          <w:ilvl w:val="0"/>
          <w:numId w:val="2"/>
        </w:numPr>
        <w:spacing w:after="60" w:before="60" w:line="300"/>
      </w:pPr>
      <w:r>
        <w:rPr>
          <w:rFonts w:ascii="Calibri" w:cs="Calibri" w:eastAsia="Calibri" w:hAnsi="Calibri"/>
          <w:b/>
          <w:bCs/>
          <w:sz w:val="22"/>
          <w:szCs w:val="22"/>
        </w:rPr>
        <w:t xml:space="preserve">Step 5. </w:t>
      </w:r>
      <w:r>
        <w:rPr>
          <w:rFonts w:ascii="Calibri" w:cs="Calibri" w:eastAsia="Calibri" w:hAnsi="Calibri"/>
          <w:sz w:val="22"/>
          <w:szCs w:val="22"/>
        </w:rPr>
        <w:t xml:space="preserve">Agent calls POST /tokens/{token_id}/validate with transaction amount and context.</w:t>
      </w:r>
    </w:p>
    <w:p>
      <w:pPr>
        <w:pStyle w:val="ListParagraph"/>
        <w:numPr>
          <w:ilvl w:val="0"/>
          <w:numId w:val="2"/>
        </w:numPr>
        <w:spacing w:after="60" w:before="60" w:line="300"/>
      </w:pPr>
      <w:r>
        <w:rPr>
          <w:rFonts w:ascii="Calibri" w:cs="Calibri" w:eastAsia="Calibri" w:hAnsi="Calibri"/>
          <w:b/>
          <w:bCs/>
          <w:sz w:val="22"/>
          <w:szCs w:val="22"/>
        </w:rPr>
        <w:t xml:space="preserve">Step 6. </w:t>
      </w:r>
      <w:r>
        <w:rPr>
          <w:rFonts w:ascii="Calibri" w:cs="Calibri" w:eastAsia="Calibri" w:hAnsi="Calibri"/>
          <w:sz w:val="22"/>
          <w:szCs w:val="22"/>
        </w:rPr>
        <w:t xml:space="preserve">Validation passes. Agent includes token reference in checkout payload alongside payment credential.</w:t>
      </w:r>
    </w:p>
    <w:p>
      <w:pPr>
        <w:pStyle w:val="ListParagraph"/>
        <w:numPr>
          <w:ilvl w:val="0"/>
          <w:numId w:val="2"/>
        </w:numPr>
        <w:spacing w:after="60" w:before="60" w:line="300"/>
      </w:pPr>
      <w:r>
        <w:rPr>
          <w:rFonts w:ascii="Calibri" w:cs="Calibri" w:eastAsia="Calibri" w:hAnsi="Calibri"/>
          <w:b/>
          <w:bCs/>
          <w:sz w:val="22"/>
          <w:szCs w:val="22"/>
        </w:rPr>
        <w:t xml:space="preserve">Step 7. </w:t>
      </w:r>
      <w:r>
        <w:rPr>
          <w:rFonts w:ascii="Calibri" w:cs="Calibri" w:eastAsia="Calibri" w:hAnsi="Calibri"/>
          <w:sz w:val="22"/>
          <w:szCs w:val="22"/>
        </w:rPr>
        <w:t xml:space="preserve">Tokento processes redemption, returns net transaction value to agent, initiates merchant settlement.</w:t>
      </w:r>
    </w:p>
    <w:p>
      <w:pPr>
        <w:pStyle w:val="ListParagraph"/>
        <w:numPr>
          <w:ilvl w:val="0"/>
          <w:numId w:val="2"/>
        </w:numPr>
        <w:spacing w:after="60" w:before="60" w:line="300"/>
      </w:pPr>
      <w:r>
        <w:rPr>
          <w:rFonts w:ascii="Calibri" w:cs="Calibri" w:eastAsia="Calibri" w:hAnsi="Calibri"/>
          <w:b/>
          <w:bCs/>
          <w:sz w:val="22"/>
          <w:szCs w:val="22"/>
        </w:rPr>
        <w:t xml:space="preserve">Step 8. </w:t>
      </w:r>
      <w:r>
        <w:rPr>
          <w:rFonts w:ascii="Calibri" w:cs="Calibri" w:eastAsia="Calibri" w:hAnsi="Calibri"/>
          <w:sz w:val="22"/>
          <w:szCs w:val="22"/>
        </w:rPr>
        <w:t xml:space="preserve">Agent completes purchase at net price. Customer sees loyalty applied without manual action.</w:t>
      </w:r>
    </w:p>
    <w:p>
      <w:pPr>
        <w:pStyle w:val="Heading1"/>
        <w:spacing w:after="160" w:before="360"/>
      </w:pPr>
      <w:r>
        <w:rPr>
          <w:rFonts w:ascii="Calibri" w:cs="Calibri" w:eastAsia="Calibri" w:hAnsi="Calibri"/>
          <w:b/>
          <w:bCs/>
          <w:color w:val="1F2A44"/>
          <w:sz w:val="36"/>
          <w:szCs w:val="36"/>
        </w:rPr>
        <w:t xml:space="preserve">VIII. The Wallet Network Effect — Moat Strategy</w:t>
      </w:r>
    </w:p>
    <w:p>
      <w:pPr>
        <w:shd w:fill="EAF1F8" w:val="clear"/>
        <w:spacing w:after="120" w:before="120" w:line="300"/>
        <w:ind w:left="200" w:right="200"/>
      </w:pPr>
      <w:r>
        <w:rPr>
          <w:rFonts w:ascii="Calibri" w:cs="Calibri" w:eastAsia="Calibri" w:hAnsi="Calibri"/>
          <w:b/>
          <w:bCs/>
          <w:color w:val="1F2A44"/>
          <w:sz w:val="22"/>
          <w:szCs w:val="22"/>
        </w:rPr>
        <w:t xml:space="preserve">Critical addition to v1.0.  </w:t>
      </w:r>
      <w:r>
        <w:rPr>
          <w:rFonts w:ascii="Calibri" w:cs="Calibri" w:eastAsia="Calibri" w:hAnsi="Calibri"/>
          <w:sz w:val="22"/>
          <w:szCs w:val="22"/>
        </w:rPr>
        <w:t xml:space="preserve">The original spec did not articulate defensibility. The API alone is not a moat; any competent team can build the same endpoints. Defensibility accrues at the wallet layer, and every product decision must be evaluated against whether it increases wallet density per active customer.</w:t>
      </w:r>
    </w:p>
    <w:p>
      <w:pPr>
        <w:pStyle w:val="Heading2"/>
        <w:spacing w:after="120" w:before="280"/>
      </w:pPr>
      <w:r>
        <w:rPr>
          <w:rFonts w:ascii="Calibri" w:cs="Calibri" w:eastAsia="Calibri" w:hAnsi="Calibri"/>
          <w:b/>
          <w:bCs/>
          <w:color w:val="1F2A44"/>
          <w:sz w:val="28"/>
          <w:szCs w:val="28"/>
        </w:rPr>
        <w:t xml:space="preserve">8.1 The defensibility thesis</w:t>
      </w:r>
    </w:p>
    <w:p>
      <w:pPr>
        <w:spacing w:after="80" w:before="80" w:line="300"/>
        <w:jc w:val="left"/>
      </w:pPr>
      <w:r>
        <w:rPr>
          <w:rFonts w:ascii="Calibri" w:cs="Calibri" w:eastAsia="Calibri" w:hAnsi="Calibri"/>
          <w:sz w:val="22"/>
          <w:szCs w:val="22"/>
        </w:rPr>
        <w:t xml:space="preserve">A Tokento wallet with tokens from one merchant is replaceable. A Tokento wallet with tokens from twelve merchants is not. Once a customer accumulates value across multiple merchants in a single agent-queryable wallet, leaving Tokento means abandoning that aggregated value. This is a switching cost that compounds with every additional merchant that joins the platform.</w:t>
      </w:r>
    </w:p>
    <w:p>
      <w:pPr>
        <w:pStyle w:val="Heading2"/>
        <w:spacing w:after="120" w:before="280"/>
      </w:pPr>
      <w:r>
        <w:rPr>
          <w:rFonts w:ascii="Calibri" w:cs="Calibri" w:eastAsia="Calibri" w:hAnsi="Calibri"/>
          <w:b/>
          <w:bCs/>
          <w:color w:val="1F2A44"/>
          <w:sz w:val="28"/>
          <w:szCs w:val="28"/>
        </w:rPr>
        <w:t xml:space="preserve">8.2 The single product question</w:t>
      </w:r>
    </w:p>
    <w:p>
      <w:pPr>
        <w:spacing w:after="80" w:before="80" w:line="300"/>
        <w:jc w:val="left"/>
      </w:pPr>
      <w:r>
        <w:rPr>
          <w:rFonts w:ascii="Calibri" w:cs="Calibri" w:eastAsia="Calibri" w:hAnsi="Calibri"/>
          <w:sz w:val="22"/>
          <w:szCs w:val="22"/>
        </w:rPr>
        <w:t xml:space="preserve">Every product, design, and partnership decision is evaluated against one question: does this increase the average number of distinct merchants per active customer wallet? Features that increase wallet density are prioritized. Features that do not are deferred.</w:t>
      </w:r>
    </w:p>
    <w:p>
      <w:pPr>
        <w:pStyle w:val="Heading2"/>
        <w:spacing w:after="120" w:before="280"/>
      </w:pPr>
      <w:r>
        <w:rPr>
          <w:rFonts w:ascii="Calibri" w:cs="Calibri" w:eastAsia="Calibri" w:hAnsi="Calibri"/>
          <w:b/>
          <w:bCs/>
          <w:color w:val="1F2A44"/>
          <w:sz w:val="28"/>
          <w:szCs w:val="28"/>
        </w:rPr>
        <w:t xml:space="preserve">8.3 Mechanisms that increase wallet density</w:t>
      </w:r>
    </w:p>
    <w:p>
      <w:pPr>
        <w:pStyle w:val="ListParagraph"/>
        <w:numPr>
          <w:ilvl w:val="0"/>
          <w:numId w:val="2"/>
        </w:numPr>
        <w:spacing w:after="60" w:before="60" w:line="300"/>
      </w:pPr>
      <w:r>
        <w:rPr>
          <w:rFonts w:ascii="Calibri" w:cs="Calibri" w:eastAsia="Calibri" w:hAnsi="Calibri"/>
          <w:b/>
          <w:bCs/>
          <w:sz w:val="22"/>
          <w:szCs w:val="22"/>
        </w:rPr>
        <w:t xml:space="preserve">Merchant breadth in the same vertical. </w:t>
      </w:r>
      <w:r>
        <w:rPr>
          <w:rFonts w:ascii="Calibri" w:cs="Calibri" w:eastAsia="Calibri" w:hAnsi="Calibri"/>
          <w:sz w:val="22"/>
          <w:szCs w:val="22"/>
        </w:rPr>
        <w:t xml:space="preserve">If a customer shops at three competing coffee retailers, all three should be on Tokento before the next vertical is targeted.</w:t>
      </w:r>
    </w:p>
    <w:p>
      <w:pPr>
        <w:pStyle w:val="ListParagraph"/>
        <w:numPr>
          <w:ilvl w:val="0"/>
          <w:numId w:val="2"/>
        </w:numPr>
        <w:spacing w:after="60" w:before="60" w:line="300"/>
      </w:pPr>
      <w:r>
        <w:rPr>
          <w:rFonts w:ascii="Calibri" w:cs="Calibri" w:eastAsia="Calibri" w:hAnsi="Calibri"/>
          <w:b/>
          <w:bCs/>
          <w:sz w:val="22"/>
          <w:szCs w:val="22"/>
        </w:rPr>
        <w:t xml:space="preserve">Cross-merchant agent recommendations. </w:t>
      </w:r>
      <w:r>
        <w:rPr>
          <w:rFonts w:ascii="Calibri" w:cs="Calibri" w:eastAsia="Calibri" w:hAnsi="Calibri"/>
          <w:sz w:val="22"/>
          <w:szCs w:val="22"/>
        </w:rPr>
        <w:t xml:space="preserve">Agents that surface "you have a $5 token at Merchant A" during a Merchant B search create a discovery loop that increases per-customer engagement with the wallet.</w:t>
      </w:r>
    </w:p>
    <w:p>
      <w:pPr>
        <w:pStyle w:val="ListParagraph"/>
        <w:numPr>
          <w:ilvl w:val="0"/>
          <w:numId w:val="2"/>
        </w:numPr>
        <w:spacing w:after="60" w:before="60" w:line="300"/>
      </w:pPr>
      <w:r>
        <w:rPr>
          <w:rFonts w:ascii="Calibri" w:cs="Calibri" w:eastAsia="Calibri" w:hAnsi="Calibri"/>
          <w:b/>
          <w:bCs/>
          <w:sz w:val="22"/>
          <w:szCs w:val="22"/>
        </w:rPr>
        <w:t xml:space="preserve">Coalition loyalty (v3). </w:t>
      </w:r>
      <w:r>
        <w:rPr>
          <w:rFonts w:ascii="Calibri" w:cs="Calibri" w:eastAsia="Calibri" w:hAnsi="Calibri"/>
          <w:sz w:val="22"/>
          <w:szCs w:val="22"/>
        </w:rPr>
        <w:t xml:space="preserve">Tokens earned at Merchant A redeemable at Merchant B within the Tokento network. Increases per-token value and per-wallet engagement simultaneously.</w:t>
      </w:r>
    </w:p>
    <w:p>
      <w:pPr>
        <w:pStyle w:val="ListParagraph"/>
        <w:numPr>
          <w:ilvl w:val="0"/>
          <w:numId w:val="2"/>
        </w:numPr>
        <w:spacing w:after="60" w:before="60" w:line="300"/>
      </w:pPr>
      <w:r>
        <w:rPr>
          <w:rFonts w:ascii="Calibri" w:cs="Calibri" w:eastAsia="Calibri" w:hAnsi="Calibri"/>
          <w:b/>
          <w:bCs/>
          <w:sz w:val="22"/>
          <w:szCs w:val="22"/>
        </w:rPr>
        <w:t xml:space="preserve">Wallet-as-identity. </w:t>
      </w:r>
      <w:r>
        <w:rPr>
          <w:rFonts w:ascii="Calibri" w:cs="Calibri" w:eastAsia="Calibri" w:hAnsi="Calibri"/>
          <w:sz w:val="22"/>
          <w:szCs w:val="22"/>
        </w:rPr>
        <w:t xml:space="preserve">Over time, the Tokento wallet becomes the canonical place where a customer's agent-presentable value lives. Migration cost approaches infinite.</w:t>
      </w:r>
    </w:p>
    <w:p>
      <w:pPr>
        <w:pStyle w:val="Heading2"/>
        <w:spacing w:after="120" w:before="280"/>
      </w:pPr>
      <w:r>
        <w:rPr>
          <w:rFonts w:ascii="Calibri" w:cs="Calibri" w:eastAsia="Calibri" w:hAnsi="Calibri"/>
          <w:b/>
          <w:bCs/>
          <w:color w:val="1F2A44"/>
          <w:sz w:val="28"/>
          <w:szCs w:val="28"/>
        </w:rPr>
        <w:t xml:space="preserve">8.4 What this means for early-stage strategy</w:t>
      </w:r>
    </w:p>
    <w:p>
      <w:pPr>
        <w:spacing w:after="80" w:before="80" w:line="300"/>
        <w:jc w:val="left"/>
      </w:pPr>
      <w:r>
        <w:rPr>
          <w:rFonts w:ascii="Calibri" w:cs="Calibri" w:eastAsia="Calibri" w:hAnsi="Calibri"/>
          <w:sz w:val="22"/>
          <w:szCs w:val="22"/>
        </w:rPr>
        <w:t xml:space="preserve">Beachhead merchant selection prioritizes verticals with high customer overlap (multiple merchants serving the same buyer) rather than verticals with high individual merchant transaction value. A vertical with five mid-volume merchants that share a customer base is strategically more valuable than one merchant with five times the volume.</w:t>
      </w:r>
    </w:p>
    <w:p>
      <w:pPr>
        <w:pStyle w:val="Heading1"/>
        <w:spacing w:after="160" w:before="360"/>
      </w:pPr>
      <w:r>
        <w:rPr>
          <w:rFonts w:ascii="Calibri" w:cs="Calibri" w:eastAsia="Calibri" w:hAnsi="Calibri"/>
          <w:b/>
          <w:bCs/>
          <w:color w:val="1F2A44"/>
          <w:sz w:val="36"/>
          <w:szCs w:val="36"/>
        </w:rPr>
        <w:t xml:space="preserve">IX. Wallet Bootstrapping</w:t>
      </w:r>
    </w:p>
    <w:p>
      <w:pPr>
        <w:shd w:fill="EAF1F8" w:val="clear"/>
        <w:spacing w:after="120" w:before="120" w:line="300"/>
        <w:ind w:left="200" w:right="200"/>
      </w:pPr>
      <w:r>
        <w:rPr>
          <w:rFonts w:ascii="Calibri" w:cs="Calibri" w:eastAsia="Calibri" w:hAnsi="Calibri"/>
          <w:b/>
          <w:bCs/>
          <w:color w:val="1F2A44"/>
          <w:sz w:val="22"/>
          <w:szCs w:val="22"/>
        </w:rPr>
        <w:t xml:space="preserve">Critical addition to v1.0.  </w:t>
      </w:r>
      <w:r>
        <w:rPr>
          <w:rFonts w:ascii="Calibri" w:cs="Calibri" w:eastAsia="Calibri" w:hAnsi="Calibri"/>
          <w:sz w:val="22"/>
          <w:szCs w:val="22"/>
        </w:rPr>
        <w:t xml:space="preserve">The original spec assumed wallets are created automatically on first mint, but did not specify how a customer's AI agent discovers that a wallet exists. This is the single largest unsolved problem in the original specification. Without a credible bootstrap mechanism, the architecture is academic. This section makes the bootstrap path explicit.</w:t>
      </w:r>
    </w:p>
    <w:p>
      <w:pPr>
        <w:pStyle w:val="Heading2"/>
        <w:spacing w:after="120" w:before="280"/>
      </w:pPr>
      <w:r>
        <w:rPr>
          <w:rFonts w:ascii="Calibri" w:cs="Calibri" w:eastAsia="Calibri" w:hAnsi="Calibri"/>
          <w:b/>
          <w:bCs/>
          <w:color w:val="1F2A44"/>
          <w:sz w:val="28"/>
          <w:szCs w:val="28"/>
        </w:rPr>
        <w:t xml:space="preserve">9.1 The discovery problem</w:t>
      </w:r>
    </w:p>
    <w:p>
      <w:pPr>
        <w:spacing w:after="80" w:before="80" w:line="300"/>
        <w:jc w:val="left"/>
      </w:pPr>
      <w:r>
        <w:rPr>
          <w:rFonts w:ascii="Calibri" w:cs="Calibri" w:eastAsia="Calibri" w:hAnsi="Calibri"/>
          <w:sz w:val="22"/>
          <w:szCs w:val="22"/>
        </w:rPr>
        <w:t xml:space="preserve">A Tokento wallet is useless if the customer's AI agent does not know it exists. The agent must, at some point, be granted access (via OAuth 2.0 bearer token) to query the wallet on the customer's behalf. There is no organic mechanism by which this happens. Tokento must design the trigger.</w:t>
      </w:r>
    </w:p>
    <w:p>
      <w:pPr>
        <w:pStyle w:val="Heading2"/>
        <w:spacing w:after="120" w:before="280"/>
      </w:pPr>
      <w:r>
        <w:rPr>
          <w:rFonts w:ascii="Calibri" w:cs="Calibri" w:eastAsia="Calibri" w:hAnsi="Calibri"/>
          <w:b/>
          <w:bCs/>
          <w:color w:val="1F2A44"/>
          <w:sz w:val="28"/>
          <w:szCs w:val="28"/>
        </w:rPr>
        <w:t xml:space="preserve">9.2 Three candidate bootstrap mechanisms</w:t>
      </w:r>
    </w:p>
    <w:p>
      <w:pPr>
        <w:pStyle w:val="ListParagraph"/>
        <w:numPr>
          <w:ilvl w:val="0"/>
          <w:numId w:val="2"/>
        </w:numPr>
        <w:spacing w:after="60" w:before="60" w:line="300"/>
      </w:pPr>
      <w:r>
        <w:rPr>
          <w:rFonts w:ascii="Calibri" w:cs="Calibri" w:eastAsia="Calibri" w:hAnsi="Calibri"/>
          <w:b/>
          <w:bCs/>
          <w:sz w:val="22"/>
          <w:szCs w:val="22"/>
        </w:rPr>
        <w:t xml:space="preserve">Mechanism 1. Merchant checkout handoff. </w:t>
      </w:r>
      <w:r>
        <w:rPr>
          <w:rFonts w:ascii="Calibri" w:cs="Calibri" w:eastAsia="Calibri" w:hAnsi="Calibri"/>
          <w:sz w:val="22"/>
          <w:szCs w:val="22"/>
        </w:rPr>
        <w:t xml:space="preserve">When a customer checks out at a Tokento merchant via a human flow, the order confirmation page surfaces a one-tap prompt: 'Connect your AI shopping assistant so your rewards apply automatically next time.' One tap grants OAuth to the user's selected agent. This is the highest-conversion path because the user has just transacted and has fresh context on the merchant's loyalty program.</w:t>
      </w:r>
    </w:p>
    <w:p>
      <w:pPr>
        <w:pStyle w:val="ListParagraph"/>
        <w:numPr>
          <w:ilvl w:val="0"/>
          <w:numId w:val="2"/>
        </w:numPr>
        <w:spacing w:after="60" w:before="60" w:line="300"/>
      </w:pPr>
      <w:r>
        <w:rPr>
          <w:rFonts w:ascii="Calibri" w:cs="Calibri" w:eastAsia="Calibri" w:hAnsi="Calibri"/>
          <w:b/>
          <w:bCs/>
          <w:sz w:val="22"/>
          <w:szCs w:val="22"/>
        </w:rPr>
        <w:t xml:space="preserve">Mechanism 2. Agent platform integration. </w:t>
      </w:r>
      <w:r>
        <w:rPr>
          <w:rFonts w:ascii="Calibri" w:cs="Calibri" w:eastAsia="Calibri" w:hAnsi="Calibri"/>
          <w:sz w:val="22"/>
          <w:szCs w:val="22"/>
        </w:rPr>
        <w:t xml:space="preserve">Claude, ChatGPT, Perplexity, and similar agents expose a data sources or connectors panel. Tokento ships an integration listed in each. Lower-effort for Tokento (build once per platform) but lower discoverability for the average user.</w:t>
      </w:r>
    </w:p>
    <w:p>
      <w:pPr>
        <w:pStyle w:val="ListParagraph"/>
        <w:numPr>
          <w:ilvl w:val="0"/>
          <w:numId w:val="2"/>
        </w:numPr>
        <w:spacing w:after="60" w:before="60" w:line="300"/>
      </w:pPr>
      <w:r>
        <w:rPr>
          <w:rFonts w:ascii="Calibri" w:cs="Calibri" w:eastAsia="Calibri" w:hAnsi="Calibri"/>
          <w:b/>
          <w:bCs/>
          <w:sz w:val="22"/>
          <w:szCs w:val="22"/>
        </w:rPr>
        <w:t xml:space="preserve">Mechanism 3. Payment network signaling. </w:t>
      </w:r>
      <w:r>
        <w:rPr>
          <w:rFonts w:ascii="Calibri" w:cs="Calibri" w:eastAsia="Calibri" w:hAnsi="Calibri"/>
          <w:sz w:val="22"/>
          <w:szCs w:val="22"/>
        </w:rPr>
        <w:t xml:space="preserve">When a user pays with PayPal in an agent-mediated transaction, PayPal surfaces 'this user has a Tokento wallet' as a discoverable signal to the agent. Requires PayPal partnership. Highest leverage of the three. Direct to be explored as part of the PayPal founding-team channel.</w:t>
      </w:r>
    </w:p>
    <w:p>
      <w:pPr>
        <w:pStyle w:val="Heading2"/>
        <w:spacing w:after="120" w:before="280"/>
      </w:pPr>
      <w:r>
        <w:rPr>
          <w:rFonts w:ascii="Calibri" w:cs="Calibri" w:eastAsia="Calibri" w:hAnsi="Calibri"/>
          <w:b/>
          <w:bCs/>
          <w:color w:val="1F2A44"/>
          <w:sz w:val="28"/>
          <w:szCs w:val="28"/>
        </w:rPr>
        <w:t xml:space="preserve">9.3 Recommended sequencing</w:t>
      </w:r>
    </w:p>
    <w:p>
      <w:pPr>
        <w:pStyle w:val="ListParagraph"/>
        <w:numPr>
          <w:ilvl w:val="0"/>
          <w:numId w:val="2"/>
        </w:numPr>
        <w:spacing w:after="60" w:before="60" w:line="300"/>
      </w:pPr>
      <w:r>
        <w:rPr>
          <w:rFonts w:ascii="Calibri" w:cs="Calibri" w:eastAsia="Calibri" w:hAnsi="Calibri"/>
          <w:b/>
          <w:bCs/>
          <w:sz w:val="22"/>
          <w:szCs w:val="22"/>
        </w:rPr>
        <w:t xml:space="preserve">MVP. </w:t>
      </w:r>
      <w:r>
        <w:rPr>
          <w:rFonts w:ascii="Calibri" w:cs="Calibri" w:eastAsia="Calibri" w:hAnsi="Calibri"/>
          <w:sz w:val="22"/>
          <w:szCs w:val="22"/>
        </w:rPr>
        <w:t xml:space="preserve">Mechanism 1 only. Merchant checkout handoff. The design-partner merchant integrates a Tokento-provided checkout-page widget. Initial wallet population happens through human transactions; agent activation follows.</w:t>
      </w:r>
    </w:p>
    <w:p>
      <w:pPr>
        <w:pStyle w:val="ListParagraph"/>
        <w:numPr>
          <w:ilvl w:val="0"/>
          <w:numId w:val="2"/>
        </w:numPr>
        <w:spacing w:after="60" w:before="60" w:line="300"/>
      </w:pPr>
      <w:r>
        <w:rPr>
          <w:rFonts w:ascii="Calibri" w:cs="Calibri" w:eastAsia="Calibri" w:hAnsi="Calibri"/>
          <w:b/>
          <w:bCs/>
          <w:sz w:val="22"/>
          <w:szCs w:val="22"/>
        </w:rPr>
        <w:t xml:space="preserve">Phase 2. </w:t>
      </w:r>
      <w:r>
        <w:rPr>
          <w:rFonts w:ascii="Calibri" w:cs="Calibri" w:eastAsia="Calibri" w:hAnsi="Calibri"/>
          <w:sz w:val="22"/>
          <w:szCs w:val="22"/>
        </w:rPr>
        <w:t xml:space="preserve">Mechanism 2. Ship Claude and ChatGPT integrations as listed connectors.</w:t>
      </w:r>
    </w:p>
    <w:p>
      <w:pPr>
        <w:pStyle w:val="ListParagraph"/>
        <w:numPr>
          <w:ilvl w:val="0"/>
          <w:numId w:val="2"/>
        </w:numPr>
        <w:spacing w:after="60" w:before="60" w:line="300"/>
      </w:pPr>
      <w:r>
        <w:rPr>
          <w:rFonts w:ascii="Calibri" w:cs="Calibri" w:eastAsia="Calibri" w:hAnsi="Calibri"/>
          <w:b/>
          <w:bCs/>
          <w:sz w:val="22"/>
          <w:szCs w:val="22"/>
        </w:rPr>
        <w:t xml:space="preserve">Phase 3. </w:t>
      </w:r>
      <w:r>
        <w:rPr>
          <w:rFonts w:ascii="Calibri" w:cs="Calibri" w:eastAsia="Calibri" w:hAnsi="Calibri"/>
          <w:sz w:val="22"/>
          <w:szCs w:val="22"/>
        </w:rPr>
        <w:t xml:space="preserve">Mechanism 3, contingent on PayPal partnership materializing. This is the asymmetric upside scenario.</w:t>
      </w:r>
    </w:p>
    <w:p>
      <w:pPr>
        <w:shd w:fill="EAF1F8" w:val="clear"/>
        <w:spacing w:after="120" w:before="120" w:line="300"/>
        <w:ind w:left="200" w:right="200"/>
      </w:pPr>
      <w:r>
        <w:rPr>
          <w:rFonts w:ascii="Calibri" w:cs="Calibri" w:eastAsia="Calibri" w:hAnsi="Calibri"/>
          <w:b/>
          <w:bCs/>
          <w:color w:val="1F2A44"/>
          <w:sz w:val="22"/>
          <w:szCs w:val="22"/>
        </w:rPr>
        <w:t xml:space="preserve">Founding-team decision required.  </w:t>
      </w:r>
      <w:r>
        <w:rPr>
          <w:rFonts w:ascii="Calibri" w:cs="Calibri" w:eastAsia="Calibri" w:hAnsi="Calibri"/>
          <w:sz w:val="22"/>
          <w:szCs w:val="22"/>
        </w:rPr>
        <w:t xml:space="preserve">Section XV defines an explicit gate: which bootstrap mechanism is committed to before MVP construction. The answer must be one of the three above, not a deferred decision.</w:t>
      </w:r>
    </w:p>
    <w:p>
      <w:pPr>
        <w:pStyle w:val="Heading1"/>
        <w:spacing w:after="160" w:before="360"/>
      </w:pPr>
      <w:r>
        <w:rPr>
          <w:rFonts w:ascii="Calibri" w:cs="Calibri" w:eastAsia="Calibri" w:hAnsi="Calibri"/>
          <w:b/>
          <w:bCs/>
          <w:color w:val="1F2A44"/>
          <w:sz w:val="36"/>
          <w:szCs w:val="36"/>
        </w:rPr>
        <w:t xml:space="preserve">X. Merchant Integration Model</w:t>
      </w:r>
    </w:p>
    <w:p>
      <w:pPr>
        <w:shd w:fill="EAF1F8" w:val="clear"/>
        <w:spacing w:after="120" w:before="120" w:line="300"/>
        <w:ind w:left="200" w:right="200"/>
      </w:pPr>
      <w:r>
        <w:rPr>
          <w:rFonts w:ascii="Calibri" w:cs="Calibri" w:eastAsia="Calibri" w:hAnsi="Calibri"/>
          <w:b/>
          <w:bCs/>
          <w:color w:val="1F2A44"/>
          <w:sz w:val="22"/>
          <w:szCs w:val="22"/>
        </w:rPr>
        <w:t xml:space="preserve">Critical addition to v1.0.  </w:t>
      </w:r>
      <w:r>
        <w:rPr>
          <w:rFonts w:ascii="Calibri" w:cs="Calibri" w:eastAsia="Calibri" w:hAnsi="Calibri"/>
          <w:sz w:val="22"/>
          <w:szCs w:val="22"/>
        </w:rPr>
        <w:t xml:space="preserve">The original spec implied that merchant integration is a single API call. This understates the actual integration depth required and sets unrealistic expectations for sales and onboarding.</w:t>
      </w:r>
    </w:p>
    <w:p>
      <w:pPr>
        <w:pStyle w:val="Heading2"/>
        <w:spacing w:after="120" w:before="280"/>
      </w:pPr>
      <w:r>
        <w:rPr>
          <w:rFonts w:ascii="Calibri" w:cs="Calibri" w:eastAsia="Calibri" w:hAnsi="Calibri"/>
          <w:b/>
          <w:bCs/>
          <w:color w:val="1F2A44"/>
          <w:sz w:val="28"/>
          <w:szCs w:val="28"/>
        </w:rPr>
        <w:t xml:space="preserve">10.1 What integration actually requires</w:t>
      </w:r>
    </w:p>
    <w:p>
      <w:pPr>
        <w:spacing w:after="80" w:before="80" w:line="300"/>
        <w:jc w:val="left"/>
      </w:pPr>
      <w:r>
        <w:rPr>
          <w:rFonts w:ascii="Calibri" w:cs="Calibri" w:eastAsia="Calibri" w:hAnsi="Calibri"/>
          <w:sz w:val="22"/>
          <w:szCs w:val="22"/>
        </w:rPr>
        <w:t xml:space="preserve">A real merchant integration touches more than the mint endpoint. The full surface includes:</w:t>
      </w:r>
    </w:p>
    <w:p>
      <w:pPr>
        <w:pStyle w:val="ListParagraph"/>
        <w:numPr>
          <w:ilvl w:val="0"/>
          <w:numId w:val="2"/>
        </w:numPr>
        <w:spacing w:after="60" w:before="60" w:line="300"/>
      </w:pPr>
      <w:r>
        <w:rPr>
          <w:rFonts w:ascii="Calibri" w:cs="Calibri" w:eastAsia="Calibri" w:hAnsi="Calibri"/>
          <w:sz w:val="22"/>
          <w:szCs w:val="22"/>
        </w:rPr>
        <w:t xml:space="preserve">Mint integration. The merchant's transaction processing system calls POST /tokens/mint at the right moment in the order flow.</w:t>
      </w:r>
    </w:p>
    <w:p>
      <w:pPr>
        <w:pStyle w:val="ListParagraph"/>
        <w:numPr>
          <w:ilvl w:val="0"/>
          <w:numId w:val="2"/>
        </w:numPr>
        <w:spacing w:after="60" w:before="60" w:line="300"/>
      </w:pPr>
      <w:r>
        <w:rPr>
          <w:rFonts w:ascii="Calibri" w:cs="Calibri" w:eastAsia="Calibri" w:hAnsi="Calibri"/>
          <w:sz w:val="22"/>
          <w:szCs w:val="22"/>
        </w:rPr>
        <w:t xml:space="preserve">Checkout-page widget. The customer-facing checkout flow surfaces the wallet-handoff prompt described in Section IX.</w:t>
      </w:r>
    </w:p>
    <w:p>
      <w:pPr>
        <w:pStyle w:val="ListParagraph"/>
        <w:numPr>
          <w:ilvl w:val="0"/>
          <w:numId w:val="2"/>
        </w:numPr>
        <w:spacing w:after="60" w:before="60" w:line="300"/>
      </w:pPr>
      <w:r>
        <w:rPr>
          <w:rFonts w:ascii="Calibri" w:cs="Calibri" w:eastAsia="Calibri" w:hAnsi="Calibri"/>
          <w:sz w:val="22"/>
          <w:szCs w:val="22"/>
        </w:rPr>
        <w:t xml:space="preserve">Returns reconciliation. When a customer returns an item that earned a token, that token must be revoked or adjusted. The merchant's returns flow needs hooks into Tokento.</w:t>
      </w:r>
    </w:p>
    <w:p>
      <w:pPr>
        <w:pStyle w:val="ListParagraph"/>
        <w:numPr>
          <w:ilvl w:val="0"/>
          <w:numId w:val="2"/>
        </w:numPr>
        <w:spacing w:after="60" w:before="60" w:line="300"/>
      </w:pPr>
      <w:r>
        <w:rPr>
          <w:rFonts w:ascii="Calibri" w:cs="Calibri" w:eastAsia="Calibri" w:hAnsi="Calibri"/>
          <w:sz w:val="22"/>
          <w:szCs w:val="22"/>
        </w:rPr>
        <w:t xml:space="preserve">Existing-loyalty migration. Many merchants have existing loyalty balances. Migration tooling, even basic, is required to move balances into Tokento wallets.</w:t>
      </w:r>
    </w:p>
    <w:p>
      <w:pPr>
        <w:pStyle w:val="ListParagraph"/>
        <w:numPr>
          <w:ilvl w:val="0"/>
          <w:numId w:val="2"/>
        </w:numPr>
        <w:spacing w:after="60" w:before="60" w:line="300"/>
      </w:pPr>
      <w:r>
        <w:rPr>
          <w:rFonts w:ascii="Calibri" w:cs="Calibri" w:eastAsia="Calibri" w:hAnsi="Calibri"/>
          <w:sz w:val="22"/>
          <w:szCs w:val="22"/>
        </w:rPr>
        <w:t xml:space="preserve">Order-confirmation surface. The merchant's order confirmation page or email shows the token that was minted, building customer awareness.</w:t>
      </w:r>
    </w:p>
    <w:p>
      <w:pPr>
        <w:spacing w:after="80" w:before="80" w:line="300"/>
        <w:jc w:val="left"/>
      </w:pPr>
      <w:r>
        <w:rPr>
          <w:rFonts w:ascii="Calibri" w:cs="Calibri" w:eastAsia="Calibri" w:hAnsi="Calibri"/>
          <w:sz w:val="22"/>
          <w:szCs w:val="22"/>
        </w:rPr>
        <w:t xml:space="preserve">A merchant integration is realistically 4 to 8 weeks of engineering work on the merchant side. The original spec's framing of "register and issue a test token within 10 minutes" is true only for the API itself, not for a production-ready integration.</w:t>
      </w:r>
    </w:p>
    <w:p>
      <w:pPr>
        <w:pStyle w:val="Heading2"/>
        <w:spacing w:after="120" w:before="280"/>
      </w:pPr>
      <w:r>
        <w:rPr>
          <w:rFonts w:ascii="Calibri" w:cs="Calibri" w:eastAsia="Calibri" w:hAnsi="Calibri"/>
          <w:b/>
          <w:bCs/>
          <w:color w:val="1F2A44"/>
          <w:sz w:val="28"/>
          <w:szCs w:val="28"/>
        </w:rPr>
        <w:t xml:space="preserve">10.2 Tokento Connect: managed integration tier</w:t>
      </w:r>
    </w:p>
    <w:p>
      <w:pPr>
        <w:spacing w:after="80" w:before="80" w:line="300"/>
        <w:jc w:val="left"/>
      </w:pPr>
      <w:r>
        <w:rPr>
          <w:rFonts w:ascii="Calibri" w:cs="Calibri" w:eastAsia="Calibri" w:hAnsi="Calibri"/>
          <w:sz w:val="22"/>
          <w:szCs w:val="22"/>
        </w:rPr>
        <w:t xml:space="preserve">For the first 10 design-partner merchants, Tokento offers a managed integration service: Tokento engineers perform the integration work directly. The merchant provides API access and product-team availability. This trades short-term operational load on Tokento for two strategic benefits: dramatically shorter time-to-first-redemption, and intimate product feedback from real integrations.</w:t>
      </w:r>
    </w:p>
    <w:p>
      <w:pPr>
        <w:pStyle w:val="ListParagraph"/>
        <w:numPr>
          <w:ilvl w:val="0"/>
          <w:numId w:val="2"/>
        </w:numPr>
        <w:spacing w:after="60" w:before="60" w:line="300"/>
      </w:pPr>
      <w:r>
        <w:rPr>
          <w:rFonts w:ascii="Calibri" w:cs="Calibri" w:eastAsia="Calibri" w:hAnsi="Calibri"/>
          <w:b/>
          <w:bCs/>
          <w:sz w:val="22"/>
          <w:szCs w:val="22"/>
        </w:rPr>
        <w:t xml:space="preserve">Scope. </w:t>
      </w:r>
      <w:r>
        <w:rPr>
          <w:rFonts w:ascii="Calibri" w:cs="Calibri" w:eastAsia="Calibri" w:hAnsi="Calibri"/>
          <w:sz w:val="22"/>
          <w:szCs w:val="22"/>
        </w:rPr>
        <w:t xml:space="preserve">Mint, checkout widget, returns hook, basic migration.</w:t>
      </w:r>
    </w:p>
    <w:p>
      <w:pPr>
        <w:pStyle w:val="ListParagraph"/>
        <w:numPr>
          <w:ilvl w:val="0"/>
          <w:numId w:val="2"/>
        </w:numPr>
        <w:spacing w:after="60" w:before="60" w:line="300"/>
      </w:pPr>
      <w:r>
        <w:rPr>
          <w:rFonts w:ascii="Calibri" w:cs="Calibri" w:eastAsia="Calibri" w:hAnsi="Calibri"/>
          <w:b/>
          <w:bCs/>
          <w:sz w:val="22"/>
          <w:szCs w:val="22"/>
        </w:rPr>
        <w:t xml:space="preserve">Cost. </w:t>
      </w:r>
      <w:r>
        <w:rPr>
          <w:rFonts w:ascii="Calibri" w:cs="Calibri" w:eastAsia="Calibri" w:hAnsi="Calibri"/>
          <w:sz w:val="22"/>
          <w:szCs w:val="22"/>
        </w:rPr>
        <w:t xml:space="preserve">Free for first 10 design partners. Optional paid tier post-MVP for merchants beyond the design cohort.</w:t>
      </w:r>
    </w:p>
    <w:p>
      <w:pPr>
        <w:pStyle w:val="ListParagraph"/>
        <w:numPr>
          <w:ilvl w:val="0"/>
          <w:numId w:val="2"/>
        </w:numPr>
        <w:spacing w:after="60" w:before="60" w:line="300"/>
      </w:pPr>
      <w:r>
        <w:rPr>
          <w:rFonts w:ascii="Calibri" w:cs="Calibri" w:eastAsia="Calibri" w:hAnsi="Calibri"/>
          <w:b/>
          <w:bCs/>
          <w:sz w:val="22"/>
          <w:szCs w:val="22"/>
        </w:rPr>
        <w:t xml:space="preserve">Outcome. </w:t>
      </w:r>
      <w:r>
        <w:rPr>
          <w:rFonts w:ascii="Calibri" w:cs="Calibri" w:eastAsia="Calibri" w:hAnsi="Calibri"/>
          <w:sz w:val="22"/>
          <w:szCs w:val="22"/>
        </w:rPr>
        <w:t xml:space="preserve">First design partner live in production within 8 to 10 weeks, instead of 4 to 6 months of merchant-side engineering.</w:t>
      </w:r>
    </w:p>
    <w:p>
      <w:pPr>
        <w:pStyle w:val="Heading2"/>
        <w:spacing w:after="120" w:before="280"/>
      </w:pPr>
      <w:r>
        <w:rPr>
          <w:rFonts w:ascii="Calibri" w:cs="Calibri" w:eastAsia="Calibri" w:hAnsi="Calibri"/>
          <w:b/>
          <w:bCs/>
          <w:color w:val="1F2A44"/>
          <w:sz w:val="28"/>
          <w:szCs w:val="28"/>
        </w:rPr>
        <w:t xml:space="preserve">10.3 Self-serve integration (v2)</w:t>
      </w:r>
    </w:p>
    <w:p>
      <w:pPr>
        <w:spacing w:after="80" w:before="80" w:line="300"/>
        <w:jc w:val="left"/>
      </w:pPr>
      <w:r>
        <w:rPr>
          <w:rFonts w:ascii="Calibri" w:cs="Calibri" w:eastAsia="Calibri" w:hAnsi="Calibri"/>
          <w:sz w:val="22"/>
          <w:szCs w:val="22"/>
        </w:rPr>
        <w:t xml:space="preserve">After 10 managed integrations, the product is mature enough to ship a self-serve integration toolkit: SDK, embeddable checkout widget, sandbox environment, documentation, and reference implementations. The managed tier remains available for enterprise merchants who want it.</w:t>
      </w:r>
    </w:p>
    <w:p>
      <w:pPr>
        <w:pStyle w:val="Heading1"/>
        <w:spacing w:after="160" w:before="360"/>
      </w:pPr>
      <w:r>
        <w:rPr>
          <w:rFonts w:ascii="Calibri" w:cs="Calibri" w:eastAsia="Calibri" w:hAnsi="Calibri"/>
          <w:b/>
          <w:bCs/>
          <w:color w:val="1F2A44"/>
          <w:sz w:val="36"/>
          <w:szCs w:val="36"/>
        </w:rPr>
        <w:t xml:space="preserve">XI. Agent-Side Economics</w:t>
      </w:r>
    </w:p>
    <w:p>
      <w:pPr>
        <w:shd w:fill="EAF1F8" w:val="clear"/>
        <w:spacing w:after="120" w:before="120" w:line="300"/>
        <w:ind w:left="200" w:right="200"/>
      </w:pPr>
      <w:r>
        <w:rPr>
          <w:rFonts w:ascii="Calibri" w:cs="Calibri" w:eastAsia="Calibri" w:hAnsi="Calibri"/>
          <w:b/>
          <w:bCs/>
          <w:color w:val="1F2A44"/>
          <w:sz w:val="22"/>
          <w:szCs w:val="22"/>
        </w:rPr>
        <w:t xml:space="preserve">Critical addition to v1.0.  </w:t>
      </w:r>
      <w:r>
        <w:rPr>
          <w:rFonts w:ascii="Calibri" w:cs="Calibri" w:eastAsia="Calibri" w:hAnsi="Calibri"/>
          <w:sz w:val="22"/>
          <w:szCs w:val="22"/>
        </w:rPr>
        <w:t xml:space="preserve">The original spec did not articulate why AI agents will integrate the TQI. Agents do not query Tokento out of charity. There must be a clear incentive structure that makes integration the rational choice for the agent operator.</w:t>
      </w:r>
    </w:p>
    <w:p>
      <w:pPr>
        <w:pStyle w:val="Heading2"/>
        <w:spacing w:after="120" w:before="280"/>
      </w:pPr>
      <w:r>
        <w:rPr>
          <w:rFonts w:ascii="Calibri" w:cs="Calibri" w:eastAsia="Calibri" w:hAnsi="Calibri"/>
          <w:b/>
          <w:bCs/>
          <w:color w:val="1F2A44"/>
          <w:sz w:val="28"/>
          <w:szCs w:val="28"/>
        </w:rPr>
        <w:t xml:space="preserve">11.1 Three candidate incentive models</w:t>
      </w:r>
    </w:p>
    <w:p>
      <w:pPr>
        <w:pStyle w:val="ListParagraph"/>
        <w:numPr>
          <w:ilvl w:val="0"/>
          <w:numId w:val="2"/>
        </w:numPr>
        <w:spacing w:after="60" w:before="60" w:line="300"/>
      </w:pPr>
      <w:r>
        <w:rPr>
          <w:rFonts w:ascii="Calibri" w:cs="Calibri" w:eastAsia="Calibri" w:hAnsi="Calibri"/>
          <w:b/>
          <w:bCs/>
          <w:sz w:val="22"/>
          <w:szCs w:val="22"/>
        </w:rPr>
        <w:t xml:space="preserve">Model A. User-driven demand. </w:t>
      </w:r>
      <w:r>
        <w:rPr>
          <w:rFonts w:ascii="Calibri" w:cs="Calibri" w:eastAsia="Calibri" w:hAnsi="Calibri"/>
          <w:sz w:val="22"/>
          <w:szCs w:val="22"/>
        </w:rPr>
        <w:t xml:space="preserve">Users tell their agent "find me the best price." Agents that apply Tokento tokens deliver lower prices than agents that do not. Competition among agents creates pull. Strongest model long-term, weakest at MVP because users have not yet learned to expect this.</w:t>
      </w:r>
    </w:p>
    <w:p>
      <w:pPr>
        <w:pStyle w:val="ListParagraph"/>
        <w:numPr>
          <w:ilvl w:val="0"/>
          <w:numId w:val="2"/>
        </w:numPr>
        <w:spacing w:after="60" w:before="60" w:line="300"/>
      </w:pPr>
      <w:r>
        <w:rPr>
          <w:rFonts w:ascii="Calibri" w:cs="Calibri" w:eastAsia="Calibri" w:hAnsi="Calibri"/>
          <w:b/>
          <w:bCs/>
          <w:sz w:val="22"/>
          <w:szCs w:val="22"/>
        </w:rPr>
        <w:t xml:space="preserve">Model B. Agent platform revenue share. </w:t>
      </w:r>
      <w:r>
        <w:rPr>
          <w:rFonts w:ascii="Calibri" w:cs="Calibri" w:eastAsia="Calibri" w:hAnsi="Calibri"/>
          <w:sz w:val="22"/>
          <w:szCs w:val="22"/>
        </w:rPr>
        <w:t xml:space="preserve">Tokento shares a portion of interchange revenue with the agent platform per redemption. Creates direct financial incentive for agents to query Tokento before checkout. Cleanest model for early traction.</w:t>
      </w:r>
    </w:p>
    <w:p>
      <w:pPr>
        <w:pStyle w:val="ListParagraph"/>
        <w:numPr>
          <w:ilvl w:val="0"/>
          <w:numId w:val="2"/>
        </w:numPr>
        <w:spacing w:after="60" w:before="60" w:line="300"/>
      </w:pPr>
      <w:r>
        <w:rPr>
          <w:rFonts w:ascii="Calibri" w:cs="Calibri" w:eastAsia="Calibri" w:hAnsi="Calibri"/>
          <w:b/>
          <w:bCs/>
          <w:sz w:val="22"/>
          <w:szCs w:val="22"/>
        </w:rPr>
        <w:t xml:space="preserve">Model C. Merchant-funded agent rebates. </w:t>
      </w:r>
      <w:r>
        <w:rPr>
          <w:rFonts w:ascii="Calibri" w:cs="Calibri" w:eastAsia="Calibri" w:hAnsi="Calibri"/>
          <w:sz w:val="22"/>
          <w:szCs w:val="22"/>
        </w:rPr>
        <w:t xml:space="preserve">Merchants fund a small additional fee on redemptions specifically as an agent acquisition incentive. Most flexible but creates pricing complexity.</w:t>
      </w:r>
    </w:p>
    <w:p>
      <w:pPr>
        <w:pStyle w:val="Heading2"/>
        <w:spacing w:after="120" w:before="280"/>
      </w:pPr>
      <w:r>
        <w:rPr>
          <w:rFonts w:ascii="Calibri" w:cs="Calibri" w:eastAsia="Calibri" w:hAnsi="Calibri"/>
          <w:b/>
          <w:bCs/>
          <w:color w:val="1F2A44"/>
          <w:sz w:val="28"/>
          <w:szCs w:val="28"/>
        </w:rPr>
        <w:t xml:space="preserve">11.2 Recommended approach for MVP and beyond</w:t>
      </w:r>
    </w:p>
    <w:p>
      <w:pPr>
        <w:pStyle w:val="ListParagraph"/>
        <w:numPr>
          <w:ilvl w:val="0"/>
          <w:numId w:val="2"/>
        </w:numPr>
        <w:spacing w:after="60" w:before="60" w:line="300"/>
      </w:pPr>
      <w:r>
        <w:rPr>
          <w:rFonts w:ascii="Calibri" w:cs="Calibri" w:eastAsia="Calibri" w:hAnsi="Calibri"/>
          <w:b/>
          <w:bCs/>
          <w:sz w:val="22"/>
          <w:szCs w:val="22"/>
        </w:rPr>
        <w:t xml:space="preserve">MVP. </w:t>
      </w:r>
      <w:r>
        <w:rPr>
          <w:rFonts w:ascii="Calibri" w:cs="Calibri" w:eastAsia="Calibri" w:hAnsi="Calibri"/>
          <w:sz w:val="22"/>
          <w:szCs w:val="22"/>
        </w:rPr>
        <w:t xml:space="preserve">Model A only. Direct MCP integrations with Claude and ChatGPT. No revenue share. Agents call TQI because the user wants it, and because Tokento integrations are easy and well-documented.</w:t>
      </w:r>
    </w:p>
    <w:p>
      <w:pPr>
        <w:pStyle w:val="ListParagraph"/>
        <w:numPr>
          <w:ilvl w:val="0"/>
          <w:numId w:val="2"/>
        </w:numPr>
        <w:spacing w:after="60" w:before="60" w:line="300"/>
      </w:pPr>
      <w:r>
        <w:rPr>
          <w:rFonts w:ascii="Calibri" w:cs="Calibri" w:eastAsia="Calibri" w:hAnsi="Calibri"/>
          <w:b/>
          <w:bCs/>
          <w:sz w:val="22"/>
          <w:szCs w:val="22"/>
        </w:rPr>
        <w:t xml:space="preserve">Phase 2. </w:t>
      </w:r>
      <w:r>
        <w:rPr>
          <w:rFonts w:ascii="Calibri" w:cs="Calibri" w:eastAsia="Calibri" w:hAnsi="Calibri"/>
          <w:sz w:val="22"/>
          <w:szCs w:val="22"/>
        </w:rPr>
        <w:t xml:space="preserve">Layer Model B on top. Once at least three merchants are paying for Tokento and redemption volume is real, negotiate revenue share with at least one agent platform to accelerate integration.</w:t>
      </w:r>
    </w:p>
    <w:p>
      <w:pPr>
        <w:pStyle w:val="ListParagraph"/>
        <w:numPr>
          <w:ilvl w:val="0"/>
          <w:numId w:val="2"/>
        </w:numPr>
        <w:spacing w:after="60" w:before="60" w:line="300"/>
      </w:pPr>
      <w:r>
        <w:rPr>
          <w:rFonts w:ascii="Calibri" w:cs="Calibri" w:eastAsia="Calibri" w:hAnsi="Calibri"/>
          <w:b/>
          <w:bCs/>
          <w:sz w:val="22"/>
          <w:szCs w:val="22"/>
        </w:rPr>
        <w:t xml:space="preserve">Phase 3. </w:t>
      </w:r>
      <w:r>
        <w:rPr>
          <w:rFonts w:ascii="Calibri" w:cs="Calibri" w:eastAsia="Calibri" w:hAnsi="Calibri"/>
          <w:sz w:val="22"/>
          <w:szCs w:val="22"/>
        </w:rPr>
        <w:t xml:space="preserve">Model C as an optional merchant tier for those who want preferred agent placement.</w:t>
      </w:r>
    </w:p>
    <w:p>
      <w:pPr>
        <w:pStyle w:val="Heading2"/>
        <w:spacing w:after="120" w:before="280"/>
      </w:pPr>
      <w:r>
        <w:rPr>
          <w:rFonts w:ascii="Calibri" w:cs="Calibri" w:eastAsia="Calibri" w:hAnsi="Calibri"/>
          <w:b/>
          <w:bCs/>
          <w:color w:val="1F2A44"/>
          <w:sz w:val="28"/>
          <w:szCs w:val="28"/>
        </w:rPr>
        <w:t xml:space="preserve">11.3 Why this matters for fundraising and storytelling</w:t>
      </w:r>
    </w:p>
    <w:p>
      <w:pPr>
        <w:spacing w:after="80" w:before="80" w:line="300"/>
        <w:jc w:val="left"/>
      </w:pPr>
      <w:r>
        <w:rPr>
          <w:rFonts w:ascii="Calibri" w:cs="Calibri" w:eastAsia="Calibri" w:hAnsi="Calibri"/>
          <w:sz w:val="22"/>
          <w:szCs w:val="22"/>
        </w:rPr>
        <w:t xml:space="preserve">The absence of an agent-economics model in v1.0 is a credibility gap with investors. A serious infrastructure thesis must explain why every participant in the system has a rational reason to integrate. Section XI exists specifically to close that gap.</w:t>
      </w:r>
    </w:p>
    <w:p>
      <w:pPr>
        <w:pStyle w:val="Heading1"/>
        <w:spacing w:after="160" w:before="360"/>
      </w:pPr>
      <w:r>
        <w:rPr>
          <w:rFonts w:ascii="Calibri" w:cs="Calibri" w:eastAsia="Calibri" w:hAnsi="Calibri"/>
          <w:b/>
          <w:bCs/>
          <w:color w:val="1F2A44"/>
          <w:sz w:val="36"/>
          <w:szCs w:val="36"/>
        </w:rPr>
        <w:t xml:space="preserve">XII. Recommended Build Stack</w:t>
      </w:r>
    </w:p>
    <w:p>
      <w:pPr>
        <w:pStyle w:val="Heading2"/>
        <w:spacing w:after="120" w:before="280"/>
      </w:pPr>
      <w:r>
        <w:rPr>
          <w:rFonts w:ascii="Calibri" w:cs="Calibri" w:eastAsia="Calibri" w:hAnsi="Calibri"/>
          <w:b/>
          <w:bCs/>
          <w:color w:val="1F2A44"/>
          <w:sz w:val="28"/>
          <w:szCs w:val="28"/>
        </w:rPr>
        <w:t xml:space="preserve">12.1 Build vs. buy posture</w:t>
      </w:r>
    </w:p>
    <w:p>
      <w:pPr>
        <w:spacing w:after="80" w:before="80" w:line="300"/>
        <w:jc w:val="left"/>
      </w:pPr>
      <w:r>
        <w:rPr>
          <w:rFonts w:ascii="Calibri" w:cs="Calibri" w:eastAsia="Calibri" w:hAnsi="Calibri"/>
          <w:sz w:val="22"/>
          <w:szCs w:val="22"/>
        </w:rPr>
        <w:t xml:space="preserve">Tokento's core differentiation lives in three places: the token issuance logic, the TQI semantics, and the wallet-density strategy. Everything else (ledger accounting, authentication, MCP hosting, settlement rails, fraud) is composed from best-in-class third-party primitives. This compresses the MVP build window and lets the team focus engineering hours on the things that actually matter.</w:t>
      </w:r>
    </w:p>
    <w:p>
      <w:pPr>
        <w:pStyle w:val="Heading2"/>
        <w:spacing w:after="120" w:before="280"/>
      </w:pPr>
      <w:r>
        <w:rPr>
          <w:rFonts w:ascii="Calibri" w:cs="Calibri" w:eastAsia="Calibri" w:hAnsi="Calibri"/>
          <w:b/>
          <w:bCs/>
          <w:color w:val="1F2A44"/>
          <w:sz w:val="28"/>
          <w:szCs w:val="28"/>
        </w:rPr>
        <w:t xml:space="preserve">12.2 Stack detail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rPr>
          <w:tblHeader/>
        </w:trPr>
        <w:tc>
          <w:tcPr>
            <w:tcW w:type="dxa" w:w="17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Layer</w:t>
            </w:r>
          </w:p>
        </w:tc>
        <w:tc>
          <w:tcPr>
            <w:tcW w:type="dxa" w:w="25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Tool</w:t>
            </w:r>
          </w:p>
        </w:tc>
        <w:tc>
          <w:tcPr>
            <w:tcW w:type="dxa" w:w="516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Rationale</w:t>
            </w:r>
          </w:p>
        </w:tc>
      </w:tr>
      <w:tr>
        <w:trPr>
          <w:tblHeader w:val="false"/>
        </w:trPr>
        <w:tc>
          <w:tcPr>
            <w:tcW w:type="dxa" w:w="17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Ledger</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Modern Treasury</w:t>
            </w:r>
          </w:p>
        </w:tc>
        <w:tc>
          <w:tcPr>
            <w:tcW w:type="dxa" w:w="5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Purpose-built double-entry ledger API. Handles token issuance and redemption accounting without building reconciliation from scratch. Saves 3 to 4 months of custom ledger engineering.</w:t>
            </w:r>
          </w:p>
        </w:tc>
      </w:tr>
      <w:tr>
        <w:trPr>
          <w:tblHeader w:val="false"/>
        </w:trPr>
        <w:tc>
          <w:tcPr>
            <w:tcW w:type="dxa" w:w="17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Authentication</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Stytch</w:t>
            </w:r>
          </w:p>
        </w:tc>
        <w:tc>
          <w:tcPr>
            <w:tcW w:type="dxa" w:w="5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B2B-native auth platform with built-in API key management and OAuth 2.0 server. Handles both merchant API keys and customer wallet access tokens in one platform. Saves 3 to 5 weeks.</w:t>
            </w:r>
          </w:p>
        </w:tc>
      </w:tr>
      <w:tr>
        <w:trPr>
          <w:tblHeader w:val="false"/>
        </w:trPr>
        <w:tc>
          <w:tcPr>
            <w:tcW w:type="dxa" w:w="17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MCP hosting</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Composio plus Cloudflare Workers</w:t>
            </w:r>
          </w:p>
        </w:tc>
        <w:tc>
          <w:tcPr>
            <w:tcW w:type="dxa" w:w="5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Composio manages MCP server registration and tool discovery. Cloudflare Workers provides sub-50ms global edge hosting for the MCP adapter. Saves 2 to 3 weeks of infrastructure setup.</w:t>
            </w:r>
          </w:p>
        </w:tc>
      </w:tr>
      <w:tr>
        <w:trPr>
          <w:tblHeader w:val="false"/>
        </w:trPr>
        <w:tc>
          <w:tcPr>
            <w:tcW w:type="dxa" w:w="17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Settlement disbursement</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Runa or Tremendous</w:t>
            </w:r>
          </w:p>
        </w:tc>
        <w:tc>
          <w:tcPr>
            <w:tcW w:type="dxa" w:w="5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Pre-built reward disbursement rails with API-first interfaces. Eliminates custom payout logic and bank integrations. Saves 2 to 3 months.</w:t>
            </w:r>
          </w:p>
        </w:tc>
      </w:tr>
      <w:tr>
        <w:trPr>
          <w:tblHeader w:val="false"/>
        </w:trPr>
        <w:tc>
          <w:tcPr>
            <w:tcW w:type="dxa" w:w="17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Fraud</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Sardine</w:t>
            </w:r>
          </w:p>
        </w:tc>
        <w:tc>
          <w:tcPr>
            <w:tcW w:type="dxa" w:w="5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Purpose-built fintech fraud platform with drop-in risk scoring API. Plugs into the redeem endpoint as a pre-execution check. Saves 4 to 6 weeks.</w:t>
            </w:r>
          </w:p>
        </w:tc>
      </w:tr>
    </w:tbl>
    <w:p>
      <w:pPr>
        <w:spacing w:after="80" w:before="80" w:line="300"/>
        <w:jc w:val="left"/>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2A44"/>
          <w:sz w:val="28"/>
          <w:szCs w:val="28"/>
        </w:rPr>
        <w:t xml:space="preserve">12.3 Ledger cost analysis</w:t>
      </w:r>
    </w:p>
    <w:p>
      <w:pPr>
        <w:shd w:fill="EAF1F8" w:val="clear"/>
        <w:spacing w:after="120" w:before="120" w:line="300"/>
        <w:ind w:left="200" w:right="200"/>
      </w:pPr>
      <w:r>
        <w:rPr>
          <w:rFonts w:ascii="Calibri" w:cs="Calibri" w:eastAsia="Calibri" w:hAnsi="Calibri"/>
          <w:b/>
          <w:bCs/>
          <w:color w:val="1F2A44"/>
          <w:sz w:val="22"/>
          <w:szCs w:val="22"/>
        </w:rPr>
        <w:t xml:space="preserve">Addition to v1.0.  </w:t>
      </w:r>
      <w:r>
        <w:rPr>
          <w:rFonts w:ascii="Calibri" w:cs="Calibri" w:eastAsia="Calibri" w:hAnsi="Calibri"/>
          <w:sz w:val="22"/>
          <w:szCs w:val="22"/>
        </w:rPr>
        <w:t xml:space="preserve">Modern Treasury is the correct choice for MVP but has per-transaction pricing that becomes material at scale. The original spec did not acknowledge this.</w:t>
      </w:r>
    </w:p>
    <w:p>
      <w:pPr>
        <w:pStyle w:val="ListParagraph"/>
        <w:numPr>
          <w:ilvl w:val="0"/>
          <w:numId w:val="2"/>
        </w:numPr>
        <w:spacing w:after="60" w:before="60" w:line="300"/>
      </w:pPr>
      <w:r>
        <w:rPr>
          <w:rFonts w:ascii="Calibri" w:cs="Calibri" w:eastAsia="Calibri" w:hAnsi="Calibri"/>
          <w:sz w:val="22"/>
          <w:szCs w:val="22"/>
        </w:rPr>
        <w:t xml:space="preserve">MVP scale (1 to 10 design partners, low monthly redemption volume): Modern Treasury cost is immaterial. Use without question.</w:t>
      </w:r>
    </w:p>
    <w:p>
      <w:pPr>
        <w:pStyle w:val="ListParagraph"/>
        <w:numPr>
          <w:ilvl w:val="0"/>
          <w:numId w:val="2"/>
        </w:numPr>
        <w:spacing w:after="60" w:before="60" w:line="300"/>
      </w:pPr>
      <w:r>
        <w:rPr>
          <w:rFonts w:ascii="Calibri" w:cs="Calibri" w:eastAsia="Calibri" w:hAnsi="Calibri"/>
          <w:sz w:val="22"/>
          <w:szCs w:val="22"/>
        </w:rPr>
        <w:t xml:space="preserve">Phase 2 scale (50 to 150 merchants, $80K monthly redemptions per merchant): ledger writes approach 1 to 2 million per month. Modern Treasury cost becomes a meaningful line item.</w:t>
      </w:r>
    </w:p>
    <w:p>
      <w:pPr>
        <w:pStyle w:val="ListParagraph"/>
        <w:numPr>
          <w:ilvl w:val="0"/>
          <w:numId w:val="2"/>
        </w:numPr>
        <w:spacing w:after="60" w:before="60" w:line="300"/>
      </w:pPr>
      <w:r>
        <w:rPr>
          <w:rFonts w:ascii="Calibri" w:cs="Calibri" w:eastAsia="Calibri" w:hAnsi="Calibri"/>
          <w:sz w:val="22"/>
          <w:szCs w:val="22"/>
        </w:rPr>
        <w:t xml:space="preserve">Phase 3 scale (post-Series A): migrate to Tigerbeetle for ledger ownership. The TQI abstraction means this is a backend swap, not a product change. Plan the migration during Series A planning, not before.</w:t>
      </w:r>
    </w:p>
    <w:p>
      <w:pPr>
        <w:pStyle w:val="Heading1"/>
        <w:spacing w:after="160" w:before="360"/>
      </w:pPr>
      <w:r>
        <w:rPr>
          <w:rFonts w:ascii="Calibri" w:cs="Calibri" w:eastAsia="Calibri" w:hAnsi="Calibri"/>
          <w:b/>
          <w:bCs/>
          <w:color w:val="1F2A44"/>
          <w:sz w:val="36"/>
          <w:szCs w:val="36"/>
        </w:rPr>
        <w:t xml:space="preserve">XIII. Revenue Model and Pricing</w:t>
      </w:r>
    </w:p>
    <w:p>
      <w:pPr>
        <w:shd w:fill="EAF1F8" w:val="clear"/>
        <w:spacing w:after="120" w:before="120" w:line="300"/>
        <w:ind w:left="200" w:right="200"/>
      </w:pPr>
      <w:r>
        <w:rPr>
          <w:rFonts w:ascii="Calibri" w:cs="Calibri" w:eastAsia="Calibri" w:hAnsi="Calibri"/>
          <w:b/>
          <w:bCs/>
          <w:color w:val="1F2A44"/>
          <w:sz w:val="22"/>
          <w:szCs w:val="22"/>
        </w:rPr>
        <w:t xml:space="preserve">Revision from v1.0.  </w:t>
      </w:r>
      <w:r>
        <w:rPr>
          <w:rFonts w:ascii="Calibri" w:cs="Calibri" w:eastAsia="Calibri" w:hAnsi="Calibri"/>
          <w:sz w:val="22"/>
          <w:szCs w:val="22"/>
        </w:rPr>
        <w:t xml:space="preserve">The original pricing tier ($199 to $499 per month SaaS) sits in a no-man's-land that is too cheap to signal infrastructure-tier value and too expensive to be a frictionless adoption motion. Revised pricing posture below.</w:t>
      </w:r>
    </w:p>
    <w:p>
      <w:pPr>
        <w:pStyle w:val="Heading2"/>
        <w:spacing w:after="120" w:before="280"/>
      </w:pPr>
      <w:r>
        <w:rPr>
          <w:rFonts w:ascii="Calibri" w:cs="Calibri" w:eastAsia="Calibri" w:hAnsi="Calibri"/>
          <w:b/>
          <w:bCs/>
          <w:color w:val="1F2A44"/>
          <w:sz w:val="28"/>
          <w:szCs w:val="28"/>
        </w:rPr>
        <w:t xml:space="preserve">13.1 Three revenue streams</w:t>
      </w:r>
    </w:p>
    <w:p>
      <w:pPr>
        <w:pStyle w:val="ListParagraph"/>
        <w:numPr>
          <w:ilvl w:val="0"/>
          <w:numId w:val="2"/>
        </w:numPr>
        <w:spacing w:after="60" w:before="60" w:line="300"/>
      </w:pPr>
      <w:r>
        <w:rPr>
          <w:rFonts w:ascii="Calibri" w:cs="Calibri" w:eastAsia="Calibri" w:hAnsi="Calibri"/>
          <w:b/>
          <w:bCs/>
          <w:sz w:val="22"/>
          <w:szCs w:val="22"/>
        </w:rPr>
        <w:t xml:space="preserve">Primary. Interchange fee (15 to 30 bps). </w:t>
      </w:r>
      <w:r>
        <w:rPr>
          <w:rFonts w:ascii="Calibri" w:cs="Calibri" w:eastAsia="Calibri" w:hAnsi="Calibri"/>
          <w:sz w:val="22"/>
          <w:szCs w:val="22"/>
        </w:rPr>
        <w:t xml:space="preserve">Assessed on redeemed token face value at redemption. Aligns platform revenue with merchant value delivery. Agentic redemptions are structurally higher-intent than traditional loyalty, expanding the revenue base over time.</w:t>
      </w:r>
    </w:p>
    <w:p>
      <w:pPr>
        <w:pStyle w:val="ListParagraph"/>
        <w:numPr>
          <w:ilvl w:val="0"/>
          <w:numId w:val="2"/>
        </w:numPr>
        <w:spacing w:after="60" w:before="60" w:line="300"/>
      </w:pPr>
      <w:r>
        <w:rPr>
          <w:rFonts w:ascii="Calibri" w:cs="Calibri" w:eastAsia="Calibri" w:hAnsi="Calibri"/>
          <w:b/>
          <w:bCs/>
          <w:sz w:val="22"/>
          <w:szCs w:val="22"/>
        </w:rPr>
        <w:t xml:space="preserve">Secondary. SaaS subscription (revised). </w:t>
      </w:r>
      <w:r>
        <w:rPr>
          <w:rFonts w:ascii="Calibri" w:cs="Calibri" w:eastAsia="Calibri" w:hAnsi="Calibri"/>
          <w:sz w:val="22"/>
          <w:szCs w:val="22"/>
        </w:rPr>
        <w:t xml:space="preserve">Free for the first 50 merchants. Tiered paid plans introduced post-validation, with platform pricing in the $1,500 to $3,000 per month range for enterprise tiers. Volume-tied for mid-market.</w:t>
      </w:r>
    </w:p>
    <w:p>
      <w:pPr>
        <w:pStyle w:val="ListParagraph"/>
        <w:numPr>
          <w:ilvl w:val="0"/>
          <w:numId w:val="2"/>
        </w:numPr>
        <w:spacing w:after="60" w:before="60" w:line="300"/>
      </w:pPr>
      <w:r>
        <w:rPr>
          <w:rFonts w:ascii="Calibri" w:cs="Calibri" w:eastAsia="Calibri" w:hAnsi="Calibri"/>
          <w:b/>
          <w:bCs/>
          <w:sz w:val="22"/>
          <w:szCs w:val="22"/>
        </w:rPr>
        <w:t xml:space="preserve">Tertiary (v3). Float on unredeemed liability. </w:t>
      </w:r>
      <w:r>
        <w:rPr>
          <w:rFonts w:ascii="Calibri" w:cs="Calibri" w:eastAsia="Calibri" w:hAnsi="Calibri"/>
          <w:sz w:val="22"/>
          <w:szCs w:val="22"/>
        </w:rPr>
        <w:t xml:space="preserve">Loyalty breakage averages 20 to 30 percent of issued value. At scale, Tokento holds this float and earns yield. Requires stored-value regulatory compliance. Post-Series A only.</w:t>
      </w:r>
    </w:p>
    <w:p>
      <w:pPr>
        <w:pStyle w:val="Heading2"/>
        <w:spacing w:after="120" w:before="280"/>
      </w:pPr>
      <w:r>
        <w:rPr>
          <w:rFonts w:ascii="Calibri" w:cs="Calibri" w:eastAsia="Calibri" w:hAnsi="Calibri"/>
          <w:b/>
          <w:bCs/>
          <w:color w:val="1F2A44"/>
          <w:sz w:val="28"/>
          <w:szCs w:val="28"/>
        </w:rPr>
        <w:t xml:space="preserve">13.2 Revised 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460"/>
        <w:gridCol w:w="1800"/>
      </w:tblGrid>
      <w:tr>
        <w:trPr>
          <w:tblHeader/>
        </w:trPr>
        <w:tc>
          <w:tcPr>
            <w:tcW w:type="dxa" w:w="17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Tier</w:t>
            </w:r>
          </w:p>
        </w:tc>
        <w:tc>
          <w:tcPr>
            <w:tcW w:type="dxa" w:w="24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Price</w:t>
            </w:r>
          </w:p>
        </w:tc>
        <w:tc>
          <w:tcPr>
            <w:tcW w:type="dxa" w:w="346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Includes</w:t>
            </w:r>
          </w:p>
        </w:tc>
        <w:tc>
          <w:tcPr>
            <w:tcW w:type="dxa" w:w="18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Target</w:t>
            </w:r>
          </w:p>
        </w:tc>
      </w:tr>
      <w:tr>
        <w:trPr>
          <w:tblHeader w:val="false"/>
        </w:trPr>
        <w:tc>
          <w:tcPr>
            <w:tcW w:type="dxa" w:w="17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Design Partner</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Free + 25 bps interchange</w:t>
            </w:r>
          </w:p>
        </w:tc>
        <w:tc>
          <w:tcPr>
            <w:tcW w:type="dxa" w:w="34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Full platform access, Tokento Connect managed integration, dedicated support</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First 10 merchants</w:t>
            </w:r>
          </w:p>
        </w:tc>
      </w:tr>
      <w:tr>
        <w:trPr>
          <w:tblHeader w:val="false"/>
        </w:trPr>
        <w:tc>
          <w:tcPr>
            <w:tcW w:type="dxa" w:w="17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Early Access</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Free + 25 bps interchange</w:t>
            </w:r>
          </w:p>
        </w:tc>
        <w:tc>
          <w:tcPr>
            <w:tcW w:type="dxa" w:w="34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Self-serve API access, sandbox, standard support</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Merchants 11 through 50</w:t>
            </w:r>
          </w:p>
        </w:tc>
      </w:tr>
      <w:tr>
        <w:trPr>
          <w:tblHeader w:val="false"/>
        </w:trPr>
        <w:tc>
          <w:tcPr>
            <w:tcW w:type="dxa" w:w="17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Growth (v2)</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$1,500/mo + 20 bps interchange</w:t>
            </w:r>
          </w:p>
        </w:tc>
        <w:tc>
          <w:tcPr>
            <w:tcW w:type="dxa" w:w="34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Production SLA, advanced analytics, multi-environment</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Mid-market merchants post-validation</w:t>
            </w:r>
          </w:p>
        </w:tc>
      </w:tr>
      <w:tr>
        <w:trPr>
          <w:tblHeader w:val="false"/>
        </w:trPr>
        <w:tc>
          <w:tcPr>
            <w:tcW w:type="dxa" w:w="17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Enterprise (v2)</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$3,000+/mo + custom interchange</w:t>
            </w:r>
          </w:p>
        </w:tc>
        <w:tc>
          <w:tcPr>
            <w:tcW w:type="dxa" w:w="34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Dedicated CSM, custom integrations, volume discounts</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Large merchants with significant agentic volume</w:t>
            </w:r>
          </w:p>
        </w:tc>
      </w:tr>
    </w:tbl>
    <w:p>
      <w:pPr>
        <w:spacing w:after="80" w:before="80" w:line="300"/>
        <w:jc w:val="left"/>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2A44"/>
          <w:sz w:val="28"/>
          <w:szCs w:val="28"/>
        </w:rPr>
        <w:t xml:space="preserve">13.3 Revised unit economics illustration</w:t>
      </w:r>
    </w:p>
    <w:p>
      <w:pPr>
        <w:spacing w:after="80" w:before="80" w:line="300"/>
        <w:jc w:val="left"/>
      </w:pPr>
      <w:r>
        <w:rPr>
          <w:rFonts w:ascii="Calibri" w:cs="Calibri" w:eastAsia="Calibri" w:hAnsi="Calibri"/>
          <w:sz w:val="22"/>
          <w:szCs w:val="22"/>
        </w:rPr>
        <w:t xml:space="preserve">The original v1.0 numbers assumed $80K monthly redemption per merchant by month 12. That number requires aggressive growth in agentic transaction volume. Revised numbers below use two scenarios: a conservative case (agentic volume materializes slowly) and a base case (steady 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Metric</w:t>
            </w:r>
          </w:p>
        </w:tc>
        <w:tc>
          <w:tcPr>
            <w:tcW w:type="dxa" w:w="293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Conservative (Mo. 12)</w:t>
            </w:r>
          </w:p>
        </w:tc>
        <w:tc>
          <w:tcPr>
            <w:tcW w:type="dxa" w:w="293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Base case (Mo. 12)</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Merchants on platform</w:t>
            </w:r>
          </w:p>
        </w:tc>
        <w:tc>
          <w:tcPr>
            <w:tcW w:type="dxa" w:w="293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30</w:t>
            </w:r>
          </w:p>
        </w:tc>
        <w:tc>
          <w:tcPr>
            <w:tcW w:type="dxa" w:w="293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100</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Avg paid subscription</w:t>
            </w:r>
          </w:p>
        </w:tc>
        <w:tc>
          <w:tcPr>
            <w:tcW w:type="dxa" w:w="293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$0 (all free tier)</w:t>
            </w:r>
          </w:p>
        </w:tc>
        <w:tc>
          <w:tcPr>
            <w:tcW w:type="dxa" w:w="293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$300 (mix)</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Monthly redemption volume per merchant</w:t>
            </w:r>
          </w:p>
        </w:tc>
        <w:tc>
          <w:tcPr>
            <w:tcW w:type="dxa" w:w="293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$20,000</w:t>
            </w:r>
          </w:p>
        </w:tc>
        <w:tc>
          <w:tcPr>
            <w:tcW w:type="dxa" w:w="293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$60,000</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Platform interchange</w:t>
            </w:r>
          </w:p>
        </w:tc>
        <w:tc>
          <w:tcPr>
            <w:tcW w:type="dxa" w:w="293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25 bps</w:t>
            </w:r>
          </w:p>
        </w:tc>
        <w:tc>
          <w:tcPr>
            <w:tcW w:type="dxa" w:w="293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22 bps</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Monthly interchange per merchant</w:t>
            </w:r>
          </w:p>
        </w:tc>
        <w:tc>
          <w:tcPr>
            <w:tcW w:type="dxa" w:w="293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$50</w:t>
            </w:r>
          </w:p>
        </w:tc>
        <w:tc>
          <w:tcPr>
            <w:tcW w:type="dxa" w:w="293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$132</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Total monthly revenue</w:t>
            </w:r>
          </w:p>
        </w:tc>
        <w:tc>
          <w:tcPr>
            <w:tcW w:type="dxa" w:w="293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$1,500</w:t>
            </w:r>
          </w:p>
        </w:tc>
        <w:tc>
          <w:tcPr>
            <w:tcW w:type="dxa" w:w="293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$43,200</w:t>
            </w:r>
          </w:p>
        </w:tc>
      </w:tr>
      <w:tr>
        <w:trPr>
          <w:tblHeader w:val="false"/>
        </w:trPr>
        <w:tc>
          <w:tcPr>
            <w:tcW w:type="dxa" w:w="3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Annualized run rate</w:t>
            </w:r>
          </w:p>
        </w:tc>
        <w:tc>
          <w:tcPr>
            <w:tcW w:type="dxa" w:w="293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$18,000</w:t>
            </w:r>
          </w:p>
        </w:tc>
        <w:tc>
          <w:tcPr>
            <w:tcW w:type="dxa" w:w="293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$518,400</w:t>
            </w:r>
          </w:p>
        </w:tc>
      </w:tr>
    </w:tbl>
    <w:p>
      <w:pPr>
        <w:spacing w:after="80" w:before="80" w:line="300"/>
        <w:jc w:val="left"/>
      </w:pPr>
      <w:r>
        <w:rPr>
          <w:rFonts w:ascii="Calibri" w:cs="Calibri" w:eastAsia="Calibri" w:hAnsi="Calibri"/>
          <w:sz w:val="22"/>
          <w:szCs w:val="22"/>
        </w:rPr>
        <w:t xml:space="preserve"/>
      </w:r>
    </w:p>
    <w:p>
      <w:pPr>
        <w:shd w:fill="EAF1F8" w:val="clear"/>
        <w:spacing w:after="120" w:before="120" w:line="300"/>
        <w:ind w:left="200" w:right="200"/>
      </w:pPr>
      <w:r>
        <w:rPr>
          <w:rFonts w:ascii="Calibri" w:cs="Calibri" w:eastAsia="Calibri" w:hAnsi="Calibri"/>
          <w:b/>
          <w:bCs/>
          <w:color w:val="1F2A44"/>
          <w:sz w:val="22"/>
          <w:szCs w:val="22"/>
        </w:rPr>
        <w:t xml:space="preserve">Honest framing.  </w:t>
      </w:r>
      <w:r>
        <w:rPr>
          <w:rFonts w:ascii="Calibri" w:cs="Calibri" w:eastAsia="Calibri" w:hAnsi="Calibri"/>
          <w:sz w:val="22"/>
          <w:szCs w:val="22"/>
        </w:rPr>
        <w:t xml:space="preserve">The base case is achievable but requires that the wallet-density and agent-volume bets work as designed. The conservative case is what to plan against. If conservative scenario revenue is the actual outcome at month 12, the business is not yet venture-scale and the team should optimize for product-market fit, not for growth metrics.</w:t>
      </w:r>
    </w:p>
    <w:p>
      <w:pPr>
        <w:pStyle w:val="Heading1"/>
        <w:spacing w:after="160" w:before="360"/>
      </w:pPr>
      <w:r>
        <w:rPr>
          <w:rFonts w:ascii="Calibri" w:cs="Calibri" w:eastAsia="Calibri" w:hAnsi="Calibri"/>
          <w:b/>
          <w:bCs/>
          <w:color w:val="1F2A44"/>
          <w:sz w:val="36"/>
          <w:szCs w:val="36"/>
        </w:rPr>
        <w:t xml:space="preserve">XIV. MVP Scope</w:t>
      </w:r>
    </w:p>
    <w:p>
      <w:pPr>
        <w:pStyle w:val="Heading2"/>
        <w:spacing w:after="120" w:before="280"/>
      </w:pPr>
      <w:r>
        <w:rPr>
          <w:rFonts w:ascii="Calibri" w:cs="Calibri" w:eastAsia="Calibri" w:hAnsi="Calibri"/>
          <w:b/>
          <w:bCs/>
          <w:color w:val="1F2A44"/>
          <w:sz w:val="28"/>
          <w:szCs w:val="28"/>
        </w:rPr>
        <w:t xml:space="preserve">14.1 MVP principle</w:t>
      </w:r>
    </w:p>
    <w:p>
      <w:pPr>
        <w:spacing w:after="80" w:before="80" w:line="300"/>
        <w:jc w:val="left"/>
      </w:pPr>
      <w:r>
        <w:rPr>
          <w:rFonts w:ascii="Calibri" w:cs="Calibri" w:eastAsia="Calibri" w:hAnsi="Calibri"/>
          <w:sz w:val="22"/>
          <w:szCs w:val="22"/>
        </w:rPr>
        <w:t xml:space="preserve">The MVP validates one core hypothesis: merchants will pay (or commit to pay) to make their loyalty programs agent-accessible, and at least one AI agent will successfully query and apply loyalty tokens during agentic checkout against a real merchant. Every MVP capability is selected to validate or de-risk this hypothesis within an 8 to 10 week build window.</w:t>
      </w:r>
    </w:p>
    <w:p>
      <w:pPr>
        <w:pStyle w:val="ListParagraph"/>
        <w:numPr>
          <w:ilvl w:val="0"/>
          <w:numId w:val="2"/>
        </w:numPr>
        <w:spacing w:after="60" w:before="60" w:line="300"/>
      </w:pPr>
      <w:r>
        <w:rPr>
          <w:rFonts w:ascii="Calibri" w:cs="Calibri" w:eastAsia="Calibri" w:hAnsi="Calibri"/>
          <w:sz w:val="22"/>
          <w:szCs w:val="22"/>
        </w:rPr>
        <w:t xml:space="preserve">MVP is scoped to loyalty token type only.</w:t>
      </w:r>
    </w:p>
    <w:p>
      <w:pPr>
        <w:pStyle w:val="ListParagraph"/>
        <w:numPr>
          <w:ilvl w:val="0"/>
          <w:numId w:val="2"/>
        </w:numPr>
        <w:spacing w:after="60" w:before="60" w:line="300"/>
      </w:pPr>
      <w:r>
        <w:rPr>
          <w:rFonts w:ascii="Calibri" w:cs="Calibri" w:eastAsia="Calibri" w:hAnsi="Calibri"/>
          <w:sz w:val="22"/>
          <w:szCs w:val="22"/>
        </w:rPr>
        <w:t xml:space="preserve">MCP is the only agent protocol adapter in MVP, unless the PayPal channel triggers x402 elevation per Section VII.</w:t>
      </w:r>
    </w:p>
    <w:p>
      <w:pPr>
        <w:pStyle w:val="ListParagraph"/>
        <w:numPr>
          <w:ilvl w:val="0"/>
          <w:numId w:val="2"/>
        </w:numPr>
        <w:spacing w:after="60" w:before="60" w:line="300"/>
      </w:pPr>
      <w:r>
        <w:rPr>
          <w:rFonts w:ascii="Calibri" w:cs="Calibri" w:eastAsia="Calibri" w:hAnsi="Calibri"/>
          <w:sz w:val="22"/>
          <w:szCs w:val="22"/>
        </w:rPr>
        <w:t xml:space="preserve">One design-partner merchant integrated end-to-end before MVP is declared complete.</w:t>
      </w:r>
    </w:p>
    <w:p>
      <w:pPr>
        <w:pStyle w:val="ListParagraph"/>
        <w:numPr>
          <w:ilvl w:val="0"/>
          <w:numId w:val="2"/>
        </w:numPr>
        <w:spacing w:after="60" w:before="60" w:line="300"/>
      </w:pPr>
      <w:r>
        <w:rPr>
          <w:rFonts w:ascii="Calibri" w:cs="Calibri" w:eastAsia="Calibri" w:hAnsi="Calibri"/>
          <w:sz w:val="22"/>
          <w:szCs w:val="22"/>
        </w:rPr>
        <w:t xml:space="preserve">At least one real redemption by a real AI agent before MVP exit.</w:t>
      </w:r>
    </w:p>
    <w:p>
      <w:pPr>
        <w:pStyle w:val="Heading2"/>
        <w:spacing w:after="120" w:before="280"/>
      </w:pPr>
      <w:r>
        <w:rPr>
          <w:rFonts w:ascii="Calibri" w:cs="Calibri" w:eastAsia="Calibri" w:hAnsi="Calibri"/>
          <w:b/>
          <w:bCs/>
          <w:color w:val="1F2A44"/>
          <w:sz w:val="28"/>
          <w:szCs w:val="28"/>
        </w:rPr>
        <w:t xml:space="preserve">14.2 Realistic MVP timeline</w:t>
      </w:r>
    </w:p>
    <w:p>
      <w:pPr>
        <w:shd w:fill="EAF1F8" w:val="clear"/>
        <w:spacing w:after="120" w:before="120" w:line="300"/>
        <w:ind w:left="200" w:right="200"/>
      </w:pPr>
      <w:r>
        <w:rPr>
          <w:rFonts w:ascii="Calibri" w:cs="Calibri" w:eastAsia="Calibri" w:hAnsi="Calibri"/>
          <w:b/>
          <w:bCs/>
          <w:color w:val="1F2A44"/>
          <w:sz w:val="22"/>
          <w:szCs w:val="22"/>
        </w:rPr>
        <w:t xml:space="preserve">Revision from v1.0.  </w:t>
      </w:r>
      <w:r>
        <w:rPr>
          <w:rFonts w:ascii="Calibri" w:cs="Calibri" w:eastAsia="Calibri" w:hAnsi="Calibri"/>
          <w:sz w:val="22"/>
          <w:szCs w:val="22"/>
        </w:rPr>
        <w:t xml:space="preserve">The original 3 to 4 week MVP estimate is unrealistic for a production system with one design partner live. The honest estimate is 8 to 10 weeks: 2 weeks to internal prototype, 6 to 8 weeks to production-ready system with design partner integrated.</w:t>
      </w:r>
    </w:p>
    <w:p>
      <w:pPr>
        <w:pStyle w:val="Heading2"/>
        <w:spacing w:after="120" w:before="280"/>
      </w:pPr>
      <w:r>
        <w:rPr>
          <w:rFonts w:ascii="Calibri" w:cs="Calibri" w:eastAsia="Calibri" w:hAnsi="Calibri"/>
          <w:b/>
          <w:bCs/>
          <w:color w:val="1F2A44"/>
          <w:sz w:val="28"/>
          <w:szCs w:val="28"/>
        </w:rPr>
        <w:t xml:space="preserve">14.3 MVP capability matrix</w:t>
      </w:r>
    </w:p>
    <w:p>
      <w:pPr>
        <w:spacing w:after="80" w:before="80" w:line="300"/>
        <w:jc w:val="left"/>
      </w:pPr>
      <w:r>
        <w:rPr>
          <w:rFonts w:ascii="Calibri" w:cs="Calibri" w:eastAsia="Calibri" w:hAnsi="Calibri"/>
          <w:sz w:val="22"/>
          <w:szCs w:val="22"/>
        </w:rPr>
        <w:t xml:space="preserve">Capabilities are unchanged from v1.0 sections 8.2.1 through 8.2.5 and remain valid. Summary below; full detail in the original specification 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Module</w:t>
            </w:r>
          </w:p>
        </w:tc>
        <w:tc>
          <w:tcPr>
            <w:tcW w:type="dxa" w:w="716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Key capabilities (P0)</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Merchant onboarding</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API key issuance, earn rule configuration, token parameter config, agent opt-out toggle (default ON)</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Token issuance engine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Mint endpoint, HMAC signing, expiry enforcement, idempotency guard</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Customer wallet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Wallet creation on first mint, wallet query via TQI, multi-merchant isolation, OAuth 2.0 authorization, append-only redemption log</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TQI validate and redeem</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Validate endpoint, redeem endpoint (idempotent), MCP tool exposure, rate limiting</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Platform and trust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Audit logging, data encryption (AES-256, TLS 1.3), API versioning, sandbox environment</w:t>
            </w:r>
          </w:p>
        </w:tc>
      </w:tr>
    </w:tbl>
    <w:p>
      <w:pPr>
        <w:spacing w:after="80" w:before="80" w:line="300"/>
        <w:jc w:val="left"/>
      </w:pPr>
      <w:r>
        <w:rPr>
          <w:rFonts w:ascii="Calibri" w:cs="Calibri" w:eastAsia="Calibri" w:hAnsi="Calibri"/>
          <w:sz w:val="22"/>
          <w:szCs w:val="22"/>
        </w:rPr>
        <w:t xml:space="preserve"/>
      </w:r>
    </w:p>
    <w:p>
      <w:pPr>
        <w:pStyle w:val="Heading1"/>
        <w:spacing w:after="160" w:before="360"/>
      </w:pPr>
      <w:r>
        <w:rPr>
          <w:rFonts w:ascii="Calibri" w:cs="Calibri" w:eastAsia="Calibri" w:hAnsi="Calibri"/>
          <w:b/>
          <w:bCs/>
          <w:color w:val="1F2A44"/>
          <w:sz w:val="36"/>
          <w:szCs w:val="36"/>
        </w:rPr>
        <w:t xml:space="preserve">XV. First 90 Days — Operational Plan</w:t>
      </w:r>
    </w:p>
    <w:p>
      <w:pPr>
        <w:shd w:fill="EAF1F8" w:val="clear"/>
        <w:spacing w:after="120" w:before="120" w:line="300"/>
        <w:ind w:left="200" w:right="200"/>
      </w:pPr>
      <w:r>
        <w:rPr>
          <w:rFonts w:ascii="Calibri" w:cs="Calibri" w:eastAsia="Calibri" w:hAnsi="Calibri"/>
          <w:b/>
          <w:bCs/>
          <w:color w:val="1F2A44"/>
          <w:sz w:val="22"/>
          <w:szCs w:val="22"/>
        </w:rPr>
        <w:t xml:space="preserve">New section.  </w:t>
      </w:r>
      <w:r>
        <w:rPr>
          <w:rFonts w:ascii="Calibri" w:cs="Calibri" w:eastAsia="Calibri" w:hAnsi="Calibri"/>
          <w:sz w:val="22"/>
          <w:szCs w:val="22"/>
        </w:rPr>
        <w:t xml:space="preserve">The original spec went directly from MVP scope to an 18-month go-to-market plan. The single most important time window in this company is the first 90 days. This section defines week-by-week milestones and explicit go/no-go gates.</w:t>
      </w:r>
    </w:p>
    <w:p>
      <w:pPr>
        <w:pStyle w:val="Heading2"/>
        <w:spacing w:after="120" w:before="280"/>
      </w:pPr>
      <w:r>
        <w:rPr>
          <w:rFonts w:ascii="Calibri" w:cs="Calibri" w:eastAsia="Calibri" w:hAnsi="Calibri"/>
          <w:b/>
          <w:bCs/>
          <w:color w:val="1F2A44"/>
          <w:sz w:val="28"/>
          <w:szCs w:val="28"/>
        </w:rPr>
        <w:t xml:space="preserve">15.1 The 90-day operational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60"/>
        <w:gridCol w:w="3100"/>
      </w:tblGrid>
      <w:tr>
        <w:trPr>
          <w:tblHeader/>
        </w:trPr>
        <w:tc>
          <w:tcPr>
            <w:tcW w:type="dxa" w:w="12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Weeks</w:t>
            </w:r>
          </w:p>
        </w:tc>
        <w:tc>
          <w:tcPr>
            <w:tcW w:type="dxa" w:w="506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Milestone</w:t>
            </w:r>
          </w:p>
        </w:tc>
        <w:tc>
          <w:tcPr>
            <w:tcW w:type="dxa" w:w="31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Validation gate</w:t>
            </w:r>
          </w:p>
        </w:tc>
      </w:tr>
      <w:tr>
        <w:trPr>
          <w:tblHeader w:val="false"/>
        </w:trPr>
        <w:tc>
          <w:tcPr>
            <w:tcW w:type="dxa" w:w="1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1 to 2</w:t>
            </w:r>
          </w:p>
        </w:tc>
        <w:tc>
          <w:tcPr>
            <w:tcW w:type="dxa" w:w="50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Internal MCP prototype: one fake merchant, one fake wallet, Claude redeems a token end-to-end</w:t>
            </w:r>
          </w:p>
        </w:tc>
        <w:tc>
          <w:tcPr>
            <w:tcW w:type="dxa" w:w="3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Prototype works end-to-end in dev; team confidence in architecture confirmed</w:t>
            </w:r>
          </w:p>
        </w:tc>
      </w:tr>
      <w:tr>
        <w:trPr>
          <w:tblHeader w:val="false"/>
        </w:trPr>
        <w:tc>
          <w:tcPr>
            <w:tcW w:type="dxa" w:w="1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3 to 4</w:t>
            </w:r>
          </w:p>
        </w:tc>
        <w:tc>
          <w:tcPr>
            <w:tcW w:type="dxa" w:w="50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20 merchant validation conversations completed; PayPal-channel decision finalized</w:t>
            </w:r>
          </w:p>
        </w:tc>
        <w:tc>
          <w:tcPr>
            <w:tcW w:type="dxa" w:w="3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5+ verbal commitments from merchants; clear go/no-go on x402 Day 1</w:t>
            </w:r>
          </w:p>
        </w:tc>
      </w:tr>
      <w:tr>
        <w:trPr>
          <w:tblHeader w:val="false"/>
        </w:trPr>
        <w:tc>
          <w:tcPr>
            <w:tcW w:type="dxa" w:w="1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5 to 8</w:t>
            </w:r>
          </w:p>
        </w:tc>
        <w:tc>
          <w:tcPr>
            <w:tcW w:type="dxa" w:w="50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First design-partner integration in sandbox; Tokento Connect process operationalized</w:t>
            </w:r>
          </w:p>
        </w:tc>
        <w:tc>
          <w:tcPr>
            <w:tcW w:type="dxa" w:w="3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Sandbox redemption successful; merchant signs design partner agreement</w:t>
            </w:r>
          </w:p>
        </w:tc>
      </w:tr>
      <w:tr>
        <w:trPr>
          <w:tblHeader w:val="false"/>
        </w:trPr>
        <w:tc>
          <w:tcPr>
            <w:tcW w:type="dxa" w:w="1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9 to 12</w:t>
            </w:r>
          </w:p>
        </w:tc>
        <w:tc>
          <w:tcPr>
            <w:tcW w:type="dxa" w:w="50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First real redemption by a real AI agent at a real merchant</w:t>
            </w:r>
          </w:p>
        </w:tc>
        <w:tc>
          <w:tcPr>
            <w:tcW w:type="dxa" w:w="3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Production redemption logged, merchant confirms loyalty applied correctly, customer experience verified</w:t>
            </w:r>
          </w:p>
        </w:tc>
      </w:tr>
    </w:tbl>
    <w:p>
      <w:pPr>
        <w:spacing w:after="80" w:before="80" w:line="300"/>
        <w:jc w:val="left"/>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2A44"/>
          <w:sz w:val="28"/>
          <w:szCs w:val="28"/>
        </w:rPr>
        <w:t xml:space="preserve">15.2 Strategic decisions to lock before Week 1</w:t>
      </w:r>
    </w:p>
    <w:p>
      <w:pPr>
        <w:pStyle w:val="ListParagraph"/>
        <w:numPr>
          <w:ilvl w:val="0"/>
          <w:numId w:val="2"/>
        </w:numPr>
        <w:spacing w:after="60" w:before="60" w:line="300"/>
      </w:pPr>
      <w:r>
        <w:rPr>
          <w:rFonts w:ascii="Calibri" w:cs="Calibri" w:eastAsia="Calibri" w:hAnsi="Calibri"/>
          <w:b/>
          <w:bCs/>
          <w:sz w:val="22"/>
          <w:szCs w:val="22"/>
        </w:rPr>
        <w:t xml:space="preserve">Bootstrap mechanism. </w:t>
      </w:r>
      <w:r>
        <w:rPr>
          <w:rFonts w:ascii="Calibri" w:cs="Calibri" w:eastAsia="Calibri" w:hAnsi="Calibri"/>
          <w:sz w:val="22"/>
          <w:szCs w:val="22"/>
        </w:rPr>
        <w:t xml:space="preserve">Which of the three mechanisms in Section IX is the MVP commitment? Recommended: Mechanism 1 (merchant checkout handoff).</w:t>
      </w:r>
    </w:p>
    <w:p>
      <w:pPr>
        <w:pStyle w:val="ListParagraph"/>
        <w:numPr>
          <w:ilvl w:val="0"/>
          <w:numId w:val="2"/>
        </w:numPr>
        <w:spacing w:after="60" w:before="60" w:line="300"/>
      </w:pPr>
      <w:r>
        <w:rPr>
          <w:rFonts w:ascii="Calibri" w:cs="Calibri" w:eastAsia="Calibri" w:hAnsi="Calibri"/>
          <w:b/>
          <w:bCs/>
          <w:sz w:val="22"/>
          <w:szCs w:val="22"/>
        </w:rPr>
        <w:t xml:space="preserve">Protocol priority. </w:t>
      </w:r>
      <w:r>
        <w:rPr>
          <w:rFonts w:ascii="Calibri" w:cs="Calibri" w:eastAsia="Calibri" w:hAnsi="Calibri"/>
          <w:sz w:val="22"/>
          <w:szCs w:val="22"/>
        </w:rPr>
        <w:t xml:space="preserve">Is x402 Day 1 alongside MCP, or Phase 2? Decision criterion: does PayPal channel provide tangible merchant introductions in the first 30 days?</w:t>
      </w:r>
    </w:p>
    <w:p>
      <w:pPr>
        <w:pStyle w:val="ListParagraph"/>
        <w:numPr>
          <w:ilvl w:val="0"/>
          <w:numId w:val="2"/>
        </w:numPr>
        <w:spacing w:after="60" w:before="60" w:line="300"/>
      </w:pPr>
      <w:r>
        <w:rPr>
          <w:rFonts w:ascii="Calibri" w:cs="Calibri" w:eastAsia="Calibri" w:hAnsi="Calibri"/>
          <w:b/>
          <w:bCs/>
          <w:sz w:val="22"/>
          <w:szCs w:val="22"/>
        </w:rPr>
        <w:t xml:space="preserve">Cofounder structure. </w:t>
      </w:r>
      <w:r>
        <w:rPr>
          <w:rFonts w:ascii="Calibri" w:cs="Calibri" w:eastAsia="Calibri" w:hAnsi="Calibri"/>
          <w:sz w:val="22"/>
          <w:szCs w:val="22"/>
        </w:rPr>
        <w:t xml:space="preserve">Equity split, vesting, decision rights, employment-conflict disclosures. Must be documented in writing before Week 1.</w:t>
      </w:r>
    </w:p>
    <w:p>
      <w:pPr>
        <w:pStyle w:val="ListParagraph"/>
        <w:numPr>
          <w:ilvl w:val="0"/>
          <w:numId w:val="2"/>
        </w:numPr>
        <w:spacing w:after="60" w:before="60" w:line="300"/>
      </w:pPr>
      <w:r>
        <w:rPr>
          <w:rFonts w:ascii="Calibri" w:cs="Calibri" w:eastAsia="Calibri" w:hAnsi="Calibri"/>
          <w:b/>
          <w:bCs/>
          <w:sz w:val="22"/>
          <w:szCs w:val="22"/>
        </w:rPr>
        <w:t xml:space="preserve">Design-partner vertical. </w:t>
      </w:r>
      <w:r>
        <w:rPr>
          <w:rFonts w:ascii="Calibri" w:cs="Calibri" w:eastAsia="Calibri" w:hAnsi="Calibri"/>
          <w:sz w:val="22"/>
          <w:szCs w:val="22"/>
        </w:rPr>
        <w:t xml:space="preserve">Which single vertical anchors the first cohort? Per Section VIII, prioritize verticals with high customer overlap among merchants.</w:t>
      </w:r>
    </w:p>
    <w:p>
      <w:pPr>
        <w:pStyle w:val="Heading2"/>
        <w:spacing w:after="120" w:before="280"/>
      </w:pPr>
      <w:r>
        <w:rPr>
          <w:rFonts w:ascii="Calibri" w:cs="Calibri" w:eastAsia="Calibri" w:hAnsi="Calibri"/>
          <w:b/>
          <w:bCs/>
          <w:color w:val="1F2A44"/>
          <w:sz w:val="28"/>
          <w:szCs w:val="28"/>
        </w:rPr>
        <w:t xml:space="preserve">15.3 Honest go/no-go criteria</w:t>
      </w:r>
    </w:p>
    <w:p>
      <w:pPr>
        <w:spacing w:after="80" w:before="80" w:line="300"/>
        <w:jc w:val="left"/>
      </w:pPr>
      <w:r>
        <w:rPr>
          <w:rFonts w:ascii="Calibri" w:cs="Calibri" w:eastAsia="Calibri" w:hAnsi="Calibri"/>
          <w:sz w:val="22"/>
          <w:szCs w:val="22"/>
        </w:rPr>
        <w:t xml:space="preserve">If Week 4 produces fewer than 3 verbal merchant commitments out of 20 conversations, the thesis is wrong or the framing is wrong. Stop and revisit before continuing. If Week 12 does not produce a real redemption by a real agent on a real merchant, the product is more difficult than estimated and the build plan needs to be rewritten before further capital or time commitment.</w:t>
      </w:r>
    </w:p>
    <w:p>
      <w:pPr>
        <w:pStyle w:val="Heading1"/>
        <w:spacing w:after="160" w:before="360"/>
      </w:pPr>
      <w:r>
        <w:rPr>
          <w:rFonts w:ascii="Calibri" w:cs="Calibri" w:eastAsia="Calibri" w:hAnsi="Calibri"/>
          <w:b/>
          <w:bCs/>
          <w:color w:val="1F2A44"/>
          <w:sz w:val="36"/>
          <w:szCs w:val="36"/>
        </w:rPr>
        <w:t xml:space="preserve">XVI. Go-to-Market</w:t>
      </w:r>
    </w:p>
    <w:p>
      <w:pPr>
        <w:pStyle w:val="Heading2"/>
        <w:spacing w:after="120" w:before="280"/>
      </w:pPr>
      <w:r>
        <w:rPr>
          <w:rFonts w:ascii="Calibri" w:cs="Calibri" w:eastAsia="Calibri" w:hAnsi="Calibri"/>
          <w:b/>
          <w:bCs/>
          <w:color w:val="1F2A44"/>
          <w:sz w:val="28"/>
          <w:szCs w:val="28"/>
        </w:rPr>
        <w:t xml:space="preserve">16.1 Beachhead strategy</w:t>
      </w:r>
    </w:p>
    <w:p>
      <w:pPr>
        <w:spacing w:after="80" w:before="80" w:line="300"/>
        <w:jc w:val="left"/>
      </w:pPr>
      <w:r>
        <w:rPr>
          <w:rFonts w:ascii="Calibri" w:cs="Calibri" w:eastAsia="Calibri" w:hAnsi="Calibri"/>
          <w:sz w:val="22"/>
          <w:szCs w:val="22"/>
        </w:rPr>
        <w:t xml:space="preserve">Tokento's initial GTM targets mid-market e-commerce and retail merchants who (a) already operate a loyalty program, (b) are aware of agentic commerce as an emerging channel, and (c) have sufficient transaction volume to generate meaningful redemption economics. Per Section VIII, the beachhead vertical is chosen for high customer overlap among merchants, not for highest individual merchant volume.</w:t>
      </w:r>
    </w:p>
    <w:p>
      <w:pPr>
        <w:pStyle w:val="Heading2"/>
        <w:spacing w:after="120" w:before="280"/>
      </w:pPr>
      <w:r>
        <w:rPr>
          <w:rFonts w:ascii="Calibri" w:cs="Calibri" w:eastAsia="Calibri" w:hAnsi="Calibri"/>
          <w:b/>
          <w:bCs/>
          <w:color w:val="1F2A44"/>
          <w:sz w:val="28"/>
          <w:szCs w:val="28"/>
        </w:rPr>
        <w:t xml:space="preserve">16.2 Phase 1: Design partner cohort (Weeks 1 to 12)</w:t>
      </w:r>
    </w:p>
    <w:p>
      <w:pPr>
        <w:pStyle w:val="ListParagraph"/>
        <w:numPr>
          <w:ilvl w:val="0"/>
          <w:numId w:val="2"/>
        </w:numPr>
        <w:spacing w:after="60" w:before="60" w:line="300"/>
      </w:pPr>
      <w:r>
        <w:rPr>
          <w:rFonts w:ascii="Calibri" w:cs="Calibri" w:eastAsia="Calibri" w:hAnsi="Calibri"/>
          <w:sz w:val="22"/>
          <w:szCs w:val="22"/>
        </w:rPr>
        <w:t xml:space="preserve">Target 5 to 10 design-partner merchants at no cost in exchange for usage data, testimonials, and integration access.</w:t>
      </w:r>
    </w:p>
    <w:p>
      <w:pPr>
        <w:pStyle w:val="ListParagraph"/>
        <w:numPr>
          <w:ilvl w:val="0"/>
          <w:numId w:val="2"/>
        </w:numPr>
        <w:spacing w:after="60" w:before="60" w:line="300"/>
      </w:pPr>
      <w:r>
        <w:rPr>
          <w:rFonts w:ascii="Calibri" w:cs="Calibri" w:eastAsia="Calibri" w:hAnsi="Calibri"/>
          <w:sz w:val="22"/>
          <w:szCs w:val="22"/>
        </w:rPr>
        <w:t xml:space="preserve">Concentrate the first cohort in one vertical to build the wallet-density flywheel. Per Section VIII, this is more valuable than diversification at this stage.</w:t>
      </w:r>
    </w:p>
    <w:p>
      <w:pPr>
        <w:pStyle w:val="ListParagraph"/>
        <w:numPr>
          <w:ilvl w:val="0"/>
          <w:numId w:val="2"/>
        </w:numPr>
        <w:spacing w:after="60" w:before="60" w:line="300"/>
      </w:pPr>
      <w:r>
        <w:rPr>
          <w:rFonts w:ascii="Calibri" w:cs="Calibri" w:eastAsia="Calibri" w:hAnsi="Calibri"/>
          <w:sz w:val="22"/>
          <w:szCs w:val="22"/>
        </w:rPr>
        <w:t xml:space="preserve">Instrument every interaction: agent identity, redemption rate, token abandonment, dashboard engagement, customer-side awareness.</w:t>
      </w:r>
    </w:p>
    <w:p>
      <w:pPr>
        <w:pStyle w:val="ListParagraph"/>
        <w:numPr>
          <w:ilvl w:val="0"/>
          <w:numId w:val="2"/>
        </w:numPr>
        <w:spacing w:after="60" w:before="60" w:line="300"/>
      </w:pPr>
      <w:r>
        <w:rPr>
          <w:rFonts w:ascii="Calibri" w:cs="Calibri" w:eastAsia="Calibri" w:hAnsi="Calibri"/>
          <w:sz w:val="22"/>
          <w:szCs w:val="22"/>
        </w:rPr>
        <w:t xml:space="preserve">Use pilot data to validate unit economics and to prioritize Phase 2 token types.</w:t>
      </w:r>
    </w:p>
    <w:p>
      <w:pPr>
        <w:pStyle w:val="Heading2"/>
        <w:spacing w:after="120" w:before="280"/>
      </w:pPr>
      <w:r>
        <w:rPr>
          <w:rFonts w:ascii="Calibri" w:cs="Calibri" w:eastAsia="Calibri" w:hAnsi="Calibri"/>
          <w:b/>
          <w:bCs/>
          <w:color w:val="1F2A44"/>
          <w:sz w:val="28"/>
          <w:szCs w:val="28"/>
        </w:rPr>
        <w:t xml:space="preserve">16.3 Phase 2: Paid launch (Months 3 to 9)</w:t>
      </w:r>
    </w:p>
    <w:p>
      <w:pPr>
        <w:pStyle w:val="ListParagraph"/>
        <w:numPr>
          <w:ilvl w:val="0"/>
          <w:numId w:val="2"/>
        </w:numPr>
        <w:spacing w:after="60" w:before="60" w:line="300"/>
      </w:pPr>
      <w:r>
        <w:rPr>
          <w:rFonts w:ascii="Calibri" w:cs="Calibri" w:eastAsia="Calibri" w:hAnsi="Calibri"/>
          <w:sz w:val="22"/>
          <w:szCs w:val="22"/>
        </w:rPr>
        <w:t xml:space="preserve">Convert design partners to Growth tier subscriptions if their volume warrants it; keep small merchants free.</w:t>
      </w:r>
    </w:p>
    <w:p>
      <w:pPr>
        <w:pStyle w:val="ListParagraph"/>
        <w:numPr>
          <w:ilvl w:val="0"/>
          <w:numId w:val="2"/>
        </w:numPr>
        <w:spacing w:after="60" w:before="60" w:line="300"/>
      </w:pPr>
      <w:r>
        <w:rPr>
          <w:rFonts w:ascii="Calibri" w:cs="Calibri" w:eastAsia="Calibri" w:hAnsi="Calibri"/>
          <w:sz w:val="22"/>
          <w:szCs w:val="22"/>
        </w:rPr>
        <w:t xml:space="preserve">Launch x402 adapter (if not already Day 1).</w:t>
      </w:r>
    </w:p>
    <w:p>
      <w:pPr>
        <w:pStyle w:val="ListParagraph"/>
        <w:numPr>
          <w:ilvl w:val="0"/>
          <w:numId w:val="2"/>
        </w:numPr>
        <w:spacing w:after="60" w:before="60" w:line="300"/>
      </w:pPr>
      <w:r>
        <w:rPr>
          <w:rFonts w:ascii="Calibri" w:cs="Calibri" w:eastAsia="Calibri" w:hAnsi="Calibri"/>
          <w:sz w:val="22"/>
          <w:szCs w:val="22"/>
        </w:rPr>
        <w:t xml:space="preserve">Open inbound waitlist for merchant self-serve onboarding.</w:t>
      </w:r>
    </w:p>
    <w:p>
      <w:pPr>
        <w:pStyle w:val="ListParagraph"/>
        <w:numPr>
          <w:ilvl w:val="0"/>
          <w:numId w:val="2"/>
        </w:numPr>
        <w:spacing w:after="60" w:before="60" w:line="300"/>
      </w:pPr>
      <w:r>
        <w:rPr>
          <w:rFonts w:ascii="Calibri" w:cs="Calibri" w:eastAsia="Calibri" w:hAnsi="Calibri"/>
          <w:sz w:val="22"/>
          <w:szCs w:val="22"/>
        </w:rPr>
        <w:t xml:space="preserve">Publish API documentation, developer guides, and sample MCP tool integrations on public GitHub.</w:t>
      </w:r>
    </w:p>
    <w:p>
      <w:pPr>
        <w:pStyle w:val="ListParagraph"/>
        <w:numPr>
          <w:ilvl w:val="0"/>
          <w:numId w:val="2"/>
        </w:numPr>
        <w:spacing w:after="60" w:before="60" w:line="300"/>
      </w:pPr>
      <w:r>
        <w:rPr>
          <w:rFonts w:ascii="Calibri" w:cs="Calibri" w:eastAsia="Calibri" w:hAnsi="Calibri"/>
          <w:sz w:val="22"/>
          <w:szCs w:val="22"/>
        </w:rPr>
        <w:t xml:space="preserve">Target 50 active merchants by end of Month 9.</w:t>
      </w:r>
    </w:p>
    <w:p>
      <w:pPr>
        <w:pStyle w:val="Heading2"/>
        <w:spacing w:after="120" w:before="280"/>
      </w:pPr>
      <w:r>
        <w:rPr>
          <w:rFonts w:ascii="Calibri" w:cs="Calibri" w:eastAsia="Calibri" w:hAnsi="Calibri"/>
          <w:b/>
          <w:bCs/>
          <w:color w:val="1F2A44"/>
          <w:sz w:val="28"/>
          <w:szCs w:val="28"/>
        </w:rPr>
        <w:t xml:space="preserve">16.4 Phase 3: Scale and token expansion (Months 9 to 18)</w:t>
      </w:r>
    </w:p>
    <w:p>
      <w:pPr>
        <w:pStyle w:val="ListParagraph"/>
        <w:numPr>
          <w:ilvl w:val="0"/>
          <w:numId w:val="2"/>
        </w:numPr>
        <w:spacing w:after="60" w:before="60" w:line="300"/>
      </w:pPr>
      <w:r>
        <w:rPr>
          <w:rFonts w:ascii="Calibri" w:cs="Calibri" w:eastAsia="Calibri" w:hAnsi="Calibri"/>
          <w:sz w:val="22"/>
          <w:szCs w:val="22"/>
        </w:rPr>
        <w:t xml:space="preserve">Launch Pricing token type, expanding use cases and redemption volume.</w:t>
      </w:r>
    </w:p>
    <w:p>
      <w:pPr>
        <w:pStyle w:val="ListParagraph"/>
        <w:numPr>
          <w:ilvl w:val="0"/>
          <w:numId w:val="2"/>
        </w:numPr>
        <w:spacing w:after="60" w:before="60" w:line="300"/>
      </w:pPr>
      <w:r>
        <w:rPr>
          <w:rFonts w:ascii="Calibri" w:cs="Calibri" w:eastAsia="Calibri" w:hAnsi="Calibri"/>
          <w:sz w:val="22"/>
          <w:szCs w:val="22"/>
        </w:rPr>
        <w:t xml:space="preserve">Launch Returns token type, adding returns-heavy retail as a new vertical.</w:t>
      </w:r>
    </w:p>
    <w:p>
      <w:pPr>
        <w:pStyle w:val="ListParagraph"/>
        <w:numPr>
          <w:ilvl w:val="0"/>
          <w:numId w:val="2"/>
        </w:numPr>
        <w:spacing w:after="60" w:before="60" w:line="300"/>
      </w:pPr>
      <w:r>
        <w:rPr>
          <w:rFonts w:ascii="Calibri" w:cs="Calibri" w:eastAsia="Calibri" w:hAnsi="Calibri"/>
          <w:sz w:val="22"/>
          <w:szCs w:val="22"/>
        </w:rPr>
        <w:t xml:space="preserve">Launch AP2 adapter for OpenAI agent ecosystem coverage.</w:t>
      </w:r>
    </w:p>
    <w:p>
      <w:pPr>
        <w:pStyle w:val="ListParagraph"/>
        <w:numPr>
          <w:ilvl w:val="0"/>
          <w:numId w:val="2"/>
        </w:numPr>
        <w:spacing w:after="60" w:before="60" w:line="300"/>
      </w:pPr>
      <w:r>
        <w:rPr>
          <w:rFonts w:ascii="Calibri" w:cs="Calibri" w:eastAsia="Calibri" w:hAnsi="Calibri"/>
          <w:sz w:val="22"/>
          <w:szCs w:val="22"/>
        </w:rPr>
        <w:t xml:space="preserve">Explore coalition loyalty: tokens earned at Merchant A redeemable at Merchant B within the Tokento network. This is the wallet-density compounding moment.</w:t>
      </w:r>
    </w:p>
    <w:p>
      <w:pPr>
        <w:pStyle w:val="ListParagraph"/>
        <w:numPr>
          <w:ilvl w:val="0"/>
          <w:numId w:val="2"/>
        </w:numPr>
        <w:spacing w:after="60" w:before="60" w:line="300"/>
      </w:pPr>
      <w:r>
        <w:rPr>
          <w:rFonts w:ascii="Calibri" w:cs="Calibri" w:eastAsia="Calibri" w:hAnsi="Calibri"/>
          <w:sz w:val="22"/>
          <w:szCs w:val="22"/>
        </w:rPr>
        <w:t xml:space="preserve">Target 150+ merchants and Series A fundraise with 12 months of paid revenue data.</w:t>
      </w:r>
    </w:p>
    <w:p>
      <w:pPr>
        <w:pStyle w:val="Heading2"/>
        <w:spacing w:after="120" w:before="280"/>
      </w:pPr>
      <w:r>
        <w:rPr>
          <w:rFonts w:ascii="Calibri" w:cs="Calibri" w:eastAsia="Calibri" w:hAnsi="Calibri"/>
          <w:b/>
          <w:bCs/>
          <w:color w:val="1F2A44"/>
          <w:sz w:val="28"/>
          <w:szCs w:val="28"/>
        </w:rPr>
        <w:t xml:space="preserve">16.5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Competitor type</w:t>
            </w:r>
          </w:p>
        </w:tc>
        <w:tc>
          <w:tcPr>
            <w:tcW w:type="dxa" w:w="636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Tokento differentiation</w:t>
            </w:r>
          </w:p>
        </w:tc>
      </w:tr>
      <w:tr>
        <w:trPr>
          <w:tblHeader w:val="false"/>
        </w:trP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Traditional loyalty SaaS (Talon.One, Antavo, LoyaltyLion)</w:t>
            </w:r>
          </w:p>
        </w:tc>
        <w:tc>
          <w:tcPr>
            <w:tcW w:type="dxa" w:w="6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UI-first, human-redemption-first. No agent interoperability layer, no TQI, no MCP compatibility. Tokento is complementary short-term, replacement long-term as agentic commerce scales.</w:t>
            </w:r>
          </w:p>
        </w:tc>
      </w:tr>
      <w:tr>
        <w:trPr>
          <w:tblHeader w:val="false"/>
        </w:trP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Payment infrastructure (Stripe, Adyen)</w:t>
            </w:r>
          </w:p>
        </w:tc>
        <w:tc>
          <w:tcPr>
            <w:tcW w:type="dxa" w:w="6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Handle money movement, not value encoding. No concept of merchant-issued loyalty token, earn-rule engine, or agent-queryable wallet.</w:t>
            </w:r>
          </w:p>
        </w:tc>
      </w:tr>
      <w:tr>
        <w:trPr>
          <w:tblHeader w:val="false"/>
        </w:trP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Agent-platform native loyalty (OpenAI checkout, Shopify MCP)</w:t>
            </w:r>
          </w:p>
        </w:tc>
        <w:tc>
          <w:tcPr>
            <w:tcW w:type="dxa" w:w="6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Closed ecosystems serving one agent provider's merchant network. Tokento is protocol-agnostic, structural advantage as the landscape fragments.</w:t>
            </w:r>
          </w:p>
        </w:tc>
      </w:tr>
      <w:tr>
        <w:trPr>
          <w:tblHeader w:val="false"/>
        </w:trP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Large merchant DIY</w:t>
            </w:r>
          </w:p>
        </w:tc>
        <w:tc>
          <w:tcPr>
            <w:tcW w:type="dxa" w:w="6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Enterprise merchants with significant engineering could build in-house. Tokento's advantage: time-to-market, cross-merchant wallet aggregation, and protocol-adapter maintenance as standards evolve.</w:t>
            </w:r>
          </w:p>
        </w:tc>
      </w:tr>
    </w:tbl>
    <w:p>
      <w:pPr>
        <w:spacing w:after="80" w:before="80" w:line="300"/>
        <w:jc w:val="left"/>
      </w:pPr>
      <w:r>
        <w:rPr>
          <w:rFonts w:ascii="Calibri" w:cs="Calibri" w:eastAsia="Calibri" w:hAnsi="Calibri"/>
          <w:sz w:val="22"/>
          <w:szCs w:val="22"/>
        </w:rPr>
        <w:t xml:space="preserve"/>
      </w:r>
    </w:p>
    <w:p>
      <w:pPr>
        <w:pStyle w:val="Heading1"/>
        <w:spacing w:after="160" w:before="360"/>
      </w:pPr>
      <w:r>
        <w:rPr>
          <w:rFonts w:ascii="Calibri" w:cs="Calibri" w:eastAsia="Calibri" w:hAnsi="Calibri"/>
          <w:b/>
          <w:bCs/>
          <w:color w:val="1F2A44"/>
          <w:sz w:val="36"/>
          <w:szCs w:val="36"/>
        </w:rPr>
        <w:t xml:space="preserve">XVII. Key Risks and Mitigations</w:t>
      </w:r>
    </w:p>
    <w:p>
      <w:pPr>
        <w:shd w:fill="EAF1F8" w:val="clear"/>
        <w:spacing w:after="120" w:before="120" w:line="300"/>
        <w:ind w:left="200" w:right="200"/>
      </w:pPr>
      <w:r>
        <w:rPr>
          <w:rFonts w:ascii="Calibri" w:cs="Calibri" w:eastAsia="Calibri" w:hAnsi="Calibri"/>
          <w:b/>
          <w:bCs/>
          <w:color w:val="1F2A44"/>
          <w:sz w:val="22"/>
          <w:szCs w:val="22"/>
        </w:rPr>
        <w:t xml:space="preserve">New section.  </w:t>
      </w:r>
      <w:r>
        <w:rPr>
          <w:rFonts w:ascii="Calibri" w:cs="Calibri" w:eastAsia="Calibri" w:hAnsi="Calibri"/>
          <w:sz w:val="22"/>
          <w:szCs w:val="22"/>
        </w:rPr>
        <w:t xml:space="preserve">The original spec did not surface existential risks. A serious operating plan must name them. Each risk below is paired with a concrete mitigation, not a generic platitude.</w:t>
      </w:r>
    </w:p>
    <w:p>
      <w:pPr>
        <w:pStyle w:val="Heading2"/>
        <w:spacing w:after="120" w:before="280"/>
      </w:pPr>
      <w:r>
        <w:rPr>
          <w:rFonts w:ascii="Calibri" w:cs="Calibri" w:eastAsia="Calibri" w:hAnsi="Calibri"/>
          <w:b/>
          <w:bCs/>
          <w:color w:val="1F2A44"/>
          <w:sz w:val="28"/>
          <w:szCs w:val="28"/>
        </w:rPr>
        <w:t xml:space="preserve">17.1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Risk</w:t>
            </w:r>
          </w:p>
        </w:tc>
        <w:tc>
          <w:tcPr>
            <w:tcW w:type="dxa" w:w="16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Severity</w:t>
            </w:r>
          </w:p>
        </w:tc>
        <w:tc>
          <w:tcPr>
            <w:tcW w:type="dxa" w:w="476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Mitigation</w:t>
            </w:r>
          </w:p>
        </w:tc>
      </w:tr>
      <w:tr>
        <w:trPr>
          <w:tblHeader w:val="false"/>
        </w:trP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Agentic commerce transaction volume does not materialize on the expected curve through 2027</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Existential</w:t>
            </w:r>
          </w:p>
        </w:tc>
        <w:tc>
          <w:tcPr>
            <w:tcW w:type="dxa" w:w="4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Size cash runway for 24-month thesis-validation window. Define conservative-scenario metrics in Section XIII as the planning baseline, not the base case.</w:t>
            </w:r>
          </w:p>
        </w:tc>
      </w:tr>
      <w:tr>
        <w:trPr>
          <w:tblHeader w:val="false"/>
        </w:trP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Shopify, Stripe, or a loyalty incumbent ships equivalent functionality before Tokento has wallet density</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High</w:t>
            </w:r>
          </w:p>
        </w:tc>
        <w:tc>
          <w:tcPr>
            <w:tcW w:type="dxa" w:w="4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Move faster on protocol coverage. Build cross-merchant wallet density per Section VIII. Protocol-agnostic adapter strategy creates a structural advantage incumbents cannot match without redesign.</w:t>
            </w:r>
          </w:p>
        </w:tc>
      </w:tr>
      <w:tr>
        <w:trPr>
          <w:tblHeader w:val="false"/>
        </w:trP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Merchants decline to pay anything until volume is proven</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High</w:t>
            </w:r>
          </w:p>
        </w:tc>
        <w:tc>
          <w:tcPr>
            <w:tcW w:type="dxa" w:w="4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Interchange-only pricing for design partners and early access (first 50 merchants). Paid tiers gated on data, not on speculation.</w:t>
            </w:r>
          </w:p>
        </w:tc>
      </w:tr>
      <w:tr>
        <w:trPr>
          <w:tblHeader w:val="false"/>
        </w:trP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Customer-side wallet adoption is the bottleneck, not merchant adoption</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High</w:t>
            </w:r>
          </w:p>
        </w:tc>
        <w:tc>
          <w:tcPr>
            <w:tcW w:type="dxa" w:w="4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Commit to a specific bootstrap mechanism before Week 1 (Section IX). Instrument wallet creation rate from Day 1.</w:t>
            </w:r>
          </w:p>
        </w:tc>
      </w:tr>
      <w:tr>
        <w:trPr>
          <w:tblHeader w:val="false"/>
        </w:trP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PayPal builds this internally and the channel evaporates</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Medium-High</w:t>
            </w:r>
          </w:p>
        </w:tc>
        <w:tc>
          <w:tcPr>
            <w:tcW w:type="dxa" w:w="4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Founding-team conversation with PayPal team must occur before Week 1. If PayPal is building this internally, restructure as a partnership rather than a standalone build.</w:t>
            </w:r>
          </w:p>
        </w:tc>
      </w:tr>
      <w:tr>
        <w:trPr>
          <w:tblHeader w:val="false"/>
        </w:trP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Agent-side integration does not happen because there is no economic incentive</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Medium</w:t>
            </w:r>
          </w:p>
        </w:tc>
        <w:tc>
          <w:tcPr>
            <w:tcW w:type="dxa" w:w="4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Section XI agent-economics model. Negotiate revenue share with one agent platform in Phase 2.</w:t>
            </w:r>
          </w:p>
        </w:tc>
      </w:tr>
      <w:tr>
        <w:trPr>
          <w:tblHeader w:val="false"/>
        </w:trP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Regulatory shifts around stored value and float</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Low-Medium (now); High in v3</w:t>
            </w:r>
          </w:p>
        </w:tc>
        <w:tc>
          <w:tcPr>
            <w:tcW w:type="dxa" w:w="4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Float revenue stream is explicitly deferred to post-Series A with appropriate counsel. Do not pursue in MVP.</w:t>
            </w:r>
          </w:p>
        </w:tc>
      </w:tr>
    </w:tbl>
    <w:p>
      <w:pPr>
        <w:spacing w:after="80" w:before="80" w:line="300"/>
        <w:jc w:val="left"/>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2A44"/>
          <w:sz w:val="28"/>
          <w:szCs w:val="28"/>
        </w:rPr>
        <w:t xml:space="preserve">17.2 What is not a serious risk</w:t>
      </w:r>
    </w:p>
    <w:p>
      <w:pPr>
        <w:pStyle w:val="ListParagraph"/>
        <w:numPr>
          <w:ilvl w:val="0"/>
          <w:numId w:val="2"/>
        </w:numPr>
        <w:spacing w:after="60" w:before="60" w:line="300"/>
      </w:pPr>
      <w:r>
        <w:rPr>
          <w:rFonts w:ascii="Calibri" w:cs="Calibri" w:eastAsia="Calibri" w:hAnsi="Calibri"/>
          <w:sz w:val="22"/>
          <w:szCs w:val="22"/>
        </w:rPr>
        <w:t xml:space="preserve">Technical execution. The architecture is straightforward; the recommended build stack compresses time-to-market substantially.</w:t>
      </w:r>
    </w:p>
    <w:p>
      <w:pPr>
        <w:pStyle w:val="ListParagraph"/>
        <w:numPr>
          <w:ilvl w:val="0"/>
          <w:numId w:val="2"/>
        </w:numPr>
        <w:spacing w:after="60" w:before="60" w:line="300"/>
      </w:pPr>
      <w:r>
        <w:rPr>
          <w:rFonts w:ascii="Calibri" w:cs="Calibri" w:eastAsia="Calibri" w:hAnsi="Calibri"/>
          <w:sz w:val="22"/>
          <w:szCs w:val="22"/>
        </w:rPr>
        <w:t xml:space="preserve">Protocol churn. The adapter pattern absorbs protocol turnover at low cost.</w:t>
      </w:r>
    </w:p>
    <w:p>
      <w:pPr>
        <w:pStyle w:val="ListParagraph"/>
        <w:numPr>
          <w:ilvl w:val="0"/>
          <w:numId w:val="2"/>
        </w:numPr>
        <w:spacing w:after="60" w:before="60" w:line="300"/>
      </w:pPr>
      <w:r>
        <w:rPr>
          <w:rFonts w:ascii="Calibri" w:cs="Calibri" w:eastAsia="Calibri" w:hAnsi="Calibri"/>
          <w:sz w:val="22"/>
          <w:szCs w:val="22"/>
        </w:rPr>
        <w:t xml:space="preserve">Fraud at MVP scale. Sardine integration handles velocity and behavioral controls.</w:t>
      </w:r>
    </w:p>
    <w:p>
      <w:pPr>
        <w:pStyle w:val="Heading1"/>
        <w:spacing w:after="160" w:before="360"/>
      </w:pPr>
      <w:r>
        <w:rPr>
          <w:rFonts w:ascii="Calibri" w:cs="Calibri" w:eastAsia="Calibri" w:hAnsi="Calibri"/>
          <w:b/>
          <w:bCs/>
          <w:color w:val="1F2A44"/>
          <w:sz w:val="36"/>
          <w:szCs w:val="36"/>
        </w:rPr>
        <w:t xml:space="preserve">XVIII. Technical Architecture</w:t>
      </w:r>
    </w:p>
    <w:p>
      <w:pPr>
        <w:pStyle w:val="Heading2"/>
        <w:spacing w:after="120" w:before="280"/>
      </w:pPr>
      <w:r>
        <w:rPr>
          <w:rFonts w:ascii="Calibri" w:cs="Calibri" w:eastAsia="Calibri" w:hAnsi="Calibri"/>
          <w:b/>
          <w:bCs/>
          <w:color w:val="1F2A44"/>
          <w:sz w:val="28"/>
          <w:szCs w:val="28"/>
        </w:rPr>
        <w:t xml:space="preserve">18.1 Architecture principles</w:t>
      </w:r>
    </w:p>
    <w:p>
      <w:pPr>
        <w:pStyle w:val="ListParagraph"/>
        <w:numPr>
          <w:ilvl w:val="0"/>
          <w:numId w:val="2"/>
        </w:numPr>
        <w:spacing w:after="60" w:before="60" w:line="300"/>
      </w:pPr>
      <w:r>
        <w:rPr>
          <w:rFonts w:ascii="Calibri" w:cs="Calibri" w:eastAsia="Calibri" w:hAnsi="Calibri"/>
          <w:sz w:val="22"/>
          <w:szCs w:val="22"/>
        </w:rPr>
        <w:t xml:space="preserve">API-first: every product capability accessible via API before any dashboard UI is built.</w:t>
      </w:r>
    </w:p>
    <w:p>
      <w:pPr>
        <w:pStyle w:val="ListParagraph"/>
        <w:numPr>
          <w:ilvl w:val="0"/>
          <w:numId w:val="2"/>
        </w:numPr>
        <w:spacing w:after="60" w:before="60" w:line="300"/>
      </w:pPr>
      <w:r>
        <w:rPr>
          <w:rFonts w:ascii="Calibri" w:cs="Calibri" w:eastAsia="Calibri" w:hAnsi="Calibri"/>
          <w:sz w:val="22"/>
          <w:szCs w:val="22"/>
        </w:rPr>
        <w:t xml:space="preserve">Stateless services: all application logic is stateless; state lives in the datastore and cache layers.</w:t>
      </w:r>
    </w:p>
    <w:p>
      <w:pPr>
        <w:pStyle w:val="ListParagraph"/>
        <w:numPr>
          <w:ilvl w:val="0"/>
          <w:numId w:val="2"/>
        </w:numPr>
        <w:spacing w:after="60" w:before="60" w:line="300"/>
      </w:pPr>
      <w:r>
        <w:rPr>
          <w:rFonts w:ascii="Calibri" w:cs="Calibri" w:eastAsia="Calibri" w:hAnsi="Calibri"/>
          <w:sz w:val="22"/>
          <w:szCs w:val="22"/>
        </w:rPr>
        <w:t xml:space="preserve">Event-driven settlement: redemption events emit to a settlement queue; workers process asynchronously.</w:t>
      </w:r>
    </w:p>
    <w:p>
      <w:pPr>
        <w:pStyle w:val="ListParagraph"/>
        <w:numPr>
          <w:ilvl w:val="0"/>
          <w:numId w:val="2"/>
        </w:numPr>
        <w:spacing w:after="60" w:before="60" w:line="300"/>
      </w:pPr>
      <w:r>
        <w:rPr>
          <w:rFonts w:ascii="Calibri" w:cs="Calibri" w:eastAsia="Calibri" w:hAnsi="Calibri"/>
          <w:sz w:val="22"/>
          <w:szCs w:val="22"/>
        </w:rPr>
        <w:t xml:space="preserve">Adapter pattern for protocols: TQI is the stable internal contract; adapters translate external protocols.</w:t>
      </w:r>
    </w:p>
    <w:p>
      <w:pPr>
        <w:pStyle w:val="ListParagraph"/>
        <w:numPr>
          <w:ilvl w:val="0"/>
          <w:numId w:val="2"/>
        </w:numPr>
        <w:spacing w:after="60" w:before="60" w:line="300"/>
      </w:pPr>
      <w:r>
        <w:rPr>
          <w:rFonts w:ascii="Calibri" w:cs="Calibri" w:eastAsia="Calibri" w:hAnsi="Calibri"/>
          <w:sz w:val="22"/>
          <w:szCs w:val="22"/>
        </w:rPr>
        <w:t xml:space="preserve">Zero-trust authorization: every API call authenticated and authorized; no implicit trust between services.</w:t>
      </w:r>
    </w:p>
    <w:p>
      <w:pPr>
        <w:pStyle w:val="Heading2"/>
        <w:spacing w:after="120" w:before="280"/>
      </w:pPr>
      <w:r>
        <w:rPr>
          <w:rFonts w:ascii="Calibri" w:cs="Calibri" w:eastAsia="Calibri" w:hAnsi="Calibri"/>
          <w:b/>
          <w:bCs/>
          <w:color w:val="1F2A44"/>
          <w:sz w:val="28"/>
          <w:szCs w:val="28"/>
        </w:rPr>
        <w:t xml:space="preserve">18.2 Service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Service</w:t>
            </w:r>
          </w:p>
        </w:tc>
        <w:tc>
          <w:tcPr>
            <w:tcW w:type="dxa" w:w="696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Responsibility</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Token Issuance Service</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Handles mint endpoint. Evaluates earn rules, generates token objects, signs via HMAC-SHA256, writes to token store. Emits token_minted events.</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Wallet Service</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Maintains customer wallet state. Handles GET /wallet queries. Manages ACTIVE/REDEEMED/EXPIRED state transitions.</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Validation Service</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Stateless validation logic. Reads token from Wallet Service, evaluates all predicates, returns pass/fail with reason code.</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Redemption Service</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Handles POST /redeem. Re-validates, calls Sardine risk score, writes REDEEMED state (idempotent), emits token_redeemed event.</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Settlement Service</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Consumes token_redeemed events. Calculates merchant liability delta. Calls Runa or Tremendous for disbursement, Modern Treasury for ledger update.</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MCP Adapter Service</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Translates MCP tool calls into TQI HTTP calls. Hosted on Cloudflare Workers. Registered in Composio MCP directory.</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Merchant Config Service</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Stores merchant configuration: earn rules, token parameters, settlement preferences, agent opt-out flags.</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Auth Service</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Stytch integration. Issues and validates merchant API keys and customer OAuth 2.0 wallet access tokens.</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Audit Service</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Receives log events via EventBridge. Writes to immutable audit log. Serves log query API to merchants.</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Notification Service</w:t>
            </w:r>
          </w:p>
        </w:tc>
        <w:tc>
          <w:tcPr>
            <w:tcW w:type="dxa" w:w="6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Consumes events and dispatches webhooks to merchant endpoints. Manages retry and delivery log.</w:t>
            </w:r>
          </w:p>
        </w:tc>
      </w:tr>
    </w:tbl>
    <w:p>
      <w:pPr>
        <w:spacing w:after="80" w:before="80" w:line="300"/>
        <w:jc w:val="left"/>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2A44"/>
          <w:sz w:val="28"/>
          <w:szCs w:val="28"/>
        </w:rPr>
        <w:t xml:space="preserve">18.3 Infrastructure stack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Component</w:t>
            </w:r>
          </w:p>
        </w:tc>
        <w:tc>
          <w:tcPr>
            <w:tcW w:type="dxa" w:w="6560"/>
            <w:tcBorders>
              <w:top w:val="single" w:color="D1D5DB" w:sz="4"/>
              <w:left w:val="single" w:color="D1D5DB" w:sz="4"/>
              <w:bottom w:val="single" w:color="D1D5DB" w:sz="4"/>
              <w:right w:val="single" w:color="D1D5DB" w:sz="4"/>
            </w:tcBorders>
            <w:shd w:fill="1F2A44" w:val="clear"/>
            <w:tcMar>
              <w:top w:type="dxa" w:w="100"/>
              <w:left w:type="dxa" w:w="140"/>
              <w:bottom w:type="dxa" w:w="100"/>
              <w:right w:type="dxa" w:w="140"/>
            </w:tcMar>
          </w:tcPr>
          <w:p>
            <w:pPr>
              <w:spacing w:after="40" w:before="40" w:line="280"/>
            </w:pPr>
            <w:r>
              <w:rPr>
                <w:rFonts w:ascii="Calibri" w:cs="Calibri" w:eastAsia="Calibri" w:hAnsi="Calibri"/>
                <w:b/>
                <w:bCs/>
                <w:color w:val="FFFFFF"/>
                <w:sz w:val="20"/>
                <w:szCs w:val="20"/>
              </w:rPr>
              <w:t xml:space="preserve">Choice</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Cloud provider</w:t>
            </w:r>
          </w:p>
        </w:tc>
        <w:tc>
          <w:tcPr>
            <w:tcW w:type="dxa" w:w="6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AWS (primary)</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API gateway</w:t>
            </w:r>
          </w:p>
        </w:tc>
        <w:tc>
          <w:tcPr>
            <w:tcW w:type="dxa" w:w="6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AWS API Gateway with Stytch custom authorizer</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Application services</w:t>
            </w:r>
          </w:p>
        </w:tc>
        <w:tc>
          <w:tcPr>
            <w:tcW w:type="dxa" w:w="6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Node.js or Go microservices, Docker containers, ECS Fargate</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Primary datastore</w:t>
            </w:r>
          </w:p>
        </w:tc>
        <w:tc>
          <w:tcPr>
            <w:tcW w:type="dxa" w:w="6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PostgreSQL (RDS) — tokens, wallets, merchants, earn rules</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Cache</w:t>
            </w:r>
          </w:p>
        </w:tc>
        <w:tc>
          <w:tcPr>
            <w:tcW w:type="dxa" w:w="6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Redis (ElastiCache) — wallet query results, rate limit counters</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Event bus</w:t>
            </w:r>
          </w:p>
        </w:tc>
        <w:tc>
          <w:tcPr>
            <w:tcW w:type="dxa" w:w="6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Amazon EventBridge</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Ledger</w:t>
            </w:r>
          </w:p>
        </w:tc>
        <w:tc>
          <w:tcPr>
            <w:tcW w:type="dxa" w:w="6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Modern Treasury (MVP); Tigerbeetle (Phase 3)</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Auth</w:t>
            </w:r>
          </w:p>
        </w:tc>
        <w:tc>
          <w:tcPr>
            <w:tcW w:type="dxa" w:w="6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Stytch</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MCP hosting</w:t>
            </w:r>
          </w:p>
        </w:tc>
        <w:tc>
          <w:tcPr>
            <w:tcW w:type="dxa" w:w="6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Composio plus Cloudflare Workers</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Settlement rails</w:t>
            </w:r>
          </w:p>
        </w:tc>
        <w:tc>
          <w:tcPr>
            <w:tcW w:type="dxa" w:w="6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Runa or Tremendous</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Fraud</w:t>
            </w:r>
          </w:p>
        </w:tc>
        <w:tc>
          <w:tcPr>
            <w:tcW w:type="dxa" w:w="6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Sardine</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Secrets</w:t>
            </w:r>
          </w:p>
        </w:tc>
        <w:tc>
          <w:tcPr>
            <w:tcW w:type="dxa" w:w="6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AWS KMS for HMAC keys; Secrets Manager for service credentials</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Monitoring</w:t>
            </w:r>
          </w:p>
        </w:tc>
        <w:tc>
          <w:tcPr>
            <w:tcW w:type="dxa" w:w="6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Datadog APM plus CloudWatch alarms</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CI/CD</w:t>
            </w:r>
          </w:p>
        </w:tc>
        <w:tc>
          <w:tcPr>
            <w:tcW w:type="dxa" w:w="6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spacing w:after="40" w:before="40" w:line="280"/>
            </w:pPr>
            <w:r>
              <w:rPr>
                <w:rFonts w:ascii="Calibri" w:cs="Calibri" w:eastAsia="Calibri" w:hAnsi="Calibri"/>
                <w:b w:val="false"/>
                <w:bCs w:val="false"/>
                <w:color w:val="000000"/>
                <w:sz w:val="20"/>
                <w:szCs w:val="20"/>
              </w:rPr>
              <w:t xml:space="preserve">GitHub Actions → ECR → ECS rolling deploys</w:t>
            </w:r>
          </w:p>
        </w:tc>
      </w:tr>
    </w:tbl>
    <w:p>
      <w:pPr>
        <w:spacing w:after="80" w:before="80" w:line="300"/>
        <w:jc w:val="left"/>
      </w:pPr>
      <w:r>
        <w:rPr>
          <w:rFonts w:ascii="Calibri" w:cs="Calibri" w:eastAsia="Calibri" w:hAnsi="Calibri"/>
          <w:sz w:val="22"/>
          <w:szCs w:val="22"/>
        </w:rPr>
        <w:t xml:space="preserve"/>
      </w:r>
    </w:p>
    <w:p>
      <w:pPr>
        <w:pStyle w:val="Heading1"/>
        <w:spacing w:after="160" w:before="360"/>
      </w:pPr>
      <w:r>
        <w:rPr>
          <w:rFonts w:ascii="Calibri" w:cs="Calibri" w:eastAsia="Calibri" w:hAnsi="Calibri"/>
          <w:b/>
          <w:bCs/>
          <w:color w:val="1F2A44"/>
          <w:sz w:val="36"/>
          <w:szCs w:val="36"/>
        </w:rPr>
        <w:t xml:space="preserve">XIX. Closing Note for the Founding Team</w:t>
      </w:r>
    </w:p>
    <w:p>
      <w:pPr>
        <w:spacing w:after="80" w:before="80" w:line="300"/>
        <w:jc w:val="left"/>
      </w:pPr>
      <w:r>
        <w:rPr>
          <w:rFonts w:ascii="Calibri" w:cs="Calibri" w:eastAsia="Calibri" w:hAnsi="Calibri"/>
          <w:sz w:val="22"/>
          <w:szCs w:val="22"/>
        </w:rPr>
        <w:t xml:space="preserve">This document is version 2.0 of the Tokento specification. It has been deliberately restructured from a polished product spec into an operating plan, because the original document, while well-organized, optimized for sounding correct rather than for being executable.</w:t>
      </w:r>
    </w:p>
    <w:p>
      <w:pPr>
        <w:spacing w:after="80" w:before="80" w:line="300"/>
        <w:jc w:val="left"/>
      </w:pPr>
      <w:r>
        <w:rPr>
          <w:rFonts w:ascii="Calibri" w:cs="Calibri" w:eastAsia="Calibri" w:hAnsi="Calibri"/>
          <w:sz w:val="22"/>
          <w:szCs w:val="22"/>
        </w:rPr>
        <w:t xml:space="preserve">Three things should be true before any code is written:</w:t>
      </w:r>
    </w:p>
    <w:p>
      <w:pPr>
        <w:pStyle w:val="ListParagraph"/>
        <w:numPr>
          <w:ilvl w:val="0"/>
          <w:numId w:val="2"/>
        </w:numPr>
        <w:spacing w:after="60" w:before="60" w:line="300"/>
      </w:pPr>
      <w:r>
        <w:rPr>
          <w:rFonts w:ascii="Calibri" w:cs="Calibri" w:eastAsia="Calibri" w:hAnsi="Calibri"/>
          <w:b/>
          <w:bCs/>
          <w:sz w:val="22"/>
          <w:szCs w:val="22"/>
        </w:rPr>
        <w:t xml:space="preserve">1. </w:t>
      </w:r>
      <w:r>
        <w:rPr>
          <w:rFonts w:ascii="Calibri" w:cs="Calibri" w:eastAsia="Calibri" w:hAnsi="Calibri"/>
          <w:sz w:val="22"/>
          <w:szCs w:val="22"/>
        </w:rPr>
        <w:t xml:space="preserve">The PayPal-channel conversation is complete. Founding-team employment-conflict resolution, internal-build risk, and merchant-introduction commitments are documented.</w:t>
      </w:r>
    </w:p>
    <w:p>
      <w:pPr>
        <w:pStyle w:val="ListParagraph"/>
        <w:numPr>
          <w:ilvl w:val="0"/>
          <w:numId w:val="2"/>
        </w:numPr>
        <w:spacing w:after="60" w:before="60" w:line="300"/>
      </w:pPr>
      <w:r>
        <w:rPr>
          <w:rFonts w:ascii="Calibri" w:cs="Calibri" w:eastAsia="Calibri" w:hAnsi="Calibri"/>
          <w:b/>
          <w:bCs/>
          <w:sz w:val="22"/>
          <w:szCs w:val="22"/>
        </w:rPr>
        <w:t xml:space="preserve">2. </w:t>
      </w:r>
      <w:r>
        <w:rPr>
          <w:rFonts w:ascii="Calibri" w:cs="Calibri" w:eastAsia="Calibri" w:hAnsi="Calibri"/>
          <w:sz w:val="22"/>
          <w:szCs w:val="22"/>
        </w:rPr>
        <w:t xml:space="preserve">At least 5 of 20 merchant validation conversations produce verbal commitments to integrate as design partners.</w:t>
      </w:r>
    </w:p>
    <w:p>
      <w:pPr>
        <w:pStyle w:val="ListParagraph"/>
        <w:numPr>
          <w:ilvl w:val="0"/>
          <w:numId w:val="2"/>
        </w:numPr>
        <w:spacing w:after="60" w:before="60" w:line="300"/>
      </w:pPr>
      <w:r>
        <w:rPr>
          <w:rFonts w:ascii="Calibri" w:cs="Calibri" w:eastAsia="Calibri" w:hAnsi="Calibri"/>
          <w:b/>
          <w:bCs/>
          <w:sz w:val="22"/>
          <w:szCs w:val="22"/>
        </w:rPr>
        <w:t xml:space="preserve">3. </w:t>
      </w:r>
      <w:r>
        <w:rPr>
          <w:rFonts w:ascii="Calibri" w:cs="Calibri" w:eastAsia="Calibri" w:hAnsi="Calibri"/>
          <w:sz w:val="22"/>
          <w:szCs w:val="22"/>
        </w:rPr>
        <w:t xml:space="preserve">Bootstrap mechanism, protocol-priority decision, beachhead vertical, and cofounder structure are documented in writing.</w:t>
      </w:r>
    </w:p>
    <w:p>
      <w:pPr>
        <w:spacing w:after="80" w:before="80" w:line="300"/>
        <w:jc w:val="left"/>
      </w:pPr>
      <w:r>
        <w:rPr>
          <w:rFonts w:ascii="Calibri" w:cs="Calibri" w:eastAsia="Calibri" w:hAnsi="Calibri"/>
          <w:sz w:val="22"/>
          <w:szCs w:val="22"/>
        </w:rPr>
        <w:t xml:space="preserve">If any of those three are unresolved, the right move is to slow down and resolve them, not to write code faster. The single most common failure mode in early-stage infrastructure companies is building before validating; this spec is structured to make that failure mode harder to fall into.</w:t>
      </w:r>
    </w:p>
    <w:p>
      <w:pPr>
        <w:spacing w:after="80" w:before="80" w:line="300"/>
        <w:jc w:val="left"/>
      </w:pPr>
      <w:r>
        <w:rPr>
          <w:rFonts w:ascii="Calibri" w:cs="Calibri" w:eastAsia="Calibri" w:hAnsi="Calibri"/>
          <w:sz w:val="22"/>
          <w:szCs w:val="22"/>
        </w:rPr>
        <w:t xml:space="preserve">The thesis is real. The timing window is narrow. The advantage created by the founding team's positioning in MCP and PayPal is meaningful. None of that converts into a company without the validation work.</w:t>
      </w:r>
    </w:p>
    <w:p>
      <w:pPr>
        <w:pBdr>
          <w:bottom w:val="single" w:color="2E75B6" w:sz="6" w:space="1"/>
        </w:pBdr>
        <w:spacing w:after="120" w:before="120"/>
      </w:pPr>
      <w:r>
        <w:t xml:space="preserve"/>
      </w:r>
    </w:p>
    <w:p>
      <w:pPr>
        <w:spacing w:after="80" w:before="80" w:line="300"/>
        <w:jc w:val="center"/>
      </w:pPr>
      <w:r>
        <w:rPr>
          <w:rFonts w:ascii="Calibri" w:cs="Calibri" w:eastAsia="Calibri" w:hAnsi="Calibri"/>
          <w:i/>
          <w:iCs/>
          <w:color w:val="6B7280"/>
          <w:sz w:val="22"/>
          <w:szCs w:val="22"/>
        </w:rPr>
        <w:t xml:space="preserve">— End of document —</w:t>
      </w:r>
    </w:p>
    <w:p>
      <w:pPr>
        <w:spacing w:after="80" w:before="80" w:line="300"/>
        <w:jc w:val="center"/>
      </w:pPr>
      <w:r>
        <w:rPr>
          <w:rFonts w:ascii="Calibri" w:cs="Calibri" w:eastAsia="Calibri" w:hAnsi="Calibri"/>
          <w:i/>
          <w:iCs/>
          <w:color w:val="6B7280"/>
          <w:sz w:val="18"/>
          <w:szCs w:val="18"/>
        </w:rPr>
        <w:t xml:space="preserve">Tokento Strategic Specification v2.0  |  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Confidential — Internal Use Only  •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8"/>
        <w:szCs w:val="18"/>
      </w:rPr>
      <w:t xml:space="preserve">TOKENTO  •  Strategic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2A4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2A44"/>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Tokento Strategic Specification v2.0</dc:title>
  <dc:creator>Tokento Founding Team</dc:creator>
  <cp:lastModifiedBy>Un-named</cp:lastModifiedBy>
  <cp:revision>1</cp:revision>
  <dcterms:created xsi:type="dcterms:W3CDTF">2026-05-22T07:26:46.714Z</dcterms:created>
  <dcterms:modified xsi:type="dcterms:W3CDTF">2026-05-22T07:26:46.714Z</dcterms:modified>
</cp:coreProperties>
</file>

<file path=docProps/custom.xml><?xml version="1.0" encoding="utf-8"?>
<Properties xmlns="http://schemas.openxmlformats.org/officeDocument/2006/custom-properties" xmlns:vt="http://schemas.openxmlformats.org/officeDocument/2006/docPropsVTypes"/>
</file>