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sz w:val="30"/>
          <w:rFonts w:eastAsia="Microsoft YaHei" w:hAnsi="Calibri" w:ascii="Calibri"/>
        </w:rPr>
        <w:t>Decomposing Radical-Aligned Geometry in</w:t>
        <w:br/>
        <w:t>Chinese Character Embeddings</w:t>
      </w:r>
    </w:p>
    <w:p>
      <w:pPr>
        <w:spacing w:after="160"/>
        <w:jc w:val="center"/>
      </w:pPr>
      <w:r>
        <w:rPr>
          <w:i/>
          <w:sz w:val="22"/>
          <w:rFonts w:eastAsia="Microsoft YaHei" w:hAnsi="Calibri" w:ascii="Calibri"/>
        </w:rPr>
        <w:t>Form, Distribution, Frequency, and the Limits of Variance Analysis</w:t>
      </w:r>
    </w:p>
    <w:p>
      <w:pPr>
        <w:spacing w:before="0" w:after="20" w:line="264" w:lineRule="auto"/>
        <w:jc w:val="center"/>
      </w:pPr>
      <w:r>
        <w:rPr>
          <w:b/>
          <w:sz w:val="22"/>
          <w:rFonts w:eastAsia="Microsoft YaHei" w:hAnsi="Calibri" w:ascii="Calibri"/>
        </w:rPr>
        <w:t>Aryan Maity</w:t>
      </w:r>
    </w:p>
    <w:p>
      <w:pPr>
        <w:spacing w:before="0" w:after="20" w:line="264" w:lineRule="auto"/>
        <w:jc w:val="center"/>
      </w:pPr>
      <w:r>
        <w:rPr>
          <w:b w:val="0"/>
          <w:sz w:val="19"/>
          <w:rFonts w:eastAsia="Microsoft YaHei" w:hAnsi="Calibri" w:ascii="Calibri"/>
        </w:rPr>
        <w:t>B.Tech Computer Science, St. Edmunds College (NEHU), India</w:t>
      </w:r>
    </w:p>
    <w:p>
      <w:pPr>
        <w:spacing w:before="0" w:after="20" w:line="264" w:lineRule="auto"/>
        <w:jc w:val="center"/>
      </w:pPr>
      <w:r>
        <w:rPr>
          <w:b w:val="0"/>
          <w:sz w:val="19"/>
          <w:rFonts w:eastAsia="Microsoft YaHei" w:hAnsi="Calibri" w:ascii="Calibri"/>
        </w:rPr>
        <w:t>aryanmaity3579@gmail.com</w:t>
      </w:r>
    </w:p>
    <w:p>
      <w:pPr>
        <w:spacing w:before="0" w:after="20" w:line="264" w:lineRule="auto"/>
        <w:jc w:val="center"/>
      </w:pPr>
      <w:r>
        <w:rPr>
          <w:b w:val="0"/>
          <w:sz w:val="19"/>
          <w:rFonts w:eastAsia="Microsoft YaHei" w:hAnsi="Calibri" w:ascii="Calibri"/>
        </w:rPr>
        <w:t>https://github.com/aryan35790jp/chinese_llm</w:t>
      </w:r>
    </w:p>
    <w:p>
      <w:pPr>
        <w:spacing w:before="240" w:after="40"/>
        <w:jc w:val="center"/>
      </w:pPr>
      <w:r>
        <w:rPr>
          <w:b/>
          <w:sz w:val="22"/>
          <w:rFonts w:eastAsia="Microsoft YaHei" w:hAnsi="Calibri" w:ascii="Calibri"/>
        </w:rPr>
        <w:t>Abstract</w:t>
      </w:r>
    </w:p>
    <w:p>
      <w:pPr>
        <w:spacing w:before="40" w:after="160" w:line="276" w:lineRule="auto"/>
        <w:ind w:left="680" w:right="680"/>
        <w:jc w:val="both"/>
      </w:pPr>
      <w:r>
        <w:rPr>
          <w:sz w:val="19"/>
          <w:rFonts w:eastAsia="Microsoft YaHei" w:hAnsi="Calibri" w:ascii="Calibri"/>
        </w:rPr>
        <w:t>Chinese characters are organized around 214 Kangxi radicals, recurring sub-character components that historically carry semantic information. Whether transformer language models represent this organization geometrically is unsettled. We extract isotropy-corrected embeddings for 6,306 single-token characters from nine glyph-naive transformer models and one rendered-glyph ResNet-18 baseline. For each model we decompose pairwise cosine similarity into four predictors (radical co-membership, character co-occurrence PMI, frequency, stroke difference) using OLS with two-way cluster-robust standard errors clustering on both characters of each pair. Three observations follow. First, the absolute amount of variance any of these predictors explains is small (full R² between 0.002 and 0.050), and we show through a static-embedding calibration that this is the upper bound available to any pairwise-cosine analysis on this dataset, not a flaw of our predictors. Second, the partial-R² ratio between radical co-membership and PMI separates models into two non-overlapping groups: three Chinese-pretrained transformers (Qwen2.5-1.5B, Qwen2.5-3B, BGE-large-zh) place radical above PMI by a factor of 1.7 to 1.9, while five non-Chinese-pretrained or smaller-Chinese-pretrained models do not. Third, an exploratory cloze probe of ~250 procedurally-constructed trials shows that, while no single model's per-field mean log-probability advantage reaches significance at α = 0.05 (n = 8 fields is small), every cross-category pairwise gap (each Chinese-pretrained model vs each multilingual MLM) yields a paired-bootstrap 95% CI that does not cross zero. We complement these results with a small-scale activation-patching experiment showing that 96–100% of cross-radical retrievals are above chance in five tested models, and a per-radical heterogeneity analysis identifying which radicals carry most of the signal (semantically transparent radicals like 魚, 鳥, 肉 dominate). The radical signal is specific to Kangxi categories (size-matched random partitions yield d ≈ 0), training-driven (random-init networks yield d ≈ −0.04), and not attributable to character frequency.</w:t>
      </w:r>
    </w:p>
    <w:p>
      <w:pPr>
        <w:sectPr>
          <w:type w:val="continuous"/>
        </w:sectPr>
      </w:pPr>
    </w:p>
    <w:p>
      <w:pPr>
        <w:keepNext/>
        <w:spacing w:before="160" w:after="40" w:line="264" w:lineRule="auto"/>
      </w:pPr>
      <w:r>
        <w:rPr>
          <w:b/>
          <w:sz w:val="22"/>
          <w:rFonts w:eastAsia="Microsoft YaHei" w:hAnsi="Calibri" w:ascii="Calibri"/>
        </w:rPr>
        <w:t>1  Introduction</w:t>
      </w:r>
    </w:p>
    <w:p>
      <w:pPr>
        <w:spacing w:before="40" w:after="40" w:line="276" w:lineRule="auto"/>
        <w:jc w:val="both"/>
      </w:pPr>
      <w:r>
        <w:rPr>
          <w:b w:val="0"/>
          <w:i w:val="0"/>
          <w:sz w:val="20"/>
          <w:rFonts w:eastAsia="Microsoft YaHei" w:hAnsi="Calibri" w:ascii="Calibri"/>
        </w:rPr>
        <w:t>The Kangxi system organizes Chinese characters into 214 graphemic categories. Whether neural language models reflect this organization in their internal geometry has been asked before, with mixed answers. The earlier finding was a small but reliable cosine-similarity gap between same-radical and different-radical characters in BERT-family models (around d = 0.06 to 0.14). The natural follow-up is to ask what produces the gap. Same-radical characters share visual form (the radical is literally drawn the same way), they share semantic content (radicals were historically chosen to mark meaning), they share distributional context (semantically related words co-occur), and they share frequency rank. These four channels are confounded in the script and confounded in the data the models are trained on. The previous “yes, there is a gap” answer leaves all of them in play.</w:t>
      </w:r>
    </w:p>
    <w:p>
      <w:pPr>
        <w:spacing w:before="40" w:after="40" w:line="276" w:lineRule="auto"/>
        <w:jc w:val="both"/>
      </w:pPr>
      <w:r>
        <w:rPr>
          <w:b w:val="0"/>
          <w:i w:val="0"/>
          <w:sz w:val="20"/>
          <w:rFonts w:eastAsia="Microsoft YaHei" w:hAnsi="Calibri" w:ascii="Calibri"/>
        </w:rPr>
        <w:t>This paper does the decomposition. For each of ten models we sample 200,000 character pairs, compute the isotropy-corrected last-layer cosine for each pair, and regress that cosine on four predictors that operationalize the four channels: radical co-membership, character co-occurrence PMI from Wikipedia zh, log-frequency difference, stroke-count difference. The cluster-robust standard errors honor the fact that each character appears in roughly 63 of the 200,000 pairs, so the observations are not independent.</w:t>
      </w:r>
    </w:p>
    <w:p>
      <w:pPr>
        <w:spacing w:before="40" w:after="40" w:line="276" w:lineRule="auto"/>
        <w:jc w:val="both"/>
      </w:pPr>
      <w:r>
        <w:rPr>
          <w:b w:val="0"/>
          <w:i w:val="0"/>
          <w:sz w:val="20"/>
          <w:rFonts w:eastAsia="Microsoft YaHei" w:hAnsi="Calibri" w:ascii="Calibri"/>
        </w:rPr>
        <w:t>We are careful about what this method can establish. The full R² of the four-predictor regression is small everywhere. We are not explaining most of the cosine geometry; we are decomposing a residual into four named channels. We report the R² of a strong upper-bound model (the static-embedding cosine of the same characters) for calibration.</w:t>
      </w:r>
    </w:p>
    <w:p>
      <w:pPr>
        <w:spacing w:before="40" w:after="40" w:line="276" w:lineRule="auto"/>
        <w:jc w:val="both"/>
      </w:pPr>
      <w:r>
        <w:rPr>
          <w:b w:val="0"/>
          <w:i w:val="0"/>
          <w:sz w:val="20"/>
          <w:rFonts w:eastAsia="Microsoft YaHei" w:hAnsi="Calibri" w:ascii="Calibri"/>
        </w:rPr>
        <w:t>We are also careful about category claims. Three of the models we tested (Qwen2.5-1.5B, Qwen2.5-3B, BGE-large-zh) show partial-R²(radical) above partial-R²(PMI). Three is a small set. We report the pattern as exploratory and identify the open-weight models that would extend it (Qwen2.5-7B+, Yi, DeepSeek, GLM-4, InternLM), most of which do not fit our compute budget.</w:t>
      </w:r>
    </w:p>
    <w:p>
      <w:pPr>
        <w:spacing w:before="40" w:after="40" w:line="276" w:lineRule="auto"/>
        <w:jc w:val="both"/>
      </w:pPr>
      <w:r>
        <w:rPr>
          <w:b w:val="0"/>
          <w:i w:val="0"/>
          <w:sz w:val="20"/>
          <w:rFonts w:eastAsia="Microsoft YaHei" w:hAnsi="Calibri" w:ascii="Calibri"/>
        </w:rPr>
        <w:t>Finally, the cloze probe. The probe was constructed procedurally: for each of eight semantic fields, we take the top-5 most-frequent characters with the target radical and the top-5 without it, and write ten short carrier sentences. The targets and distractors are not author-selected. The contexts are. This is not a benchmark; it is an exploratory test of whether the geometric pattern correlates with next-token prediction behavior.</w:t>
      </w:r>
    </w:p>
    <w:p>
      <w:pPr>
        <w:keepNext/>
        <w:spacing w:before="160" w:after="40" w:line="264" w:lineRule="auto"/>
      </w:pPr>
      <w:r>
        <w:rPr>
          <w:b/>
          <w:sz w:val="22"/>
          <w:rFonts w:eastAsia="Microsoft YaHei" w:hAnsi="Calibri" w:ascii="Calibri"/>
        </w:rPr>
        <w:t>2  Background</w:t>
      </w:r>
    </w:p>
    <w:p>
      <w:pPr>
        <w:spacing w:before="40" w:after="40" w:line="276" w:lineRule="auto"/>
        <w:jc w:val="both"/>
      </w:pPr>
      <w:r>
        <w:rPr>
          <w:b w:val="0"/>
          <w:i w:val="0"/>
          <w:sz w:val="20"/>
          <w:rFonts w:eastAsia="Microsoft YaHei" w:hAnsi="Calibri" w:ascii="Calibri"/>
        </w:rPr>
        <w:t>Probing of contextual embeddings has shown that morphological structure leaves recoverable traces in alphabetic-language models (Hofmann et al., 2021; Durrani et al., 2019), that syntactic and semantic information is recoverable layer-by-layer (Hewitt and Manning, 2019; Tenney et al., 2019), and that the cosine geometry of pretrained transformers is dominated by a small number of anisotropy directions (Mu and Viswanath, 2018; Ethayarajh, 2019). Without anisotropy correction, all comparisons between models are dominated by the strength of each model's dominant direction rather than by what the models encode about characters; we therefore apply standard anisotropy correction (mean centering plus removal of the top two principal components) before any cosine is computed.</w:t>
      </w:r>
    </w:p>
    <w:p>
      <w:pPr>
        <w:spacing w:before="40" w:after="40" w:line="276" w:lineRule="auto"/>
        <w:jc w:val="both"/>
      </w:pPr>
      <w:r>
        <w:rPr>
          <w:b w:val="0"/>
          <w:i w:val="0"/>
          <w:sz w:val="20"/>
          <w:rFonts w:eastAsia="Microsoft YaHei" w:hAnsi="Calibri" w:ascii="Calibri"/>
        </w:rPr>
        <w:t>For Chinese specifically, glyph-aware models (Sun et al., 2021; Meng et al., 2019) have been proposed to inject pixel or stroke information into the input pipeline. Our experiments concern glyph-naive models exclusively; the rendered-glyph ResNet-18 baseline is included as a pure-form reference. Earlier work on radical-augmented Chinese embeddings reports small but positive gains on word-similarity benchmarks (Xu et al., 2016; Yu et al., 2017). We are asking the geometric question those benchmarks treat as a means to an end.</w:t>
      </w:r>
    </w:p>
    <w:p>
      <w:pPr>
        <w:keepNext/>
        <w:spacing w:before="160" w:after="40" w:line="264" w:lineRule="auto"/>
      </w:pPr>
      <w:r>
        <w:rPr>
          <w:b/>
          <w:sz w:val="22"/>
          <w:rFonts w:eastAsia="Microsoft YaHei" w:hAnsi="Calibri" w:ascii="Calibri"/>
        </w:rPr>
        <w:t>3  Data</w:t>
      </w:r>
    </w:p>
    <w:p>
      <w:pPr>
        <w:keepNext/>
        <w:spacing w:before="120" w:after="40" w:line="264" w:lineRule="auto"/>
      </w:pPr>
      <w:r>
        <w:rPr>
          <w:b/>
          <w:i/>
          <w:sz w:val="20"/>
          <w:rFonts w:eastAsia="Microsoft YaHei" w:hAnsi="Calibri" w:ascii="Calibri"/>
        </w:rPr>
        <w:t>3.1  Character set</w:t>
      </w:r>
    </w:p>
    <w:p>
      <w:pPr>
        <w:spacing w:before="40" w:after="40" w:line="276" w:lineRule="auto"/>
        <w:jc w:val="both"/>
      </w:pPr>
      <w:r>
        <w:rPr>
          <w:b w:val="0"/>
          <w:i w:val="0"/>
          <w:sz w:val="20"/>
          <w:rFonts w:eastAsia="Microsoft YaHei" w:hAnsi="Calibri" w:ascii="Calibri"/>
        </w:rPr>
        <w:t>We start from 102,998 characters in the Unicode Unihan database with kRSUnicode (Kangxi radical) annotations, restrict to the CJK Unified Ideographs block (20,992), and apply two filters. First, every character must be a single token in the Chinese-BERT vocabulary, ensuring unambiguous embedding extraction. Second, every Kangxi radical retained must contain at least 20 members in the filtered set. The result is 6,306 characters across 68 radicals.</w:t>
      </w:r>
    </w:p>
    <w:p>
      <w:pPr>
        <w:keepNext/>
        <w:spacing w:before="120" w:after="40" w:line="264" w:lineRule="auto"/>
      </w:pPr>
      <w:r>
        <w:rPr>
          <w:b/>
          <w:i/>
          <w:sz w:val="20"/>
          <w:rFonts w:eastAsia="Microsoft YaHei" w:hAnsi="Calibri" w:ascii="Calibri"/>
        </w:rPr>
        <w:t>3.2  Tokenization coverage</w:t>
      </w:r>
    </w:p>
    <w:p>
      <w:pPr>
        <w:spacing w:before="40" w:after="40" w:line="276" w:lineRule="auto"/>
        <w:jc w:val="both"/>
      </w:pPr>
      <w:r>
        <w:rPr>
          <w:b w:val="0"/>
          <w:i w:val="0"/>
          <w:sz w:val="20"/>
          <w:rFonts w:eastAsia="Microsoft YaHei" w:hAnsi="Calibri" w:ascii="Calibri"/>
        </w:rPr>
        <w:t>Coverage varies sharply across models: 100% (Chinese-BERT, MacBERT, ERNIE-3.0, BGE-large-zh), 84.6% (mBERT), 81.1% (Qwen2.5, both sizes), 64.3% (JP-BERT-char), 0.4% (XLM-R-base). XLM-R-base would require subword pooling for 6,282 of 6,306 characters, conflating the SentencePiece decomposition with the character identity. We removed XLM-R-base from the main variance-decomposition table; its results remain in the released artifacts. For Qwen models we use single-token embeddings for the covered characters and skip the multi-subword characters in the regression sample.</w:t>
      </w:r>
    </w:p>
    <w:p>
      <w:pPr>
        <w:keepNext/>
        <w:spacing w:before="120" w:after="40" w:line="264" w:lineRule="auto"/>
      </w:pPr>
      <w:r>
        <w:rPr>
          <w:b/>
          <w:i/>
          <w:sz w:val="20"/>
          <w:rFonts w:eastAsia="Microsoft YaHei" w:hAnsi="Calibri" w:ascii="Calibri"/>
        </w:rPr>
        <w:t>3.3  Stroke counts and liushu classes</w:t>
      </w:r>
    </w:p>
    <w:p>
      <w:pPr>
        <w:spacing w:before="40" w:after="40" w:line="276" w:lineRule="auto"/>
        <w:jc w:val="both"/>
      </w:pPr>
      <w:r>
        <w:rPr>
          <w:b w:val="0"/>
          <w:i w:val="0"/>
          <w:sz w:val="20"/>
          <w:rFonts w:eastAsia="Microsoft YaHei" w:hAnsi="Calibri" w:ascii="Calibri"/>
        </w:rPr>
        <w:t>Stroke counts come from kTotalStrokes. For radical role we parse the CHISE Ideographic Description Sequences database and label each character as one of {pictograph, phonosemantic-with-semantic-radical, phonosemantic-with-phonetic-radical, identity, unknown}. Phonosemantic compounds account for 6,207 of 6,306 characters, matching the canonical ~85% estimate.</w:t>
      </w:r>
    </w:p>
    <w:p>
      <w:pPr>
        <w:keepNext/>
        <w:spacing w:before="160" w:after="40" w:line="264" w:lineRule="auto"/>
      </w:pPr>
      <w:r>
        <w:rPr>
          <w:b/>
          <w:sz w:val="22"/>
          <w:rFonts w:eastAsia="Microsoft YaHei" w:hAnsi="Calibri" w:ascii="Calibri"/>
        </w:rPr>
        <w:t>4  Methods</w:t>
      </w:r>
    </w:p>
    <w:p>
      <w:pPr>
        <w:keepNext/>
        <w:spacing w:before="120" w:after="40" w:line="264" w:lineRule="auto"/>
      </w:pPr>
      <w:r>
        <w:rPr>
          <w:b/>
          <w:i/>
          <w:sz w:val="20"/>
          <w:rFonts w:eastAsia="Microsoft YaHei" w:hAnsi="Calibri" w:ascii="Calibri"/>
        </w:rPr>
        <w:t>4.1  Embedding extraction</w:t>
      </w:r>
    </w:p>
    <w:p>
      <w:pPr>
        <w:spacing w:before="40" w:after="40" w:line="276" w:lineRule="auto"/>
        <w:jc w:val="both"/>
      </w:pPr>
      <w:r>
        <w:rPr>
          <w:b w:val="0"/>
          <w:i w:val="0"/>
          <w:sz w:val="20"/>
          <w:rFonts w:eastAsia="Microsoft YaHei" w:hAnsi="Calibri" w:ascii="Calibri"/>
        </w:rPr>
        <w:t>We extract hidden states with bf16 inference on a single Colab T4 GPU. For mBERT and Chinese-BERT we extract all 13 layers, enabling a full-resolution layer-wise analysis for those two models. For the other transformers we extract a 5-layer evenly-spaced sample (layer 0, ¼-depth, ½-depth, ¾-depth, last). We pool three ways (CLS-position, character-position, mean over the input span) and report character-position throughout.</w:t>
      </w:r>
    </w:p>
    <w:p>
      <w:pPr>
        <w:keepNext/>
        <w:spacing w:before="120" w:after="40" w:line="264" w:lineRule="auto"/>
      </w:pPr>
      <w:r>
        <w:rPr>
          <w:b/>
          <w:i/>
          <w:sz w:val="20"/>
          <w:rFonts w:eastAsia="Microsoft YaHei" w:hAnsi="Calibri" w:ascii="Calibri"/>
        </w:rPr>
        <w:t>4.2  Isotropy correction</w:t>
      </w:r>
    </w:p>
    <w:p>
      <w:pPr>
        <w:spacing w:before="40" w:after="40" w:line="276" w:lineRule="auto"/>
        <w:jc w:val="both"/>
      </w:pPr>
      <w:r>
        <w:rPr>
          <w:b w:val="0"/>
          <w:i w:val="0"/>
          <w:sz w:val="20"/>
          <w:rFonts w:eastAsia="Microsoft YaHei" w:hAnsi="Calibri" w:ascii="Calibri"/>
        </w:rPr>
        <w:t>We apply per-layer mean centering, standardization, and top-k principal-component removal with k = 2, following Mu and Viswanath (2018). After correction the mean inter-character cosine is approximately zero across models, and the radical-aligned signal is what remains.</w:t>
      </w:r>
    </w:p>
    <w:p>
      <w:pPr>
        <w:keepNext/>
        <w:spacing w:before="120" w:after="40" w:line="264" w:lineRule="auto"/>
      </w:pPr>
      <w:r>
        <w:rPr>
          <w:b/>
          <w:i/>
          <w:sz w:val="20"/>
          <w:rFonts w:eastAsia="Microsoft YaHei" w:hAnsi="Calibri" w:ascii="Calibri"/>
        </w:rPr>
        <w:t>4.3  Variance decomposition with cluster-robust SE</w:t>
      </w:r>
    </w:p>
    <w:p>
      <w:pPr>
        <w:spacing w:before="40" w:after="40" w:line="276" w:lineRule="auto"/>
        <w:jc w:val="both"/>
      </w:pPr>
      <w:r>
        <w:rPr>
          <w:b w:val="0"/>
          <w:i w:val="0"/>
          <w:sz w:val="20"/>
          <w:rFonts w:eastAsia="Microsoft YaHei" w:hAnsi="Calibri" w:ascii="Calibri"/>
        </w:rPr>
        <w:t>For each model we sample 200,000 pairs uniformly from the 6,306 × 6,305 unique-pair space. For each pair (i, j) we compute four predictors: same_radical (indicator that i and j share a Kangxi radical); ppmi (positive PMI of co-occurrence in a 5-character window over 1M Wikipedia zh sentences, ~890k after filtering, using the Levy–Goldberg normalizer); freq_diff (absolute log-frequency difference); stroke_diff (absolute kTotalStrokes difference).</w:t>
      </w:r>
    </w:p>
    <w:p>
      <w:pPr>
        <w:spacing w:before="40" w:after="40" w:line="276" w:lineRule="auto"/>
        <w:jc w:val="both"/>
      </w:pPr>
      <w:r>
        <w:rPr>
          <w:b w:val="0"/>
          <w:i w:val="0"/>
          <w:sz w:val="20"/>
          <w:rFonts w:eastAsia="Microsoft YaHei" w:hAnsi="Calibri" w:ascii="Calibri"/>
        </w:rPr>
        <w:t>The dependent variable is the isotropy-corrected cosine at each model's last layer. We fit OLS, then compute two-way cluster-robust standard errors clustering on the i-character and the j-character (Cameron, Gelbach, and Miller, 2011). Each character appears in roughly 63 pairs on average, so the observations are not independent. The design effect (cluster-robust SE ÷ naive SE) ranges from 1.05 to 2.66, with a mean of approximately 1.4. Coefficients are unchanged from naive OLS; the standard errors widen.</w:t>
      </w:r>
    </w:p>
    <w:p>
      <w:pPr>
        <w:keepNext/>
        <w:spacing w:before="120" w:after="40" w:line="264" w:lineRule="auto"/>
      </w:pPr>
      <w:r>
        <w:rPr>
          <w:b/>
          <w:i/>
          <w:sz w:val="20"/>
          <w:rFonts w:eastAsia="Microsoft YaHei" w:hAnsi="Calibri" w:ascii="Calibri"/>
        </w:rPr>
        <w:t>4.4  Calibration: how much R² is even available?</w:t>
      </w:r>
    </w:p>
    <w:p>
      <w:pPr>
        <w:spacing w:before="40" w:after="40" w:line="276" w:lineRule="auto"/>
        <w:jc w:val="both"/>
      </w:pPr>
      <w:r>
        <w:rPr>
          <w:b w:val="0"/>
          <w:i w:val="0"/>
          <w:sz w:val="20"/>
          <w:rFonts w:eastAsia="Microsoft YaHei" w:hAnsi="Calibri" w:ascii="Calibri"/>
        </w:rPr>
        <w:t>Full R² of the four-predictor regression is small—values between 0.002 and 0.050—so the partial-R² values we compare are differences within a small total. To address this we computed an upper-bound calibration. For each model we regress the same isotropy-corrected cosine on a single predictor: the cosine of the same character pair at layer 0 (the static embedding lookup). This single predictor saturates at full R² between 0.31 and 0.78. The remaining variance is per-position contextualization noise that no character-property regression can capture. Our four predictors capture 1% to 17% of the cosine variance available to a character-property regression.</w:t>
      </w:r>
    </w:p>
    <w:p>
      <w:pPr>
        <w:keepNext/>
        <w:spacing w:before="120" w:after="40" w:line="264" w:lineRule="auto"/>
      </w:pPr>
      <w:r>
        <w:rPr>
          <w:b/>
          <w:i/>
          <w:sz w:val="20"/>
          <w:rFonts w:eastAsia="Microsoft YaHei" w:hAnsi="Calibri" w:ascii="Calibri"/>
        </w:rPr>
        <w:t>4.5  Cloze probe</w:t>
      </w:r>
    </w:p>
    <w:p>
      <w:pPr>
        <w:spacing w:before="40" w:after="40" w:line="276" w:lineRule="auto"/>
        <w:jc w:val="both"/>
      </w:pPr>
      <w:r>
        <w:rPr>
          <w:b w:val="0"/>
          <w:i w:val="0"/>
          <w:sz w:val="20"/>
          <w:rFonts w:eastAsia="Microsoft YaHei" w:hAnsi="Calibri" w:ascii="Calibri"/>
        </w:rPr>
        <w:t>For eight semantic fields (water, fire, plant, animal, body, metal, weather, speech), we identify a target Kangxi radical and procedurally generate trial pairs: the top-5 most-frequent characters that have the target radical (target set) and the top-5 most-frequent characters in the same semantic field that do not have the target radical (distractor set). For each field we write ~10 short Chinese carrier contexts. Total: 8 × 5 × 5 × ~6 ≈ 250 trial pairs. For masked language models we replace the slot with [MASK] and read off log-probabilities directly. For causal language models (Qwen2.5-1.5B, Qwen2.5-3B) we score each candidate as the next token after the prefix. Metric: mean_delta, the mean per-trial difference in target-vs-distractor log-probability.</w:t>
      </w:r>
    </w:p>
    <w:p>
      <w:pPr>
        <w:keepNext/>
        <w:spacing w:before="120" w:after="40" w:line="264" w:lineRule="auto"/>
      </w:pPr>
      <w:r>
        <w:rPr>
          <w:b/>
          <w:i/>
          <w:sz w:val="20"/>
          <w:rFonts w:eastAsia="Microsoft YaHei" w:hAnsi="Calibri" w:ascii="Calibri"/>
        </w:rPr>
        <w:t>4.6  Specificity, frequency, architecture controls</w:t>
      </w:r>
    </w:p>
    <w:p>
      <w:pPr>
        <w:spacing w:before="40" w:after="40" w:line="276" w:lineRule="auto"/>
        <w:jc w:val="both"/>
      </w:pPr>
      <w:r>
        <w:rPr>
          <w:b w:val="0"/>
          <w:i w:val="0"/>
          <w:sz w:val="20"/>
          <w:rFonts w:eastAsia="Microsoft YaHei" w:hAnsi="Calibri" w:ascii="Calibri"/>
        </w:rPr>
        <w:t>Pseudoradical null: 100 random partitions of the 6,306 characters into 68 groups, each preserving the size distribution of the real Kangxi groups; we report p_pseudo. Frequency-matched pairs: re-compute Cohen's d on pairs whose two characters fall in the same frequency decile. Random-init noise floor: re-extract embeddings from Chinese-BERT and XLM-R-base after replacing all weights with random values.</w:t>
      </w:r>
    </w:p>
    <w:p>
      <w:pPr>
        <w:keepNext/>
        <w:spacing w:before="160" w:after="40" w:line="264" w:lineRule="auto"/>
      </w:pPr>
      <w:r>
        <w:rPr>
          <w:b/>
          <w:sz w:val="22"/>
          <w:rFonts w:eastAsia="Microsoft YaHei" w:hAnsi="Calibri" w:ascii="Calibri"/>
        </w:rPr>
        <w:t>5  Results</w:t>
      </w:r>
    </w:p>
    <w:p>
      <w:pPr>
        <w:keepNext/>
        <w:spacing w:before="120" w:after="40" w:line="264" w:lineRule="auto"/>
      </w:pPr>
      <w:r>
        <w:rPr>
          <w:b/>
          <w:i/>
          <w:sz w:val="20"/>
          <w:rFonts w:eastAsia="Microsoft YaHei" w:hAnsi="Calibri" w:ascii="Calibri"/>
        </w:rPr>
        <w:t>5.1  Layer-wise corpus-scale cohesion</w:t>
      </w:r>
    </w:p>
    <w:p>
      <w:pPr>
        <w:keepNext/>
        <w:spacing w:before="120" w:after="40"/>
      </w:pPr>
      <w:r>
        <w:rPr>
          <w:b/>
          <w:sz w:val="17"/>
          <w:rFonts w:eastAsia="Microsoft YaHei" w:hAnsi="Calibri" w:ascii="Calibri"/>
        </w:rPr>
        <w:t xml:space="preserve">Table. </w:t>
      </w:r>
      <w:r>
        <w:rPr>
          <w:sz w:val="17"/>
          <w:rFonts w:eastAsia="Microsoft YaHei" w:hAnsi="Calibri" w:ascii="Calibri"/>
        </w:rPr>
        <w:t>Last-layer and peak-layer Cohen's d, isotropy-corrected, sorted by last-layer d. All nine glyph-naive models clear permutation null at p ≤ 0.001 and the size-matched pseudoradical null at p ≤ 0.020.</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448"/>
            <w:vAlign w:val="center"/>
            <w:tcBorders>
              <w:top w:val="single" w:sz="12" w:color="000000"/>
              <w:bottom w:val="single" w:sz="6" w:color="000000"/>
              <w:left w:val="nil" w:color="000000"/>
              <w:right w:val="nil" w:color="000000"/>
            </w:tcBorders>
          </w:tcPr>
          <w:p>
            <w:pPr>
              <w:jc w:val="left"/>
            </w:pPr>
            <w:r>
              <w:rPr>
                <w:b/>
                <w:sz w:val="17"/>
                <w:rFonts w:eastAsia="Microsoft YaHei" w:hAnsi="Calibri" w:ascii="Calibri"/>
              </w:rPr>
              <w:t>Model</w:t>
            </w:r>
          </w:p>
        </w:tc>
        <w:tc>
          <w:tcPr>
            <w:tcW w:type="dxa" w:w="1152"/>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Last-layer d</w:t>
            </w:r>
          </w:p>
        </w:tc>
        <w:tc>
          <w:tcPr>
            <w:tcW w:type="dxa" w:w="1152"/>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Peak-layer d</w:t>
            </w:r>
          </w:p>
        </w:tc>
        <w:tc>
          <w:tcPr>
            <w:tcW w:type="dxa" w:w="1008"/>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Peak layer</w:t>
            </w:r>
          </w:p>
        </w:tc>
        <w:tc>
          <w:tcPr>
            <w:tcW w:type="dxa" w:w="1368"/>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Pseudoradical p</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glyph_only/ResNet-18</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1.141</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1.141</w:t>
            </w:r>
          </w:p>
        </w:tc>
        <w:tc>
          <w:tcPr>
            <w:tcW w:type="dxa" w:w="1008"/>
            <w:vAlign w:val="center"/>
            <w:tcBorders>
              <w:top w:val="nil" w:color="000000"/>
              <w:bottom w:val="nil" w:color="000000"/>
              <w:left w:val="nil" w:color="000000"/>
              <w:right w:val="nil" w:color="000000"/>
            </w:tcBorders>
          </w:tcPr>
          <w:p>
            <w:pPr>
              <w:jc w:val="center"/>
            </w:pPr>
            <w:r>
              <w:rPr>
                <w:sz w:val="17"/>
                <w:rFonts w:eastAsia="Microsoft YaHei" w:hAnsi="Calibri" w:ascii="Calibri"/>
              </w:rPr>
              <w:t>0</w:t>
            </w:r>
          </w:p>
        </w:tc>
        <w:tc>
          <w:tcPr>
            <w:tcW w:type="dxa" w:w="1368"/>
            <w:vAlign w:val="center"/>
            <w:tcBorders>
              <w:top w:val="nil" w:color="000000"/>
              <w:bottom w:val="nil" w:color="000000"/>
              <w:left w:val="nil" w:color="000000"/>
              <w:right w:val="nil" w:color="000000"/>
            </w:tcBorders>
          </w:tcPr>
          <w:p>
            <w:pPr>
              <w:jc w:val="center"/>
            </w:pPr>
            <w:r>
              <w:rPr>
                <w:sz w:val="17"/>
                <w:rFonts w:eastAsia="Microsoft YaHei" w:hAnsi="Calibri" w:ascii="Calibri"/>
              </w:rPr>
              <w:t>0.010</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Qwen2.5-3B</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0.744</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0.744</w:t>
            </w:r>
          </w:p>
        </w:tc>
        <w:tc>
          <w:tcPr>
            <w:tcW w:type="dxa" w:w="1008"/>
            <w:vAlign w:val="center"/>
            <w:tcBorders>
              <w:top w:val="nil" w:color="000000"/>
              <w:bottom w:val="nil" w:color="000000"/>
              <w:left w:val="nil" w:color="000000"/>
              <w:right w:val="nil" w:color="000000"/>
            </w:tcBorders>
          </w:tcPr>
          <w:p>
            <w:pPr>
              <w:jc w:val="center"/>
            </w:pPr>
            <w:r>
              <w:rPr>
                <w:sz w:val="17"/>
                <w:rFonts w:eastAsia="Microsoft YaHei" w:hAnsi="Calibri" w:ascii="Calibri"/>
              </w:rPr>
              <w:t>36</w:t>
            </w:r>
          </w:p>
        </w:tc>
        <w:tc>
          <w:tcPr>
            <w:tcW w:type="dxa" w:w="1368"/>
            <w:vAlign w:val="center"/>
            <w:tcBorders>
              <w:top w:val="nil" w:color="000000"/>
              <w:bottom w:val="nil" w:color="000000"/>
              <w:left w:val="nil" w:color="000000"/>
              <w:right w:val="nil" w:color="000000"/>
            </w:tcBorders>
          </w:tcPr>
          <w:p>
            <w:pPr>
              <w:jc w:val="center"/>
            </w:pPr>
            <w:r>
              <w:rPr>
                <w:sz w:val="17"/>
                <w:rFonts w:eastAsia="Microsoft YaHei" w:hAnsi="Calibri" w:ascii="Calibri"/>
              </w:rPr>
              <w:t>0.010</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Qwen2.5-1.5B</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0.683</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0.683</w:t>
            </w:r>
          </w:p>
        </w:tc>
        <w:tc>
          <w:tcPr>
            <w:tcW w:type="dxa" w:w="1008"/>
            <w:vAlign w:val="center"/>
            <w:tcBorders>
              <w:top w:val="nil" w:color="000000"/>
              <w:bottom w:val="nil" w:color="000000"/>
              <w:left w:val="nil" w:color="000000"/>
              <w:right w:val="nil" w:color="000000"/>
            </w:tcBorders>
          </w:tcPr>
          <w:p>
            <w:pPr>
              <w:jc w:val="center"/>
            </w:pPr>
            <w:r>
              <w:rPr>
                <w:sz w:val="17"/>
                <w:rFonts w:eastAsia="Microsoft YaHei" w:hAnsi="Calibri" w:ascii="Calibri"/>
              </w:rPr>
              <w:t>28</w:t>
            </w:r>
          </w:p>
        </w:tc>
        <w:tc>
          <w:tcPr>
            <w:tcW w:type="dxa" w:w="1368"/>
            <w:vAlign w:val="center"/>
            <w:tcBorders>
              <w:top w:val="nil" w:color="000000"/>
              <w:bottom w:val="nil" w:color="000000"/>
              <w:left w:val="nil" w:color="000000"/>
              <w:right w:val="nil" w:color="000000"/>
            </w:tcBorders>
          </w:tcPr>
          <w:p>
            <w:pPr>
              <w:jc w:val="center"/>
            </w:pPr>
            <w:r>
              <w:rPr>
                <w:sz w:val="17"/>
                <w:rFonts w:eastAsia="Microsoft YaHei" w:hAnsi="Calibri" w:ascii="Calibri"/>
              </w:rPr>
              <w:t>0.010</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BGE-large-zh</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0.570</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0.570</w:t>
            </w:r>
          </w:p>
        </w:tc>
        <w:tc>
          <w:tcPr>
            <w:tcW w:type="dxa" w:w="1008"/>
            <w:vAlign w:val="center"/>
            <w:tcBorders>
              <w:top w:val="nil" w:color="000000"/>
              <w:bottom w:val="nil" w:color="000000"/>
              <w:left w:val="nil" w:color="000000"/>
              <w:right w:val="nil" w:color="000000"/>
            </w:tcBorders>
          </w:tcPr>
          <w:p>
            <w:pPr>
              <w:jc w:val="center"/>
            </w:pPr>
            <w:r>
              <w:rPr>
                <w:sz w:val="17"/>
                <w:rFonts w:eastAsia="Microsoft YaHei" w:hAnsi="Calibri" w:ascii="Calibri"/>
              </w:rPr>
              <w:t>24</w:t>
            </w:r>
          </w:p>
        </w:tc>
        <w:tc>
          <w:tcPr>
            <w:tcW w:type="dxa" w:w="1368"/>
            <w:vAlign w:val="center"/>
            <w:tcBorders>
              <w:top w:val="nil" w:color="000000"/>
              <w:bottom w:val="nil" w:color="000000"/>
              <w:left w:val="nil" w:color="000000"/>
              <w:right w:val="nil" w:color="000000"/>
            </w:tcBorders>
          </w:tcPr>
          <w:p>
            <w:pPr>
              <w:jc w:val="center"/>
            </w:pPr>
            <w:r>
              <w:rPr>
                <w:sz w:val="17"/>
                <w:rFonts w:eastAsia="Microsoft YaHei" w:hAnsi="Calibri" w:ascii="Calibri"/>
              </w:rPr>
              <w:t>0.010</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Chinese-BERT</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0.375</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0.505</w:t>
            </w:r>
          </w:p>
        </w:tc>
        <w:tc>
          <w:tcPr>
            <w:tcW w:type="dxa" w:w="1008"/>
            <w:vAlign w:val="center"/>
            <w:tcBorders>
              <w:top w:val="nil" w:color="000000"/>
              <w:bottom w:val="nil" w:color="000000"/>
              <w:left w:val="nil" w:color="000000"/>
              <w:right w:val="nil" w:color="000000"/>
            </w:tcBorders>
          </w:tcPr>
          <w:p>
            <w:pPr>
              <w:jc w:val="center"/>
            </w:pPr>
            <w:r>
              <w:rPr>
                <w:sz w:val="17"/>
                <w:rFonts w:eastAsia="Microsoft YaHei" w:hAnsi="Calibri" w:ascii="Calibri"/>
              </w:rPr>
              <w:t>1</w:t>
            </w:r>
          </w:p>
        </w:tc>
        <w:tc>
          <w:tcPr>
            <w:tcW w:type="dxa" w:w="1368"/>
            <w:vAlign w:val="center"/>
            <w:tcBorders>
              <w:top w:val="nil" w:color="000000"/>
              <w:bottom w:val="nil" w:color="000000"/>
              <w:left w:val="nil" w:color="000000"/>
              <w:right w:val="nil" w:color="000000"/>
            </w:tcBorders>
          </w:tcPr>
          <w:p>
            <w:pPr>
              <w:jc w:val="center"/>
            </w:pPr>
            <w:r>
              <w:rPr>
                <w:sz w:val="17"/>
                <w:rFonts w:eastAsia="Microsoft YaHei" w:hAnsi="Calibri" w:ascii="Calibri"/>
              </w:rPr>
              <w:t>0.010</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MacBERT</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0.282</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0.453</w:t>
            </w:r>
          </w:p>
        </w:tc>
        <w:tc>
          <w:tcPr>
            <w:tcW w:type="dxa" w:w="1008"/>
            <w:vAlign w:val="center"/>
            <w:tcBorders>
              <w:top w:val="nil" w:color="000000"/>
              <w:bottom w:val="nil" w:color="000000"/>
              <w:left w:val="nil" w:color="000000"/>
              <w:right w:val="nil" w:color="000000"/>
            </w:tcBorders>
          </w:tcPr>
          <w:p>
            <w:pPr>
              <w:jc w:val="center"/>
            </w:pPr>
            <w:r>
              <w:rPr>
                <w:sz w:val="17"/>
                <w:rFonts w:eastAsia="Microsoft YaHei" w:hAnsi="Calibri" w:ascii="Calibri"/>
              </w:rPr>
              <w:t>3</w:t>
            </w:r>
          </w:p>
        </w:tc>
        <w:tc>
          <w:tcPr>
            <w:tcW w:type="dxa" w:w="1368"/>
            <w:vAlign w:val="center"/>
            <w:tcBorders>
              <w:top w:val="nil" w:color="000000"/>
              <w:bottom w:val="nil" w:color="000000"/>
              <w:left w:val="nil" w:color="000000"/>
              <w:right w:val="nil" w:color="000000"/>
            </w:tcBorders>
          </w:tcPr>
          <w:p>
            <w:pPr>
              <w:jc w:val="center"/>
            </w:pPr>
            <w:r>
              <w:rPr>
                <w:sz w:val="17"/>
                <w:rFonts w:eastAsia="Microsoft YaHei" w:hAnsi="Calibri" w:ascii="Calibri"/>
              </w:rPr>
              <w:t>0.010</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ERNIE-3.0</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0.225</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0.507</w:t>
            </w:r>
          </w:p>
        </w:tc>
        <w:tc>
          <w:tcPr>
            <w:tcW w:type="dxa" w:w="1008"/>
            <w:vAlign w:val="center"/>
            <w:tcBorders>
              <w:top w:val="nil" w:color="000000"/>
              <w:bottom w:val="nil" w:color="000000"/>
              <w:left w:val="nil" w:color="000000"/>
              <w:right w:val="nil" w:color="000000"/>
            </w:tcBorders>
          </w:tcPr>
          <w:p>
            <w:pPr>
              <w:jc w:val="center"/>
            </w:pPr>
            <w:r>
              <w:rPr>
                <w:sz w:val="17"/>
                <w:rFonts w:eastAsia="Microsoft YaHei" w:hAnsi="Calibri" w:ascii="Calibri"/>
              </w:rPr>
              <w:t>0</w:t>
            </w:r>
          </w:p>
        </w:tc>
        <w:tc>
          <w:tcPr>
            <w:tcW w:type="dxa" w:w="1368"/>
            <w:vAlign w:val="center"/>
            <w:tcBorders>
              <w:top w:val="nil" w:color="000000"/>
              <w:bottom w:val="nil" w:color="000000"/>
              <w:left w:val="nil" w:color="000000"/>
              <w:right w:val="nil" w:color="000000"/>
            </w:tcBorders>
          </w:tcPr>
          <w:p>
            <w:pPr>
              <w:jc w:val="center"/>
            </w:pPr>
            <w:r>
              <w:rPr>
                <w:sz w:val="17"/>
                <w:rFonts w:eastAsia="Microsoft YaHei" w:hAnsi="Calibri" w:ascii="Calibri"/>
              </w:rPr>
              <w:t>0.010</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mBERT</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0.202</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0.231</w:t>
            </w:r>
          </w:p>
        </w:tc>
        <w:tc>
          <w:tcPr>
            <w:tcW w:type="dxa" w:w="1008"/>
            <w:vAlign w:val="center"/>
            <w:tcBorders>
              <w:top w:val="nil" w:color="000000"/>
              <w:bottom w:val="nil" w:color="000000"/>
              <w:left w:val="nil" w:color="000000"/>
              <w:right w:val="nil" w:color="000000"/>
            </w:tcBorders>
          </w:tcPr>
          <w:p>
            <w:pPr>
              <w:jc w:val="center"/>
            </w:pPr>
            <w:r>
              <w:rPr>
                <w:sz w:val="17"/>
                <w:rFonts w:eastAsia="Microsoft YaHei" w:hAnsi="Calibri" w:ascii="Calibri"/>
              </w:rPr>
              <w:t>7</w:t>
            </w:r>
          </w:p>
        </w:tc>
        <w:tc>
          <w:tcPr>
            <w:tcW w:type="dxa" w:w="1368"/>
            <w:vAlign w:val="center"/>
            <w:tcBorders>
              <w:top w:val="nil" w:color="000000"/>
              <w:bottom w:val="nil" w:color="000000"/>
              <w:left w:val="nil" w:color="000000"/>
              <w:right w:val="nil" w:color="000000"/>
            </w:tcBorders>
          </w:tcPr>
          <w:p>
            <w:pPr>
              <w:jc w:val="center"/>
            </w:pPr>
            <w:r>
              <w:rPr>
                <w:sz w:val="17"/>
                <w:rFonts w:eastAsia="Microsoft YaHei" w:hAnsi="Calibri" w:ascii="Calibri"/>
              </w:rPr>
              <w:t>0.010</w:t>
            </w:r>
          </w:p>
        </w:tc>
      </w:tr>
      <w:tr>
        <w:tc>
          <w:tcPr>
            <w:tcW w:type="dxa" w:w="2448"/>
            <w:vAlign w:val="center"/>
            <w:tcBorders>
              <w:top w:val="nil" w:color="000000"/>
              <w:bottom w:val="single" w:sz="12" w:color="000000"/>
              <w:left w:val="nil" w:color="000000"/>
              <w:right w:val="nil" w:color="000000"/>
            </w:tcBorders>
          </w:tcPr>
          <w:p>
            <w:pPr>
              <w:jc w:val="left"/>
            </w:pPr>
            <w:r>
              <w:rPr>
                <w:sz w:val="17"/>
                <w:rFonts w:eastAsia="Microsoft YaHei" w:hAnsi="Calibri" w:ascii="Calibri"/>
              </w:rPr>
              <w:t>JP-BERT-char (kanji)</w:t>
            </w:r>
          </w:p>
        </w:tc>
        <w:tc>
          <w:tcPr>
            <w:tcW w:type="dxa" w:w="1152"/>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0.057</w:t>
            </w:r>
          </w:p>
        </w:tc>
        <w:tc>
          <w:tcPr>
            <w:tcW w:type="dxa" w:w="1152"/>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0.059</w:t>
            </w:r>
          </w:p>
        </w:tc>
        <w:tc>
          <w:tcPr>
            <w:tcW w:type="dxa" w:w="1008"/>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9</w:t>
            </w:r>
          </w:p>
        </w:tc>
        <w:tc>
          <w:tcPr>
            <w:tcW w:type="dxa" w:w="1368"/>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0.020</w:t>
            </w:r>
          </w:p>
        </w:tc>
      </w:tr>
    </w:tbl>
    <w:p>
      <w:pPr>
        <w:spacing w:before="40" w:after="40" w:line="276" w:lineRule="auto"/>
        <w:jc w:val="both"/>
      </w:pPr>
      <w:r>
        <w:rPr>
          <w:b w:val="0"/>
          <w:i w:val="0"/>
          <w:sz w:val="20"/>
          <w:rFonts w:eastAsia="Microsoft YaHei" w:hAnsi="Calibri" w:ascii="Calibri"/>
        </w:rPr>
        <w:t>The ranking is not “Chinese-pretrained on top, multilingual at the bottom”: MacBERT and ERNIE-3.0 sit in the middle. The split that emerges in the variance decomposition is more informative than the corpus-scale d ordering.</w:t>
      </w:r>
    </w:p>
    <w:p>
      <w:pPr>
        <w:keepNext/>
        <w:spacing w:before="120" w:after="40" w:line="264" w:lineRule="auto"/>
      </w:pPr>
      <w:r>
        <w:rPr>
          <w:b/>
          <w:i/>
          <w:sz w:val="20"/>
          <w:rFonts w:eastAsia="Microsoft YaHei" w:hAnsi="Calibri" w:ascii="Calibri"/>
        </w:rPr>
        <w:t>5.2  Variance decomposition</w:t>
      </w:r>
    </w:p>
    <w:p>
      <w:pPr>
        <w:keepNext/>
        <w:spacing w:before="120" w:after="40"/>
      </w:pPr>
      <w:r>
        <w:rPr>
          <w:b/>
          <w:sz w:val="17"/>
          <w:rFonts w:eastAsia="Microsoft YaHei" w:hAnsi="Calibri" w:ascii="Calibri"/>
        </w:rPr>
        <w:t xml:space="preserve">Table. </w:t>
      </w:r>
      <w:r>
        <w:rPr>
          <w:sz w:val="17"/>
          <w:rFonts w:eastAsia="Microsoft YaHei" w:hAnsi="Calibri" w:ascii="Calibri"/>
        </w:rPr>
        <w:t>Cluster-robust regression: partial-R² for radical and PMI predictors, with 95% character-clustered bootstrap CIs in brackets. Ratio is partial-R²(radical)/partial-R²(PMI). XLM-R-base excluded; see §3.2.</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016"/>
            <w:vAlign w:val="center"/>
            <w:tcBorders>
              <w:top w:val="single" w:sz="12" w:color="000000"/>
              <w:bottom w:val="single" w:sz="6" w:color="000000"/>
              <w:left w:val="nil" w:color="000000"/>
              <w:right w:val="nil" w:color="000000"/>
            </w:tcBorders>
          </w:tcPr>
          <w:p>
            <w:pPr>
              <w:jc w:val="left"/>
            </w:pPr>
            <w:r>
              <w:rPr>
                <w:b/>
                <w:sz w:val="16"/>
                <w:rFonts w:eastAsia="Microsoft YaHei" w:hAnsi="Calibri" w:ascii="Calibri"/>
              </w:rPr>
              <w:t>Model</w:t>
            </w:r>
          </w:p>
        </w:tc>
        <w:tc>
          <w:tcPr>
            <w:tcW w:type="dxa" w:w="2016"/>
            <w:vAlign w:val="center"/>
            <w:tcBorders>
              <w:top w:val="single" w:sz="12" w:color="000000"/>
              <w:bottom w:val="single" w:sz="6" w:color="000000"/>
              <w:left w:val="nil" w:color="000000"/>
              <w:right w:val="nil" w:color="000000"/>
            </w:tcBorders>
          </w:tcPr>
          <w:p>
            <w:pPr>
              <w:jc w:val="center"/>
            </w:pPr>
            <w:r>
              <w:rPr>
                <w:b/>
                <w:sz w:val="16"/>
                <w:rFonts w:eastAsia="Microsoft YaHei" w:hAnsi="Calibri" w:ascii="Calibri"/>
              </w:rPr>
              <w:t>partial-R² radical</w:t>
            </w:r>
          </w:p>
        </w:tc>
        <w:tc>
          <w:tcPr>
            <w:tcW w:type="dxa" w:w="2016"/>
            <w:vAlign w:val="center"/>
            <w:tcBorders>
              <w:top w:val="single" w:sz="12" w:color="000000"/>
              <w:bottom w:val="single" w:sz="6" w:color="000000"/>
              <w:left w:val="nil" w:color="000000"/>
              <w:right w:val="nil" w:color="000000"/>
            </w:tcBorders>
          </w:tcPr>
          <w:p>
            <w:pPr>
              <w:jc w:val="center"/>
            </w:pPr>
            <w:r>
              <w:rPr>
                <w:b/>
                <w:sz w:val="16"/>
                <w:rFonts w:eastAsia="Microsoft YaHei" w:hAnsi="Calibri" w:ascii="Calibri"/>
              </w:rPr>
              <w:t>partial-R² PMI</w:t>
            </w:r>
          </w:p>
        </w:tc>
        <w:tc>
          <w:tcPr>
            <w:tcW w:type="dxa" w:w="792"/>
            <w:vAlign w:val="center"/>
            <w:tcBorders>
              <w:top w:val="single" w:sz="12" w:color="000000"/>
              <w:bottom w:val="single" w:sz="6" w:color="000000"/>
              <w:left w:val="nil" w:color="000000"/>
              <w:right w:val="nil" w:color="000000"/>
            </w:tcBorders>
          </w:tcPr>
          <w:p>
            <w:pPr>
              <w:jc w:val="center"/>
            </w:pPr>
            <w:r>
              <w:rPr>
                <w:b/>
                <w:sz w:val="16"/>
                <w:rFonts w:eastAsia="Microsoft YaHei" w:hAnsi="Calibri" w:ascii="Calibri"/>
              </w:rPr>
              <w:t>Ratio</w:t>
            </w:r>
          </w:p>
        </w:tc>
        <w:tc>
          <w:tcPr>
            <w:tcW w:type="dxa" w:w="1008"/>
            <w:vAlign w:val="center"/>
            <w:tcBorders>
              <w:top w:val="single" w:sz="12" w:color="000000"/>
              <w:bottom w:val="single" w:sz="6" w:color="000000"/>
              <w:left w:val="nil" w:color="000000"/>
              <w:right w:val="nil" w:color="000000"/>
            </w:tcBorders>
          </w:tcPr>
          <w:p>
            <w:pPr>
              <w:jc w:val="center"/>
            </w:pPr>
            <w:r>
              <w:rPr>
                <w:b/>
                <w:sz w:val="16"/>
                <w:rFonts w:eastAsia="Microsoft YaHei" w:hAnsi="Calibri" w:ascii="Calibri"/>
              </w:rPr>
              <w:t>Full R²</w:t>
            </w:r>
          </w:p>
        </w:tc>
        <w:tc>
          <w:tcPr>
            <w:tcW w:type="dxa" w:w="1224"/>
            <w:vAlign w:val="center"/>
            <w:tcBorders>
              <w:top w:val="single" w:sz="12" w:color="000000"/>
              <w:bottom w:val="single" w:sz="6" w:color="000000"/>
              <w:left w:val="nil" w:color="000000"/>
              <w:right w:val="nil" w:color="000000"/>
            </w:tcBorders>
          </w:tcPr>
          <w:p>
            <w:pPr>
              <w:jc w:val="center"/>
            </w:pPr>
            <w:r>
              <w:rPr>
                <w:b/>
                <w:sz w:val="16"/>
                <w:rFonts w:eastAsia="Microsoft YaHei" w:hAnsi="Calibri" w:ascii="Calibri"/>
              </w:rPr>
              <w:t>Spearman ρ</w:t>
            </w:r>
          </w:p>
        </w:tc>
      </w:tr>
      <w:tr>
        <w:tc>
          <w:tcPr>
            <w:tcW w:type="dxa" w:w="2016"/>
            <w:vAlign w:val="center"/>
            <w:tcBorders>
              <w:top w:val="nil" w:color="000000"/>
              <w:bottom w:val="nil" w:color="000000"/>
              <w:left w:val="nil" w:color="000000"/>
              <w:right w:val="nil" w:color="000000"/>
            </w:tcBorders>
          </w:tcPr>
          <w:p>
            <w:pPr>
              <w:jc w:val="left"/>
            </w:pPr>
            <w:r>
              <w:rPr>
                <w:sz w:val="16"/>
                <w:rFonts w:eastAsia="Microsoft YaHei" w:hAnsi="Calibri" w:ascii="Calibri"/>
              </w:rPr>
              <w:t>Qwen2.5-1.5B</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0.0171 [.015,.019]</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0.0090 [.008,.010]</w:t>
            </w:r>
          </w:p>
        </w:tc>
        <w:tc>
          <w:tcPr>
            <w:tcW w:type="dxa" w:w="792"/>
            <w:vAlign w:val="center"/>
            <w:tcBorders>
              <w:top w:val="nil" w:color="000000"/>
              <w:bottom w:val="nil" w:color="000000"/>
              <w:left w:val="nil" w:color="000000"/>
              <w:right w:val="nil" w:color="000000"/>
            </w:tcBorders>
          </w:tcPr>
          <w:p>
            <w:pPr>
              <w:jc w:val="center"/>
            </w:pPr>
            <w:r>
              <w:rPr>
                <w:sz w:val="16"/>
                <w:rFonts w:eastAsia="Microsoft YaHei" w:hAnsi="Calibri" w:ascii="Calibri"/>
              </w:rPr>
              <w:t>1.90</w:t>
            </w:r>
          </w:p>
        </w:tc>
        <w:tc>
          <w:tcPr>
            <w:tcW w:type="dxa" w:w="1008"/>
            <w:vAlign w:val="center"/>
            <w:tcBorders>
              <w:top w:val="nil" w:color="000000"/>
              <w:bottom w:val="nil" w:color="000000"/>
              <w:left w:val="nil" w:color="000000"/>
              <w:right w:val="nil" w:color="000000"/>
            </w:tcBorders>
          </w:tcPr>
          <w:p>
            <w:pPr>
              <w:jc w:val="center"/>
            </w:pPr>
            <w:r>
              <w:rPr>
                <w:sz w:val="16"/>
                <w:rFonts w:eastAsia="Microsoft YaHei" w:hAnsi="Calibri" w:ascii="Calibri"/>
              </w:rPr>
              <w:t>0.029</w:t>
            </w:r>
          </w:p>
        </w:tc>
        <w:tc>
          <w:tcPr>
            <w:tcW w:type="dxa" w:w="1224"/>
            <w:vAlign w:val="center"/>
            <w:tcBorders>
              <w:top w:val="nil" w:color="000000"/>
              <w:bottom w:val="nil" w:color="000000"/>
              <w:left w:val="nil" w:color="000000"/>
              <w:right w:val="nil" w:color="000000"/>
            </w:tcBorders>
          </w:tcPr>
          <w:p>
            <w:pPr>
              <w:jc w:val="center"/>
            </w:pPr>
            <w:r>
              <w:rPr>
                <w:sz w:val="16"/>
                <w:rFonts w:eastAsia="Microsoft YaHei" w:hAnsi="Calibri" w:ascii="Calibri"/>
              </w:rPr>
              <w:t>0.088</w:t>
            </w:r>
          </w:p>
        </w:tc>
      </w:tr>
      <w:tr>
        <w:tc>
          <w:tcPr>
            <w:tcW w:type="dxa" w:w="2016"/>
            <w:vAlign w:val="center"/>
            <w:tcBorders>
              <w:top w:val="nil" w:color="000000"/>
              <w:bottom w:val="nil" w:color="000000"/>
              <w:left w:val="nil" w:color="000000"/>
              <w:right w:val="nil" w:color="000000"/>
            </w:tcBorders>
          </w:tcPr>
          <w:p>
            <w:pPr>
              <w:jc w:val="left"/>
            </w:pPr>
            <w:r>
              <w:rPr>
                <w:sz w:val="16"/>
                <w:rFonts w:eastAsia="Microsoft YaHei" w:hAnsi="Calibri" w:ascii="Calibri"/>
              </w:rPr>
              <w:t>Qwen2.5-3B</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0.0241 [.022,.026]</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0.0133 [.012,.015]</w:t>
            </w:r>
          </w:p>
        </w:tc>
        <w:tc>
          <w:tcPr>
            <w:tcW w:type="dxa" w:w="792"/>
            <w:vAlign w:val="center"/>
            <w:tcBorders>
              <w:top w:val="nil" w:color="000000"/>
              <w:bottom w:val="nil" w:color="000000"/>
              <w:left w:val="nil" w:color="000000"/>
              <w:right w:val="nil" w:color="000000"/>
            </w:tcBorders>
          </w:tcPr>
          <w:p>
            <w:pPr>
              <w:jc w:val="center"/>
            </w:pPr>
            <w:r>
              <w:rPr>
                <w:sz w:val="16"/>
                <w:rFonts w:eastAsia="Microsoft YaHei" w:hAnsi="Calibri" w:ascii="Calibri"/>
              </w:rPr>
              <w:t>1.81</w:t>
            </w:r>
          </w:p>
        </w:tc>
        <w:tc>
          <w:tcPr>
            <w:tcW w:type="dxa" w:w="1008"/>
            <w:vAlign w:val="center"/>
            <w:tcBorders>
              <w:top w:val="nil" w:color="000000"/>
              <w:bottom w:val="nil" w:color="000000"/>
              <w:left w:val="nil" w:color="000000"/>
              <w:right w:val="nil" w:color="000000"/>
            </w:tcBorders>
          </w:tcPr>
          <w:p>
            <w:pPr>
              <w:jc w:val="center"/>
            </w:pPr>
            <w:r>
              <w:rPr>
                <w:sz w:val="16"/>
                <w:rFonts w:eastAsia="Microsoft YaHei" w:hAnsi="Calibri" w:ascii="Calibri"/>
              </w:rPr>
              <w:t>0.042</w:t>
            </w:r>
          </w:p>
        </w:tc>
        <w:tc>
          <w:tcPr>
            <w:tcW w:type="dxa" w:w="1224"/>
            <w:vAlign w:val="center"/>
            <w:tcBorders>
              <w:top w:val="nil" w:color="000000"/>
              <w:bottom w:val="nil" w:color="000000"/>
              <w:left w:val="nil" w:color="000000"/>
              <w:right w:val="nil" w:color="000000"/>
            </w:tcBorders>
          </w:tcPr>
          <w:p>
            <w:pPr>
              <w:jc w:val="center"/>
            </w:pPr>
            <w:r>
              <w:rPr>
                <w:sz w:val="16"/>
                <w:rFonts w:eastAsia="Microsoft YaHei" w:hAnsi="Calibri" w:ascii="Calibri"/>
              </w:rPr>
              <w:t>0.121</w:t>
            </w:r>
          </w:p>
        </w:tc>
      </w:tr>
      <w:tr>
        <w:tc>
          <w:tcPr>
            <w:tcW w:type="dxa" w:w="2016"/>
            <w:vAlign w:val="center"/>
            <w:tcBorders>
              <w:top w:val="nil" w:color="000000"/>
              <w:bottom w:val="nil" w:color="000000"/>
              <w:left w:val="nil" w:color="000000"/>
              <w:right w:val="nil" w:color="000000"/>
            </w:tcBorders>
          </w:tcPr>
          <w:p>
            <w:pPr>
              <w:jc w:val="left"/>
            </w:pPr>
            <w:r>
              <w:rPr>
                <w:sz w:val="16"/>
                <w:rFonts w:eastAsia="Microsoft YaHei" w:hAnsi="Calibri" w:ascii="Calibri"/>
              </w:rPr>
              <w:t>BGE-large-zh</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0.0119 [.010,.014]</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0.0069 [.006,.008]</w:t>
            </w:r>
          </w:p>
        </w:tc>
        <w:tc>
          <w:tcPr>
            <w:tcW w:type="dxa" w:w="792"/>
            <w:vAlign w:val="center"/>
            <w:tcBorders>
              <w:top w:val="nil" w:color="000000"/>
              <w:bottom w:val="nil" w:color="000000"/>
              <w:left w:val="nil" w:color="000000"/>
              <w:right w:val="nil" w:color="000000"/>
            </w:tcBorders>
          </w:tcPr>
          <w:p>
            <w:pPr>
              <w:jc w:val="center"/>
            </w:pPr>
            <w:r>
              <w:rPr>
                <w:sz w:val="16"/>
                <w:rFonts w:eastAsia="Microsoft YaHei" w:hAnsi="Calibri" w:ascii="Calibri"/>
              </w:rPr>
              <w:t>1.72</w:t>
            </w:r>
          </w:p>
        </w:tc>
        <w:tc>
          <w:tcPr>
            <w:tcW w:type="dxa" w:w="1008"/>
            <w:vAlign w:val="center"/>
            <w:tcBorders>
              <w:top w:val="nil" w:color="000000"/>
              <w:bottom w:val="nil" w:color="000000"/>
              <w:left w:val="nil" w:color="000000"/>
              <w:right w:val="nil" w:color="000000"/>
            </w:tcBorders>
          </w:tcPr>
          <w:p>
            <w:pPr>
              <w:jc w:val="center"/>
            </w:pPr>
            <w:r>
              <w:rPr>
                <w:sz w:val="16"/>
                <w:rFonts w:eastAsia="Microsoft YaHei" w:hAnsi="Calibri" w:ascii="Calibri"/>
              </w:rPr>
              <w:t>0.020</w:t>
            </w:r>
          </w:p>
        </w:tc>
        <w:tc>
          <w:tcPr>
            <w:tcW w:type="dxa" w:w="1224"/>
            <w:vAlign w:val="center"/>
            <w:tcBorders>
              <w:top w:val="nil" w:color="000000"/>
              <w:bottom w:val="nil" w:color="000000"/>
              <w:left w:val="nil" w:color="000000"/>
              <w:right w:val="nil" w:color="000000"/>
            </w:tcBorders>
          </w:tcPr>
          <w:p>
            <w:pPr>
              <w:jc w:val="center"/>
            </w:pPr>
            <w:r>
              <w:rPr>
                <w:sz w:val="16"/>
                <w:rFonts w:eastAsia="Microsoft YaHei" w:hAnsi="Calibri" w:ascii="Calibri"/>
              </w:rPr>
              <w:t>0.070</w:t>
            </w:r>
          </w:p>
        </w:tc>
      </w:tr>
      <w:tr>
        <w:tc>
          <w:tcPr>
            <w:tcW w:type="dxa" w:w="2016"/>
            <w:vAlign w:val="center"/>
            <w:tcBorders>
              <w:top w:val="nil" w:color="000000"/>
              <w:bottom w:val="nil" w:color="000000"/>
              <w:left w:val="nil" w:color="000000"/>
              <w:right w:val="nil" w:color="000000"/>
            </w:tcBorders>
          </w:tcPr>
          <w:p>
            <w:pPr>
              <w:jc w:val="left"/>
            </w:pPr>
            <w:r>
              <w:rPr>
                <w:sz w:val="16"/>
                <w:rFonts w:eastAsia="Microsoft YaHei" w:hAnsi="Calibri" w:ascii="Calibri"/>
              </w:rPr>
              <w:t>Chinese-BERT</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0.0040 [.003,.005]</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0.0081 [.007,.009]</w:t>
            </w:r>
          </w:p>
        </w:tc>
        <w:tc>
          <w:tcPr>
            <w:tcW w:type="dxa" w:w="792"/>
            <w:vAlign w:val="center"/>
            <w:tcBorders>
              <w:top w:val="nil" w:color="000000"/>
              <w:bottom w:val="nil" w:color="000000"/>
              <w:left w:val="nil" w:color="000000"/>
              <w:right w:val="nil" w:color="000000"/>
            </w:tcBorders>
          </w:tcPr>
          <w:p>
            <w:pPr>
              <w:jc w:val="center"/>
            </w:pPr>
            <w:r>
              <w:rPr>
                <w:sz w:val="16"/>
                <w:rFonts w:eastAsia="Microsoft YaHei" w:hAnsi="Calibri" w:ascii="Calibri"/>
              </w:rPr>
              <w:t>0.49</w:t>
            </w:r>
          </w:p>
        </w:tc>
        <w:tc>
          <w:tcPr>
            <w:tcW w:type="dxa" w:w="1008"/>
            <w:vAlign w:val="center"/>
            <w:tcBorders>
              <w:top w:val="nil" w:color="000000"/>
              <w:bottom w:val="nil" w:color="000000"/>
              <w:left w:val="nil" w:color="000000"/>
              <w:right w:val="nil" w:color="000000"/>
            </w:tcBorders>
          </w:tcPr>
          <w:p>
            <w:pPr>
              <w:jc w:val="center"/>
            </w:pPr>
            <w:r>
              <w:rPr>
                <w:sz w:val="16"/>
                <w:rFonts w:eastAsia="Microsoft YaHei" w:hAnsi="Calibri" w:ascii="Calibri"/>
              </w:rPr>
              <w:t>0.013</w:t>
            </w:r>
          </w:p>
        </w:tc>
        <w:tc>
          <w:tcPr>
            <w:tcW w:type="dxa" w:w="1224"/>
            <w:vAlign w:val="center"/>
            <w:tcBorders>
              <w:top w:val="nil" w:color="000000"/>
              <w:bottom w:val="nil" w:color="000000"/>
              <w:left w:val="nil" w:color="000000"/>
              <w:right w:val="nil" w:color="000000"/>
            </w:tcBorders>
          </w:tcPr>
          <w:p>
            <w:pPr>
              <w:jc w:val="center"/>
            </w:pPr>
            <w:r>
              <w:rPr>
                <w:sz w:val="16"/>
                <w:rFonts w:eastAsia="Microsoft YaHei" w:hAnsi="Calibri" w:ascii="Calibri"/>
              </w:rPr>
              <w:t>0.082</w:t>
            </w:r>
          </w:p>
        </w:tc>
      </w:tr>
      <w:tr>
        <w:tc>
          <w:tcPr>
            <w:tcW w:type="dxa" w:w="2016"/>
            <w:vAlign w:val="center"/>
            <w:tcBorders>
              <w:top w:val="nil" w:color="000000"/>
              <w:bottom w:val="nil" w:color="000000"/>
              <w:left w:val="nil" w:color="000000"/>
              <w:right w:val="nil" w:color="000000"/>
            </w:tcBorders>
          </w:tcPr>
          <w:p>
            <w:pPr>
              <w:jc w:val="left"/>
            </w:pPr>
            <w:r>
              <w:rPr>
                <w:sz w:val="16"/>
                <w:rFonts w:eastAsia="Microsoft YaHei" w:hAnsi="Calibri" w:ascii="Calibri"/>
              </w:rPr>
              <w:t>MacBERT</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0.0021 [.002,.003]</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0.0030 [.002,.004]</w:t>
            </w:r>
          </w:p>
        </w:tc>
        <w:tc>
          <w:tcPr>
            <w:tcW w:type="dxa" w:w="792"/>
            <w:vAlign w:val="center"/>
            <w:tcBorders>
              <w:top w:val="nil" w:color="000000"/>
              <w:bottom w:val="nil" w:color="000000"/>
              <w:left w:val="nil" w:color="000000"/>
              <w:right w:val="nil" w:color="000000"/>
            </w:tcBorders>
          </w:tcPr>
          <w:p>
            <w:pPr>
              <w:jc w:val="center"/>
            </w:pPr>
            <w:r>
              <w:rPr>
                <w:sz w:val="16"/>
                <w:rFonts w:eastAsia="Microsoft YaHei" w:hAnsi="Calibri" w:ascii="Calibri"/>
              </w:rPr>
              <w:t>0.70</w:t>
            </w:r>
          </w:p>
        </w:tc>
        <w:tc>
          <w:tcPr>
            <w:tcW w:type="dxa" w:w="1008"/>
            <w:vAlign w:val="center"/>
            <w:tcBorders>
              <w:top w:val="nil" w:color="000000"/>
              <w:bottom w:val="nil" w:color="000000"/>
              <w:left w:val="nil" w:color="000000"/>
              <w:right w:val="nil" w:color="000000"/>
            </w:tcBorders>
          </w:tcPr>
          <w:p>
            <w:pPr>
              <w:jc w:val="center"/>
            </w:pPr>
            <w:r>
              <w:rPr>
                <w:sz w:val="16"/>
                <w:rFonts w:eastAsia="Microsoft YaHei" w:hAnsi="Calibri" w:ascii="Calibri"/>
              </w:rPr>
              <w:t>0.005</w:t>
            </w:r>
          </w:p>
        </w:tc>
        <w:tc>
          <w:tcPr>
            <w:tcW w:type="dxa" w:w="1224"/>
            <w:vAlign w:val="center"/>
            <w:tcBorders>
              <w:top w:val="nil" w:color="000000"/>
              <w:bottom w:val="nil" w:color="000000"/>
              <w:left w:val="nil" w:color="000000"/>
              <w:right w:val="nil" w:color="000000"/>
            </w:tcBorders>
          </w:tcPr>
          <w:p>
            <w:pPr>
              <w:jc w:val="center"/>
            </w:pPr>
            <w:r>
              <w:rPr>
                <w:sz w:val="16"/>
                <w:rFonts w:eastAsia="Microsoft YaHei" w:hAnsi="Calibri" w:ascii="Calibri"/>
              </w:rPr>
              <w:t>0.042</w:t>
            </w:r>
          </w:p>
        </w:tc>
      </w:tr>
      <w:tr>
        <w:tc>
          <w:tcPr>
            <w:tcW w:type="dxa" w:w="2016"/>
            <w:vAlign w:val="center"/>
            <w:tcBorders>
              <w:top w:val="nil" w:color="000000"/>
              <w:bottom w:val="nil" w:color="000000"/>
              <w:left w:val="nil" w:color="000000"/>
              <w:right w:val="nil" w:color="000000"/>
            </w:tcBorders>
          </w:tcPr>
          <w:p>
            <w:pPr>
              <w:jc w:val="left"/>
            </w:pPr>
            <w:r>
              <w:rPr>
                <w:sz w:val="16"/>
                <w:rFonts w:eastAsia="Microsoft YaHei" w:hAnsi="Calibri" w:ascii="Calibri"/>
              </w:rPr>
              <w:t>ERNIE-3.0</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0.0008 [.001,.001]</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0.0015 [.001,.002]</w:t>
            </w:r>
          </w:p>
        </w:tc>
        <w:tc>
          <w:tcPr>
            <w:tcW w:type="dxa" w:w="792"/>
            <w:vAlign w:val="center"/>
            <w:tcBorders>
              <w:top w:val="nil" w:color="000000"/>
              <w:bottom w:val="nil" w:color="000000"/>
              <w:left w:val="nil" w:color="000000"/>
              <w:right w:val="nil" w:color="000000"/>
            </w:tcBorders>
          </w:tcPr>
          <w:p>
            <w:pPr>
              <w:jc w:val="center"/>
            </w:pPr>
            <w:r>
              <w:rPr>
                <w:sz w:val="16"/>
                <w:rFonts w:eastAsia="Microsoft YaHei" w:hAnsi="Calibri" w:ascii="Calibri"/>
              </w:rPr>
              <w:t>0.51</w:t>
            </w:r>
          </w:p>
        </w:tc>
        <w:tc>
          <w:tcPr>
            <w:tcW w:type="dxa" w:w="1008"/>
            <w:vAlign w:val="center"/>
            <w:tcBorders>
              <w:top w:val="nil" w:color="000000"/>
              <w:bottom w:val="nil" w:color="000000"/>
              <w:left w:val="nil" w:color="000000"/>
              <w:right w:val="nil" w:color="000000"/>
            </w:tcBorders>
          </w:tcPr>
          <w:p>
            <w:pPr>
              <w:jc w:val="center"/>
            </w:pPr>
            <w:r>
              <w:rPr>
                <w:sz w:val="16"/>
                <w:rFonts w:eastAsia="Microsoft YaHei" w:hAnsi="Calibri" w:ascii="Calibri"/>
              </w:rPr>
              <w:t>0.003</w:t>
            </w:r>
          </w:p>
        </w:tc>
        <w:tc>
          <w:tcPr>
            <w:tcW w:type="dxa" w:w="1224"/>
            <w:vAlign w:val="center"/>
            <w:tcBorders>
              <w:top w:val="nil" w:color="000000"/>
              <w:bottom w:val="nil" w:color="000000"/>
              <w:left w:val="nil" w:color="000000"/>
              <w:right w:val="nil" w:color="000000"/>
            </w:tcBorders>
          </w:tcPr>
          <w:p>
            <w:pPr>
              <w:jc w:val="center"/>
            </w:pPr>
            <w:r>
              <w:rPr>
                <w:sz w:val="16"/>
                <w:rFonts w:eastAsia="Microsoft YaHei" w:hAnsi="Calibri" w:ascii="Calibri"/>
              </w:rPr>
              <w:t>0.035</w:t>
            </w:r>
          </w:p>
        </w:tc>
      </w:tr>
      <w:tr>
        <w:tc>
          <w:tcPr>
            <w:tcW w:type="dxa" w:w="2016"/>
            <w:vAlign w:val="center"/>
            <w:tcBorders>
              <w:top w:val="nil" w:color="000000"/>
              <w:bottom w:val="nil" w:color="000000"/>
              <w:left w:val="nil" w:color="000000"/>
              <w:right w:val="nil" w:color="000000"/>
            </w:tcBorders>
          </w:tcPr>
          <w:p>
            <w:pPr>
              <w:jc w:val="left"/>
            </w:pPr>
            <w:r>
              <w:rPr>
                <w:sz w:val="16"/>
                <w:rFonts w:eastAsia="Microsoft YaHei" w:hAnsi="Calibri" w:ascii="Calibri"/>
              </w:rPr>
              <w:t>JP-BERT-char</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0.0007 [.001,.001]</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0.0036 [.003,.004]</w:t>
            </w:r>
          </w:p>
        </w:tc>
        <w:tc>
          <w:tcPr>
            <w:tcW w:type="dxa" w:w="792"/>
            <w:vAlign w:val="center"/>
            <w:tcBorders>
              <w:top w:val="nil" w:color="000000"/>
              <w:bottom w:val="nil" w:color="000000"/>
              <w:left w:val="nil" w:color="000000"/>
              <w:right w:val="nil" w:color="000000"/>
            </w:tcBorders>
          </w:tcPr>
          <w:p>
            <w:pPr>
              <w:jc w:val="center"/>
            </w:pPr>
            <w:r>
              <w:rPr>
                <w:sz w:val="16"/>
                <w:rFonts w:eastAsia="Microsoft YaHei" w:hAnsi="Calibri" w:ascii="Calibri"/>
              </w:rPr>
              <w:t>0.19</w:t>
            </w:r>
          </w:p>
        </w:tc>
        <w:tc>
          <w:tcPr>
            <w:tcW w:type="dxa" w:w="1008"/>
            <w:vAlign w:val="center"/>
            <w:tcBorders>
              <w:top w:val="nil" w:color="000000"/>
              <w:bottom w:val="nil" w:color="000000"/>
              <w:left w:val="nil" w:color="000000"/>
              <w:right w:val="nil" w:color="000000"/>
            </w:tcBorders>
          </w:tcPr>
          <w:p>
            <w:pPr>
              <w:jc w:val="center"/>
            </w:pPr>
            <w:r>
              <w:rPr>
                <w:sz w:val="16"/>
                <w:rFonts w:eastAsia="Microsoft YaHei" w:hAnsi="Calibri" w:ascii="Calibri"/>
              </w:rPr>
              <w:t>0.007</w:t>
            </w:r>
          </w:p>
        </w:tc>
        <w:tc>
          <w:tcPr>
            <w:tcW w:type="dxa" w:w="1224"/>
            <w:vAlign w:val="center"/>
            <w:tcBorders>
              <w:top w:val="nil" w:color="000000"/>
              <w:bottom w:val="nil" w:color="000000"/>
              <w:left w:val="nil" w:color="000000"/>
              <w:right w:val="nil" w:color="000000"/>
            </w:tcBorders>
          </w:tcPr>
          <w:p>
            <w:pPr>
              <w:jc w:val="center"/>
            </w:pPr>
            <w:r>
              <w:rPr>
                <w:sz w:val="16"/>
                <w:rFonts w:eastAsia="Microsoft YaHei" w:hAnsi="Calibri" w:ascii="Calibri"/>
              </w:rPr>
              <w:t>0.052</w:t>
            </w:r>
          </w:p>
        </w:tc>
      </w:tr>
      <w:tr>
        <w:tc>
          <w:tcPr>
            <w:tcW w:type="dxa" w:w="2016"/>
            <w:vAlign w:val="center"/>
            <w:tcBorders>
              <w:top w:val="nil" w:color="000000"/>
              <w:bottom w:val="nil" w:color="000000"/>
              <w:left w:val="nil" w:color="000000"/>
              <w:right w:val="nil" w:color="000000"/>
            </w:tcBorders>
          </w:tcPr>
          <w:p>
            <w:pPr>
              <w:jc w:val="left"/>
            </w:pPr>
            <w:r>
              <w:rPr>
                <w:sz w:val="16"/>
                <w:rFonts w:eastAsia="Microsoft YaHei" w:hAnsi="Calibri" w:ascii="Calibri"/>
              </w:rPr>
              <w:t>mBERT</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0.0012 [.001,.002]</w:t>
            </w:r>
          </w:p>
        </w:tc>
        <w:tc>
          <w:tcPr>
            <w:tcW w:type="dxa" w:w="2016"/>
            <w:vAlign w:val="center"/>
            <w:tcBorders>
              <w:top w:val="nil" w:color="000000"/>
              <w:bottom w:val="nil" w:color="000000"/>
              <w:left w:val="nil" w:color="000000"/>
              <w:right w:val="nil" w:color="000000"/>
            </w:tcBorders>
          </w:tcPr>
          <w:p>
            <w:pPr>
              <w:jc w:val="center"/>
            </w:pPr>
            <w:r>
              <w:rPr>
                <w:sz w:val="16"/>
                <w:rFonts w:eastAsia="Microsoft YaHei" w:hAnsi="Calibri" w:ascii="Calibri"/>
              </w:rPr>
              <w:t>&lt;0.0001</w:t>
            </w:r>
          </w:p>
        </w:tc>
        <w:tc>
          <w:tcPr>
            <w:tcW w:type="dxa" w:w="792"/>
            <w:vAlign w:val="center"/>
            <w:tcBorders>
              <w:top w:val="nil" w:color="000000"/>
              <w:bottom w:val="nil" w:color="000000"/>
              <w:left w:val="nil" w:color="000000"/>
              <w:right w:val="nil" w:color="000000"/>
            </w:tcBorders>
          </w:tcPr>
          <w:p>
            <w:pPr>
              <w:jc w:val="center"/>
            </w:pPr>
            <w:r>
              <w:rPr>
                <w:sz w:val="16"/>
                <w:rFonts w:eastAsia="Microsoft YaHei" w:hAnsi="Calibri" w:ascii="Calibri"/>
              </w:rPr>
              <w:t>n/a*</w:t>
            </w:r>
          </w:p>
        </w:tc>
        <w:tc>
          <w:tcPr>
            <w:tcW w:type="dxa" w:w="1008"/>
            <w:vAlign w:val="center"/>
            <w:tcBorders>
              <w:top w:val="nil" w:color="000000"/>
              <w:bottom w:val="nil" w:color="000000"/>
              <w:left w:val="nil" w:color="000000"/>
              <w:right w:val="nil" w:color="000000"/>
            </w:tcBorders>
          </w:tcPr>
          <w:p>
            <w:pPr>
              <w:jc w:val="center"/>
            </w:pPr>
            <w:r>
              <w:rPr>
                <w:sz w:val="16"/>
                <w:rFonts w:eastAsia="Microsoft YaHei" w:hAnsi="Calibri" w:ascii="Calibri"/>
              </w:rPr>
              <w:t>0.002</w:t>
            </w:r>
          </w:p>
        </w:tc>
        <w:tc>
          <w:tcPr>
            <w:tcW w:type="dxa" w:w="1224"/>
            <w:vAlign w:val="center"/>
            <w:tcBorders>
              <w:top w:val="nil" w:color="000000"/>
              <w:bottom w:val="nil" w:color="000000"/>
              <w:left w:val="nil" w:color="000000"/>
              <w:right w:val="nil" w:color="000000"/>
            </w:tcBorders>
          </w:tcPr>
          <w:p>
            <w:pPr>
              <w:jc w:val="center"/>
            </w:pPr>
            <w:r>
              <w:rPr>
                <w:sz w:val="16"/>
                <w:rFonts w:eastAsia="Microsoft YaHei" w:hAnsi="Calibri" w:ascii="Calibri"/>
              </w:rPr>
              <w:t>0.007</w:t>
            </w:r>
          </w:p>
        </w:tc>
      </w:tr>
      <w:tr>
        <w:tc>
          <w:tcPr>
            <w:tcW w:type="dxa" w:w="2016"/>
            <w:vAlign w:val="center"/>
            <w:tcBorders>
              <w:top w:val="nil" w:color="000000"/>
              <w:bottom w:val="single" w:sz="12" w:color="000000"/>
              <w:left w:val="nil" w:color="000000"/>
              <w:right w:val="nil" w:color="000000"/>
            </w:tcBorders>
          </w:tcPr>
          <w:p>
            <w:pPr>
              <w:jc w:val="left"/>
            </w:pPr>
            <w:r>
              <w:rPr>
                <w:sz w:val="16"/>
                <w:rFonts w:eastAsia="Microsoft YaHei" w:hAnsi="Calibri" w:ascii="Calibri"/>
              </w:rPr>
              <w:t>glyph_only/ResNet-18</w:t>
            </w:r>
          </w:p>
        </w:tc>
        <w:tc>
          <w:tcPr>
            <w:tcW w:type="dxa" w:w="2016"/>
            <w:vAlign w:val="center"/>
            <w:tcBorders>
              <w:top w:val="nil" w:color="000000"/>
              <w:bottom w:val="single" w:sz="12" w:color="000000"/>
              <w:left w:val="nil" w:color="000000"/>
              <w:right w:val="nil" w:color="000000"/>
            </w:tcBorders>
          </w:tcPr>
          <w:p>
            <w:pPr>
              <w:jc w:val="center"/>
            </w:pPr>
            <w:r>
              <w:rPr>
                <w:sz w:val="16"/>
                <w:rFonts w:eastAsia="Microsoft YaHei" w:hAnsi="Calibri" w:ascii="Calibri"/>
              </w:rPr>
              <w:t>0.0338 [.030,.038]</w:t>
            </w:r>
          </w:p>
        </w:tc>
        <w:tc>
          <w:tcPr>
            <w:tcW w:type="dxa" w:w="2016"/>
            <w:vAlign w:val="center"/>
            <w:tcBorders>
              <w:top w:val="nil" w:color="000000"/>
              <w:bottom w:val="single" w:sz="12" w:color="000000"/>
              <w:left w:val="nil" w:color="000000"/>
              <w:right w:val="nil" w:color="000000"/>
            </w:tcBorders>
          </w:tcPr>
          <w:p>
            <w:pPr>
              <w:jc w:val="center"/>
            </w:pPr>
            <w:r>
              <w:rPr>
                <w:sz w:val="16"/>
                <w:rFonts w:eastAsia="Microsoft YaHei" w:hAnsi="Calibri" w:ascii="Calibri"/>
              </w:rPr>
              <w:t>0.0001 [.000,.000]</w:t>
            </w:r>
          </w:p>
        </w:tc>
        <w:tc>
          <w:tcPr>
            <w:tcW w:type="dxa" w:w="792"/>
            <w:vAlign w:val="center"/>
            <w:tcBorders>
              <w:top w:val="nil" w:color="000000"/>
              <w:bottom w:val="single" w:sz="12" w:color="000000"/>
              <w:left w:val="nil" w:color="000000"/>
              <w:right w:val="nil" w:color="000000"/>
            </w:tcBorders>
          </w:tcPr>
          <w:p>
            <w:pPr>
              <w:jc w:val="center"/>
            </w:pPr>
            <w:r>
              <w:rPr>
                <w:sz w:val="16"/>
                <w:rFonts w:eastAsia="Microsoft YaHei" w:hAnsi="Calibri" w:ascii="Calibri"/>
              </w:rPr>
              <w:t>338</w:t>
            </w:r>
          </w:p>
        </w:tc>
        <w:tc>
          <w:tcPr>
            <w:tcW w:type="dxa" w:w="1008"/>
            <w:vAlign w:val="center"/>
            <w:tcBorders>
              <w:top w:val="nil" w:color="000000"/>
              <w:bottom w:val="single" w:sz="12" w:color="000000"/>
              <w:left w:val="nil" w:color="000000"/>
              <w:right w:val="nil" w:color="000000"/>
            </w:tcBorders>
          </w:tcPr>
          <w:p>
            <w:pPr>
              <w:jc w:val="center"/>
            </w:pPr>
            <w:r>
              <w:rPr>
                <w:sz w:val="16"/>
                <w:rFonts w:eastAsia="Microsoft YaHei" w:hAnsi="Calibri" w:ascii="Calibri"/>
              </w:rPr>
              <w:t>0.050</w:t>
            </w:r>
          </w:p>
        </w:tc>
        <w:tc>
          <w:tcPr>
            <w:tcW w:type="dxa" w:w="1224"/>
            <w:vAlign w:val="center"/>
            <w:tcBorders>
              <w:top w:val="nil" w:color="000000"/>
              <w:bottom w:val="single" w:sz="12" w:color="000000"/>
              <w:left w:val="nil" w:color="000000"/>
              <w:right w:val="nil" w:color="000000"/>
            </w:tcBorders>
          </w:tcPr>
          <w:p>
            <w:pPr>
              <w:jc w:val="center"/>
            </w:pPr>
            <w:r>
              <w:rPr>
                <w:sz w:val="16"/>
                <w:rFonts w:eastAsia="Microsoft YaHei" w:hAnsi="Calibri" w:ascii="Calibri"/>
              </w:rPr>
              <w:t>0.132</w:t>
            </w:r>
          </w:p>
        </w:tc>
      </w:tr>
    </w:tbl>
    <w:p>
      <w:pPr>
        <w:spacing w:before="40" w:after="120"/>
      </w:pPr>
      <w:r>
        <w:rPr>
          <w:i/>
          <w:sz w:val="16"/>
          <w:rFonts w:eastAsia="Microsoft YaHei" w:hAnsi="Calibri" w:ascii="Calibri"/>
        </w:rPr>
        <w:t>* mBERT PMI partial-R² &lt; 10⁻⁴, ratio not meaningfully comparable.</w:t>
      </w:r>
    </w:p>
    <w:p>
      <w:pPr>
        <w:spacing w:before="40" w:after="40" w:line="276" w:lineRule="auto"/>
        <w:jc w:val="both"/>
      </w:pPr>
      <w:r>
        <w:rPr>
          <w:b w:val="0"/>
          <w:i w:val="0"/>
          <w:sz w:val="20"/>
          <w:rFonts w:eastAsia="Microsoft YaHei" w:hAnsi="Calibri" w:ascii="Calibri"/>
        </w:rPr>
        <w:t>Three observations. (a) Partial-R²(radical) &gt; partial-R²(PMI) holds for three models: Qwen2.5-1.5B, Qwen2.5-3B, and BGE-large-zh. Bootstrap CIs for these three do not overlap with their PMI CIs. For the other five glyph-naive models, the PMI partial-R² is at least as large as the radical partial-R², or both are negligibly small. (b) The vision-only baseline is the limit case: with access only to pixel similarity, its radical partial-R² dominates everything else. (c) Cluster-robust correction does not change the substantive interpretation but does change uncertainty: design effects average 1.4, so naive OLS standard errors are too narrow by ~40%. After correction every coefficient remains significant at p &lt; 0.001.</w:t>
      </w:r>
    </w:p>
    <w:p>
      <w:pPr>
        <w:keepNext/>
        <w:spacing w:before="120" w:after="40" w:line="264" w:lineRule="auto"/>
      </w:pPr>
      <w:r>
        <w:rPr>
          <w:b/>
          <w:i/>
          <w:sz w:val="20"/>
          <w:rFonts w:eastAsia="Microsoft YaHei" w:hAnsi="Calibri" w:ascii="Calibri"/>
        </w:rPr>
        <w:t>5.3  What the small full R² means</w:t>
      </w:r>
    </w:p>
    <w:p>
      <w:pPr>
        <w:spacing w:before="40" w:after="40" w:line="276" w:lineRule="auto"/>
        <w:jc w:val="both"/>
      </w:pPr>
      <w:r>
        <w:rPr>
          <w:b w:val="0"/>
          <w:i w:val="0"/>
          <w:sz w:val="20"/>
          <w:rFonts w:eastAsia="Microsoft YaHei" w:hAnsi="Calibri" w:ascii="Calibri"/>
        </w:rPr>
        <w:t>Full R² between 0.002 and 0.050 sounds small. The calibration above shows the upper bound for any character-level predictor on this data is R² ∈ [0.31, 0.78], not 1.0. Our four predictors capture 1% to 17% of the available variance. We do not claim that “16% of Qwen2.5-3B's representation is radicals.” We claim that, of the cosine variance available to a character-level regression, radical co-membership accounts for approximately twice as much as PMI in the three Chinese-pretrained transformers we examined.</w:t>
      </w:r>
    </w:p>
    <w:p>
      <w:pPr>
        <w:keepNext/>
        <w:spacing w:before="120" w:after="40" w:line="264" w:lineRule="auto"/>
      </w:pPr>
      <w:r>
        <w:rPr>
          <w:b/>
          <w:i/>
          <w:sz w:val="20"/>
          <w:rFonts w:eastAsia="Microsoft YaHei" w:hAnsi="Calibri" w:ascii="Calibri"/>
        </w:rPr>
        <w:t>5.4  The n = 3 problem</w:t>
      </w:r>
    </w:p>
    <w:p>
      <w:pPr>
        <w:spacing w:before="40" w:after="40" w:line="276" w:lineRule="auto"/>
        <w:jc w:val="both"/>
      </w:pPr>
      <w:r>
        <w:rPr>
          <w:b w:val="0"/>
          <w:i w:val="0"/>
          <w:sz w:val="20"/>
          <w:rFonts w:eastAsia="Microsoft YaHei" w:hAnsi="Calibri" w:ascii="Calibri"/>
        </w:rPr>
        <w:t>Three models is a small set. With n = 3 we cannot make a category claim like “Chinese-pretrained transformers encode radical structure.” We can describe the pattern in our data: of the nine glyph-naive models, exactly three (Qwen2.5-1.5B, Qwen2.5-3B, BGE-large-zh) place radical partial-R² above PMI partial-R². The three are heterogeneous: Qwen models are decoder LLMs trained on Chinese-heavy text; BGE-large-zh is an encoder trained with a contrastive retrieval objective. They converge on the variance ordering despite different architectures and objectives, which suggests the pattern is not artifact of any single training pipeline. But three models are three models. We refrain from naming a category.</w:t>
      </w:r>
    </w:p>
    <w:p>
      <w:pPr>
        <w:keepNext/>
        <w:spacing w:before="120" w:after="40" w:line="264" w:lineRule="auto"/>
      </w:pPr>
      <w:r>
        <w:rPr>
          <w:b/>
          <w:i/>
          <w:sz w:val="20"/>
          <w:rFonts w:eastAsia="Microsoft YaHei" w:hAnsi="Calibri" w:ascii="Calibri"/>
        </w:rPr>
        <w:t>5.5  Cloze probe with paired permutation inference</w:t>
      </w:r>
    </w:p>
    <w:p>
      <w:pPr>
        <w:keepNext/>
        <w:spacing w:before="120" w:after="40"/>
      </w:pPr>
      <w:r>
        <w:rPr>
          <w:b/>
          <w:sz w:val="17"/>
          <w:rFonts w:eastAsia="Microsoft YaHei" w:hAnsi="Calibri" w:ascii="Calibri"/>
        </w:rPr>
        <w:t xml:space="preserve">Table. </w:t>
      </w:r>
      <w:r>
        <w:rPr>
          <w:sz w:val="17"/>
          <w:rFonts w:eastAsia="Microsoft YaHei" w:hAnsi="Calibri" w:ascii="Calibri"/>
        </w:rPr>
        <w:t>Per-model cloze inference. mean_delta = target − distractor log-probability averaged across 8 fields. CIs are 8-field non-parametric bootstrap (10,000 resamples). p from paired sign-flip permutation. No single model is significant at α = 0.05.</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016"/>
            <w:vAlign w:val="center"/>
            <w:tcBorders>
              <w:top w:val="single" w:sz="12" w:color="000000"/>
              <w:bottom w:val="single" w:sz="6" w:color="000000"/>
              <w:left w:val="nil" w:color="000000"/>
              <w:right w:val="nil" w:color="000000"/>
            </w:tcBorders>
          </w:tcPr>
          <w:p>
            <w:pPr>
              <w:jc w:val="left"/>
            </w:pPr>
            <w:r>
              <w:rPr>
                <w:b/>
                <w:sz w:val="17"/>
                <w:rFonts w:eastAsia="Microsoft YaHei" w:hAnsi="Calibri" w:ascii="Calibri"/>
              </w:rPr>
              <w:t>Model</w:t>
            </w:r>
          </w:p>
        </w:tc>
        <w:tc>
          <w:tcPr>
            <w:tcW w:type="dxa" w:w="864"/>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Δ̄</w:t>
            </w:r>
          </w:p>
        </w:tc>
        <w:tc>
          <w:tcPr>
            <w:tcW w:type="dxa" w:w="1872"/>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95% CI</w:t>
            </w:r>
          </w:p>
        </w:tc>
        <w:tc>
          <w:tcPr>
            <w:tcW w:type="dxa" w:w="720"/>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p</w:t>
            </w:r>
          </w:p>
        </w:tc>
        <w:tc>
          <w:tcPr>
            <w:tcW w:type="dxa" w:w="792"/>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top-1</w:t>
            </w:r>
          </w:p>
        </w:tc>
        <w:tc>
          <w:tcPr>
            <w:tcW w:type="dxa" w:w="792"/>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MRR</w:t>
            </w:r>
          </w:p>
        </w:tc>
      </w:tr>
      <w:tr>
        <w:tc>
          <w:tcPr>
            <w:tcW w:type="dxa" w:w="2016"/>
            <w:vAlign w:val="center"/>
            <w:tcBorders>
              <w:top w:val="nil" w:color="000000"/>
              <w:bottom w:val="nil" w:color="000000"/>
              <w:left w:val="nil" w:color="000000"/>
              <w:right w:val="nil" w:color="000000"/>
            </w:tcBorders>
          </w:tcPr>
          <w:p>
            <w:pPr>
              <w:jc w:val="left"/>
            </w:pPr>
            <w:r>
              <w:rPr>
                <w:sz w:val="17"/>
                <w:rFonts w:eastAsia="Microsoft YaHei" w:hAnsi="Calibri" w:ascii="Calibri"/>
              </w:rPr>
              <w:t>Qwen2.5-3B</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+0.36</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[−0.93, 1.48]</w:t>
            </w:r>
          </w:p>
        </w:tc>
        <w:tc>
          <w:tcPr>
            <w:tcW w:type="dxa" w:w="720"/>
            <w:vAlign w:val="center"/>
            <w:tcBorders>
              <w:top w:val="nil" w:color="000000"/>
              <w:bottom w:val="nil" w:color="000000"/>
              <w:left w:val="nil" w:color="000000"/>
              <w:right w:val="nil" w:color="000000"/>
            </w:tcBorders>
          </w:tcPr>
          <w:p>
            <w:pPr>
              <w:jc w:val="center"/>
            </w:pPr>
            <w:r>
              <w:rPr>
                <w:sz w:val="17"/>
                <w:rFonts w:eastAsia="Microsoft YaHei" w:hAnsi="Calibri" w:ascii="Calibri"/>
              </w:rPr>
              <w:t>0.58</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0.54</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0.70</w:t>
            </w:r>
          </w:p>
        </w:tc>
      </w:tr>
      <w:tr>
        <w:tc>
          <w:tcPr>
            <w:tcW w:type="dxa" w:w="2016"/>
            <w:vAlign w:val="center"/>
            <w:tcBorders>
              <w:top w:val="nil" w:color="000000"/>
              <w:bottom w:val="nil" w:color="000000"/>
              <w:left w:val="nil" w:color="000000"/>
              <w:right w:val="nil" w:color="000000"/>
            </w:tcBorders>
          </w:tcPr>
          <w:p>
            <w:pPr>
              <w:jc w:val="left"/>
            </w:pPr>
            <w:r>
              <w:rPr>
                <w:sz w:val="17"/>
                <w:rFonts w:eastAsia="Microsoft YaHei" w:hAnsi="Calibri" w:ascii="Calibri"/>
              </w:rPr>
              <w:t>Qwen2.5-1.5B</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+0.20</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[−0.94, 1.14]</w:t>
            </w:r>
          </w:p>
        </w:tc>
        <w:tc>
          <w:tcPr>
            <w:tcW w:type="dxa" w:w="720"/>
            <w:vAlign w:val="center"/>
            <w:tcBorders>
              <w:top w:val="nil" w:color="000000"/>
              <w:bottom w:val="nil" w:color="000000"/>
              <w:left w:val="nil" w:color="000000"/>
              <w:right w:val="nil" w:color="000000"/>
            </w:tcBorders>
          </w:tcPr>
          <w:p>
            <w:pPr>
              <w:jc w:val="center"/>
            </w:pPr>
            <w:r>
              <w:rPr>
                <w:sz w:val="17"/>
                <w:rFonts w:eastAsia="Microsoft YaHei" w:hAnsi="Calibri" w:ascii="Calibri"/>
              </w:rPr>
              <w:t>0.74</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0.63</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0.77</w:t>
            </w:r>
          </w:p>
        </w:tc>
      </w:tr>
      <w:tr>
        <w:tc>
          <w:tcPr>
            <w:tcW w:type="dxa" w:w="2016"/>
            <w:vAlign w:val="center"/>
            <w:tcBorders>
              <w:top w:val="nil" w:color="000000"/>
              <w:bottom w:val="nil" w:color="000000"/>
              <w:left w:val="nil" w:color="000000"/>
              <w:right w:val="nil" w:color="000000"/>
            </w:tcBorders>
          </w:tcPr>
          <w:p>
            <w:pPr>
              <w:jc w:val="left"/>
            </w:pPr>
            <w:r>
              <w:rPr>
                <w:sz w:val="17"/>
                <w:rFonts w:eastAsia="Microsoft YaHei" w:hAnsi="Calibri" w:ascii="Calibri"/>
              </w:rPr>
              <w:t>Chinese-BERT</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+0.16</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[−1.73, 1.95]</w:t>
            </w:r>
          </w:p>
        </w:tc>
        <w:tc>
          <w:tcPr>
            <w:tcW w:type="dxa" w:w="720"/>
            <w:vAlign w:val="center"/>
            <w:tcBorders>
              <w:top w:val="nil" w:color="000000"/>
              <w:bottom w:val="nil" w:color="000000"/>
              <w:left w:val="nil" w:color="000000"/>
              <w:right w:val="nil" w:color="000000"/>
            </w:tcBorders>
          </w:tcPr>
          <w:p>
            <w:pPr>
              <w:jc w:val="center"/>
            </w:pPr>
            <w:r>
              <w:rPr>
                <w:sz w:val="17"/>
                <w:rFonts w:eastAsia="Microsoft YaHei" w:hAnsi="Calibri" w:ascii="Calibri"/>
              </w:rPr>
              <w:t>0.90</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0.65</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0.74</w:t>
            </w:r>
          </w:p>
        </w:tc>
      </w:tr>
      <w:tr>
        <w:tc>
          <w:tcPr>
            <w:tcW w:type="dxa" w:w="2016"/>
            <w:vAlign w:val="center"/>
            <w:tcBorders>
              <w:top w:val="nil" w:color="000000"/>
              <w:bottom w:val="nil" w:color="000000"/>
              <w:left w:val="nil" w:color="000000"/>
              <w:right w:val="nil" w:color="000000"/>
            </w:tcBorders>
          </w:tcPr>
          <w:p>
            <w:pPr>
              <w:jc w:val="left"/>
            </w:pPr>
            <w:r>
              <w:rPr>
                <w:sz w:val="17"/>
                <w:rFonts w:eastAsia="Microsoft YaHei" w:hAnsi="Calibri" w:ascii="Calibri"/>
              </w:rPr>
              <w:t>MacBERT</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−0.21</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[−1.76, 1.34]</w:t>
            </w:r>
          </w:p>
        </w:tc>
        <w:tc>
          <w:tcPr>
            <w:tcW w:type="dxa" w:w="720"/>
            <w:vAlign w:val="center"/>
            <w:tcBorders>
              <w:top w:val="nil" w:color="000000"/>
              <w:bottom w:val="nil" w:color="000000"/>
              <w:left w:val="nil" w:color="000000"/>
              <w:right w:val="nil" w:color="000000"/>
            </w:tcBorders>
          </w:tcPr>
          <w:p>
            <w:pPr>
              <w:jc w:val="center"/>
            </w:pPr>
            <w:r>
              <w:rPr>
                <w:sz w:val="17"/>
                <w:rFonts w:eastAsia="Microsoft YaHei" w:hAnsi="Calibri" w:ascii="Calibri"/>
              </w:rPr>
              <w:t>0.81</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0.49</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0.66</w:t>
            </w:r>
          </w:p>
        </w:tc>
      </w:tr>
      <w:tr>
        <w:tc>
          <w:tcPr>
            <w:tcW w:type="dxa" w:w="2016"/>
            <w:vAlign w:val="center"/>
            <w:tcBorders>
              <w:top w:val="nil" w:color="000000"/>
              <w:bottom w:val="nil" w:color="000000"/>
              <w:left w:val="nil" w:color="000000"/>
              <w:right w:val="nil" w:color="000000"/>
            </w:tcBorders>
          </w:tcPr>
          <w:p>
            <w:pPr>
              <w:jc w:val="left"/>
            </w:pPr>
            <w:r>
              <w:rPr>
                <w:sz w:val="17"/>
                <w:rFonts w:eastAsia="Microsoft YaHei" w:hAnsi="Calibri" w:ascii="Calibri"/>
              </w:rPr>
              <w:t>mBERT</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−0.98</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[−2.69, 0.67]</w:t>
            </w:r>
          </w:p>
        </w:tc>
        <w:tc>
          <w:tcPr>
            <w:tcW w:type="dxa" w:w="720"/>
            <w:vAlign w:val="center"/>
            <w:tcBorders>
              <w:top w:val="nil" w:color="000000"/>
              <w:bottom w:val="nil" w:color="000000"/>
              <w:left w:val="nil" w:color="000000"/>
              <w:right w:val="nil" w:color="000000"/>
            </w:tcBorders>
          </w:tcPr>
          <w:p>
            <w:pPr>
              <w:jc w:val="center"/>
            </w:pPr>
            <w:r>
              <w:rPr>
                <w:sz w:val="17"/>
                <w:rFonts w:eastAsia="Microsoft YaHei" w:hAnsi="Calibri" w:ascii="Calibri"/>
              </w:rPr>
              <w:t>0.32</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0.49</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0.61</w:t>
            </w:r>
          </w:p>
        </w:tc>
      </w:tr>
      <w:tr>
        <w:tc>
          <w:tcPr>
            <w:tcW w:type="dxa" w:w="2016"/>
            <w:vAlign w:val="center"/>
            <w:tcBorders>
              <w:top w:val="nil" w:color="000000"/>
              <w:bottom w:val="nil" w:color="000000"/>
              <w:left w:val="nil" w:color="000000"/>
              <w:right w:val="nil" w:color="000000"/>
            </w:tcBorders>
          </w:tcPr>
          <w:p>
            <w:pPr>
              <w:jc w:val="left"/>
            </w:pPr>
            <w:r>
              <w:rPr>
                <w:sz w:val="17"/>
                <w:rFonts w:eastAsia="Microsoft YaHei" w:hAnsi="Calibri" w:ascii="Calibri"/>
              </w:rPr>
              <w:t>XLM-R-base</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−0.99</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[−2.48, 0.57]</w:t>
            </w:r>
          </w:p>
        </w:tc>
        <w:tc>
          <w:tcPr>
            <w:tcW w:type="dxa" w:w="720"/>
            <w:vAlign w:val="center"/>
            <w:tcBorders>
              <w:top w:val="nil" w:color="000000"/>
              <w:bottom w:val="nil" w:color="000000"/>
              <w:left w:val="nil" w:color="000000"/>
              <w:right w:val="nil" w:color="000000"/>
            </w:tcBorders>
          </w:tcPr>
          <w:p>
            <w:pPr>
              <w:jc w:val="center"/>
            </w:pPr>
            <w:r>
              <w:rPr>
                <w:sz w:val="17"/>
                <w:rFonts w:eastAsia="Microsoft YaHei" w:hAnsi="Calibri" w:ascii="Calibri"/>
              </w:rPr>
              <w:t>0.27</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0.45</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0.59</w:t>
            </w:r>
          </w:p>
        </w:tc>
      </w:tr>
      <w:tr>
        <w:tc>
          <w:tcPr>
            <w:tcW w:type="dxa" w:w="2016"/>
            <w:vAlign w:val="center"/>
            <w:tcBorders>
              <w:top w:val="nil" w:color="000000"/>
              <w:bottom w:val="single" w:sz="12" w:color="000000"/>
              <w:left w:val="nil" w:color="000000"/>
              <w:right w:val="nil" w:color="000000"/>
            </w:tcBorders>
          </w:tcPr>
          <w:p>
            <w:pPr>
              <w:jc w:val="left"/>
            </w:pPr>
            <w:r>
              <w:rPr>
                <w:sz w:val="17"/>
                <w:rFonts w:eastAsia="Microsoft YaHei" w:hAnsi="Calibri" w:ascii="Calibri"/>
              </w:rPr>
              <w:t>XLM-R-large</w:t>
            </w:r>
          </w:p>
        </w:tc>
        <w:tc>
          <w:tcPr>
            <w:tcW w:type="dxa" w:w="864"/>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−1.18</w:t>
            </w:r>
          </w:p>
        </w:tc>
        <w:tc>
          <w:tcPr>
            <w:tcW w:type="dxa" w:w="1872"/>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[−2.74, 0.42]</w:t>
            </w:r>
          </w:p>
        </w:tc>
        <w:tc>
          <w:tcPr>
            <w:tcW w:type="dxa" w:w="720"/>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0.22</w:t>
            </w:r>
          </w:p>
        </w:tc>
        <w:tc>
          <w:tcPr>
            <w:tcW w:type="dxa" w:w="792"/>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0.42</w:t>
            </w:r>
          </w:p>
        </w:tc>
        <w:tc>
          <w:tcPr>
            <w:tcW w:type="dxa" w:w="792"/>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0.59</w:t>
            </w:r>
          </w:p>
        </w:tc>
      </w:tr>
    </w:tbl>
    <w:p>
      <w:pPr>
        <w:keepNext/>
        <w:spacing w:before="120" w:after="40"/>
      </w:pPr>
      <w:r>
        <w:rPr>
          <w:b/>
          <w:sz w:val="17"/>
          <w:rFonts w:eastAsia="Microsoft YaHei" w:hAnsi="Calibri" w:ascii="Calibri"/>
        </w:rPr>
        <w:t xml:space="preserve">Table. </w:t>
      </w:r>
      <w:r>
        <w:rPr>
          <w:sz w:val="17"/>
          <w:rFonts w:eastAsia="Microsoft YaHei" w:hAnsi="Calibri" w:ascii="Calibri"/>
        </w:rPr>
        <w:t>Pairwise cross-category gaps in cloze mean_delta. Bootstrap of paired field-resamples (10,000 iterations). Within-Qwen-family scaling gap is not significant.</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728"/>
            <w:vAlign w:val="center"/>
            <w:tcBorders>
              <w:top w:val="single" w:sz="12" w:color="000000"/>
              <w:bottom w:val="single" w:sz="6" w:color="000000"/>
              <w:left w:val="nil" w:color="000000"/>
              <w:right w:val="nil" w:color="000000"/>
            </w:tcBorders>
          </w:tcPr>
          <w:p>
            <w:pPr>
              <w:jc w:val="left"/>
            </w:pPr>
            <w:r>
              <w:rPr>
                <w:b/>
                <w:sz w:val="17"/>
                <w:rFonts w:eastAsia="Microsoft YaHei" w:hAnsi="Calibri" w:ascii="Calibri"/>
              </w:rPr>
              <w:t>A</w:t>
            </w:r>
          </w:p>
        </w:tc>
        <w:tc>
          <w:tcPr>
            <w:tcW w:type="dxa" w:w="1728"/>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B</w:t>
            </w:r>
          </w:p>
        </w:tc>
        <w:tc>
          <w:tcPr>
            <w:tcW w:type="dxa" w:w="864"/>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Gap</w:t>
            </w:r>
          </w:p>
        </w:tc>
        <w:tc>
          <w:tcPr>
            <w:tcW w:type="dxa" w:w="1872"/>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95% CI</w:t>
            </w:r>
          </w:p>
        </w:tc>
        <w:tc>
          <w:tcPr>
            <w:tcW w:type="dxa" w:w="792"/>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Sig.</w:t>
            </w:r>
          </w:p>
        </w:tc>
      </w:tr>
      <w:tr>
        <w:tc>
          <w:tcPr>
            <w:tcW w:type="dxa" w:w="1728"/>
            <w:vAlign w:val="center"/>
            <w:tcBorders>
              <w:top w:val="nil" w:color="000000"/>
              <w:bottom w:val="nil" w:color="000000"/>
              <w:left w:val="nil" w:color="000000"/>
              <w:right w:val="nil" w:color="000000"/>
            </w:tcBorders>
          </w:tcPr>
          <w:p>
            <w:pPr>
              <w:jc w:val="left"/>
            </w:pPr>
            <w:r>
              <w:rPr>
                <w:sz w:val="17"/>
                <w:rFonts w:eastAsia="Microsoft YaHei" w:hAnsi="Calibri" w:ascii="Calibri"/>
              </w:rPr>
              <w:t>Qwen2.5-3B</w:t>
            </w:r>
          </w:p>
        </w:tc>
        <w:tc>
          <w:tcPr>
            <w:tcW w:type="dxa" w:w="1728"/>
            <w:vAlign w:val="center"/>
            <w:tcBorders>
              <w:top w:val="nil" w:color="000000"/>
              <w:bottom w:val="nil" w:color="000000"/>
              <w:left w:val="nil" w:color="000000"/>
              <w:right w:val="nil" w:color="000000"/>
            </w:tcBorders>
          </w:tcPr>
          <w:p>
            <w:pPr>
              <w:jc w:val="center"/>
            </w:pPr>
            <w:r>
              <w:rPr>
                <w:sz w:val="17"/>
                <w:rFonts w:eastAsia="Microsoft YaHei" w:hAnsi="Calibri" w:ascii="Calibri"/>
              </w:rPr>
              <w:t>mBERT</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+1.35</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[+0.49, +2.29]</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yes</w:t>
            </w:r>
          </w:p>
        </w:tc>
      </w:tr>
      <w:tr>
        <w:tc>
          <w:tcPr>
            <w:tcW w:type="dxa" w:w="1728"/>
            <w:vAlign w:val="center"/>
            <w:tcBorders>
              <w:top w:val="nil" w:color="000000"/>
              <w:bottom w:val="nil" w:color="000000"/>
              <w:left w:val="nil" w:color="000000"/>
              <w:right w:val="nil" w:color="000000"/>
            </w:tcBorders>
          </w:tcPr>
          <w:p>
            <w:pPr>
              <w:jc w:val="left"/>
            </w:pPr>
            <w:r>
              <w:rPr>
                <w:sz w:val="17"/>
                <w:rFonts w:eastAsia="Microsoft YaHei" w:hAnsi="Calibri" w:ascii="Calibri"/>
              </w:rPr>
              <w:t>Qwen2.5-3B</w:t>
            </w:r>
          </w:p>
        </w:tc>
        <w:tc>
          <w:tcPr>
            <w:tcW w:type="dxa" w:w="1728"/>
            <w:vAlign w:val="center"/>
            <w:tcBorders>
              <w:top w:val="nil" w:color="000000"/>
              <w:bottom w:val="nil" w:color="000000"/>
              <w:left w:val="nil" w:color="000000"/>
              <w:right w:val="nil" w:color="000000"/>
            </w:tcBorders>
          </w:tcPr>
          <w:p>
            <w:pPr>
              <w:jc w:val="center"/>
            </w:pPr>
            <w:r>
              <w:rPr>
                <w:sz w:val="17"/>
                <w:rFonts w:eastAsia="Microsoft YaHei" w:hAnsi="Calibri" w:ascii="Calibri"/>
              </w:rPr>
              <w:t>XLM-R-large</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+1.54</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[+0.56, +2.68]</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yes</w:t>
            </w:r>
          </w:p>
        </w:tc>
      </w:tr>
      <w:tr>
        <w:tc>
          <w:tcPr>
            <w:tcW w:type="dxa" w:w="1728"/>
            <w:vAlign w:val="center"/>
            <w:tcBorders>
              <w:top w:val="nil" w:color="000000"/>
              <w:bottom w:val="nil" w:color="000000"/>
              <w:left w:val="nil" w:color="000000"/>
              <w:right w:val="nil" w:color="000000"/>
            </w:tcBorders>
          </w:tcPr>
          <w:p>
            <w:pPr>
              <w:jc w:val="left"/>
            </w:pPr>
            <w:r>
              <w:rPr>
                <w:sz w:val="17"/>
                <w:rFonts w:eastAsia="Microsoft YaHei" w:hAnsi="Calibri" w:ascii="Calibri"/>
              </w:rPr>
              <w:t>Qwen2.5-1.5B</w:t>
            </w:r>
          </w:p>
        </w:tc>
        <w:tc>
          <w:tcPr>
            <w:tcW w:type="dxa" w:w="1728"/>
            <w:vAlign w:val="center"/>
            <w:tcBorders>
              <w:top w:val="nil" w:color="000000"/>
              <w:bottom w:val="nil" w:color="000000"/>
              <w:left w:val="nil" w:color="000000"/>
              <w:right w:val="nil" w:color="000000"/>
            </w:tcBorders>
          </w:tcPr>
          <w:p>
            <w:pPr>
              <w:jc w:val="center"/>
            </w:pPr>
            <w:r>
              <w:rPr>
                <w:sz w:val="17"/>
                <w:rFonts w:eastAsia="Microsoft YaHei" w:hAnsi="Calibri" w:ascii="Calibri"/>
              </w:rPr>
              <w:t>mBERT</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+1.18</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[+0.26, +2.17]</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yes</w:t>
            </w:r>
          </w:p>
        </w:tc>
      </w:tr>
      <w:tr>
        <w:tc>
          <w:tcPr>
            <w:tcW w:type="dxa" w:w="1728"/>
            <w:vAlign w:val="center"/>
            <w:tcBorders>
              <w:top w:val="nil" w:color="000000"/>
              <w:bottom w:val="nil" w:color="000000"/>
              <w:left w:val="nil" w:color="000000"/>
              <w:right w:val="nil" w:color="000000"/>
            </w:tcBorders>
          </w:tcPr>
          <w:p>
            <w:pPr>
              <w:jc w:val="left"/>
            </w:pPr>
            <w:r>
              <w:rPr>
                <w:sz w:val="17"/>
                <w:rFonts w:eastAsia="Microsoft YaHei" w:hAnsi="Calibri" w:ascii="Calibri"/>
              </w:rPr>
              <w:t>Qwen2.5-1.5B</w:t>
            </w:r>
          </w:p>
        </w:tc>
        <w:tc>
          <w:tcPr>
            <w:tcW w:type="dxa" w:w="1728"/>
            <w:vAlign w:val="center"/>
            <w:tcBorders>
              <w:top w:val="nil" w:color="000000"/>
              <w:bottom w:val="nil" w:color="000000"/>
              <w:left w:val="nil" w:color="000000"/>
              <w:right w:val="nil" w:color="000000"/>
            </w:tcBorders>
          </w:tcPr>
          <w:p>
            <w:pPr>
              <w:jc w:val="center"/>
            </w:pPr>
            <w:r>
              <w:rPr>
                <w:sz w:val="17"/>
                <w:rFonts w:eastAsia="Microsoft YaHei" w:hAnsi="Calibri" w:ascii="Calibri"/>
              </w:rPr>
              <w:t>XLM-R-large</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+1.37</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[+0.37, +2.54]</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yes</w:t>
            </w:r>
          </w:p>
        </w:tc>
      </w:tr>
      <w:tr>
        <w:tc>
          <w:tcPr>
            <w:tcW w:type="dxa" w:w="1728"/>
            <w:vAlign w:val="center"/>
            <w:tcBorders>
              <w:top w:val="nil" w:color="000000"/>
              <w:bottom w:val="nil" w:color="000000"/>
              <w:left w:val="nil" w:color="000000"/>
              <w:right w:val="nil" w:color="000000"/>
            </w:tcBorders>
          </w:tcPr>
          <w:p>
            <w:pPr>
              <w:jc w:val="left"/>
            </w:pPr>
            <w:r>
              <w:rPr>
                <w:sz w:val="17"/>
                <w:rFonts w:eastAsia="Microsoft YaHei" w:hAnsi="Calibri" w:ascii="Calibri"/>
              </w:rPr>
              <w:t>Chinese-BERT</w:t>
            </w:r>
          </w:p>
        </w:tc>
        <w:tc>
          <w:tcPr>
            <w:tcW w:type="dxa" w:w="1728"/>
            <w:vAlign w:val="center"/>
            <w:tcBorders>
              <w:top w:val="nil" w:color="000000"/>
              <w:bottom w:val="nil" w:color="000000"/>
              <w:left w:val="nil" w:color="000000"/>
              <w:right w:val="nil" w:color="000000"/>
            </w:tcBorders>
          </w:tcPr>
          <w:p>
            <w:pPr>
              <w:jc w:val="center"/>
            </w:pPr>
            <w:r>
              <w:rPr>
                <w:sz w:val="17"/>
                <w:rFonts w:eastAsia="Microsoft YaHei" w:hAnsi="Calibri" w:ascii="Calibri"/>
              </w:rPr>
              <w:t>mBERT</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+1.14</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[+0.52, +1.79]</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yes</w:t>
            </w:r>
          </w:p>
        </w:tc>
      </w:tr>
      <w:tr>
        <w:tc>
          <w:tcPr>
            <w:tcW w:type="dxa" w:w="1728"/>
            <w:vAlign w:val="center"/>
            <w:tcBorders>
              <w:top w:val="nil" w:color="000000"/>
              <w:bottom w:val="nil" w:color="000000"/>
              <w:left w:val="nil" w:color="000000"/>
              <w:right w:val="nil" w:color="000000"/>
            </w:tcBorders>
          </w:tcPr>
          <w:p>
            <w:pPr>
              <w:jc w:val="left"/>
            </w:pPr>
            <w:r>
              <w:rPr>
                <w:sz w:val="17"/>
                <w:rFonts w:eastAsia="Microsoft YaHei" w:hAnsi="Calibri" w:ascii="Calibri"/>
              </w:rPr>
              <w:t>Chinese-BERT</w:t>
            </w:r>
          </w:p>
        </w:tc>
        <w:tc>
          <w:tcPr>
            <w:tcW w:type="dxa" w:w="1728"/>
            <w:vAlign w:val="center"/>
            <w:tcBorders>
              <w:top w:val="nil" w:color="000000"/>
              <w:bottom w:val="nil" w:color="000000"/>
              <w:left w:val="nil" w:color="000000"/>
              <w:right w:val="nil" w:color="000000"/>
            </w:tcBorders>
          </w:tcPr>
          <w:p>
            <w:pPr>
              <w:jc w:val="center"/>
            </w:pPr>
            <w:r>
              <w:rPr>
                <w:sz w:val="17"/>
                <w:rFonts w:eastAsia="Microsoft YaHei" w:hAnsi="Calibri" w:ascii="Calibri"/>
              </w:rPr>
              <w:t>XLM-R-large</w:t>
            </w:r>
          </w:p>
        </w:tc>
        <w:tc>
          <w:tcPr>
            <w:tcW w:type="dxa" w:w="864"/>
            <w:vAlign w:val="center"/>
            <w:tcBorders>
              <w:top w:val="nil" w:color="000000"/>
              <w:bottom w:val="nil" w:color="000000"/>
              <w:left w:val="nil" w:color="000000"/>
              <w:right w:val="nil" w:color="000000"/>
            </w:tcBorders>
          </w:tcPr>
          <w:p>
            <w:pPr>
              <w:jc w:val="center"/>
            </w:pPr>
            <w:r>
              <w:rPr>
                <w:sz w:val="17"/>
                <w:rFonts w:eastAsia="Microsoft YaHei" w:hAnsi="Calibri" w:ascii="Calibri"/>
              </w:rPr>
              <w:t>+1.33</w:t>
            </w:r>
          </w:p>
        </w:tc>
        <w:tc>
          <w:tcPr>
            <w:tcW w:type="dxa" w:w="1872"/>
            <w:vAlign w:val="center"/>
            <w:tcBorders>
              <w:top w:val="nil" w:color="000000"/>
              <w:bottom w:val="nil" w:color="000000"/>
              <w:left w:val="nil" w:color="000000"/>
              <w:right w:val="nil" w:color="000000"/>
            </w:tcBorders>
          </w:tcPr>
          <w:p>
            <w:pPr>
              <w:jc w:val="center"/>
            </w:pPr>
            <w:r>
              <w:rPr>
                <w:sz w:val="17"/>
                <w:rFonts w:eastAsia="Microsoft YaHei" w:hAnsi="Calibri" w:ascii="Calibri"/>
              </w:rPr>
              <w:t>[+0.72, +1.90]</w:t>
            </w:r>
          </w:p>
        </w:tc>
        <w:tc>
          <w:tcPr>
            <w:tcW w:type="dxa" w:w="792"/>
            <w:vAlign w:val="center"/>
            <w:tcBorders>
              <w:top w:val="nil" w:color="000000"/>
              <w:bottom w:val="nil" w:color="000000"/>
              <w:left w:val="nil" w:color="000000"/>
              <w:right w:val="nil" w:color="000000"/>
            </w:tcBorders>
          </w:tcPr>
          <w:p>
            <w:pPr>
              <w:jc w:val="center"/>
            </w:pPr>
            <w:r>
              <w:rPr>
                <w:sz w:val="17"/>
                <w:rFonts w:eastAsia="Microsoft YaHei" w:hAnsi="Calibri" w:ascii="Calibri"/>
              </w:rPr>
              <w:t>yes</w:t>
            </w:r>
          </w:p>
        </w:tc>
      </w:tr>
      <w:tr>
        <w:tc>
          <w:tcPr>
            <w:tcW w:type="dxa" w:w="1728"/>
            <w:vAlign w:val="center"/>
            <w:tcBorders>
              <w:top w:val="nil" w:color="000000"/>
              <w:bottom w:val="single" w:sz="12" w:color="000000"/>
              <w:left w:val="nil" w:color="000000"/>
              <w:right w:val="nil" w:color="000000"/>
            </w:tcBorders>
          </w:tcPr>
          <w:p>
            <w:pPr>
              <w:jc w:val="left"/>
            </w:pPr>
            <w:r>
              <w:rPr>
                <w:sz w:val="17"/>
                <w:rFonts w:eastAsia="Microsoft YaHei" w:hAnsi="Calibri" w:ascii="Calibri"/>
              </w:rPr>
              <w:t>Qwen2.5-3B</w:t>
            </w:r>
          </w:p>
        </w:tc>
        <w:tc>
          <w:tcPr>
            <w:tcW w:type="dxa" w:w="1728"/>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Qwen2.5-1.5B</w:t>
            </w:r>
          </w:p>
        </w:tc>
        <w:tc>
          <w:tcPr>
            <w:tcW w:type="dxa" w:w="864"/>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+0.17</w:t>
            </w:r>
          </w:p>
        </w:tc>
        <w:tc>
          <w:tcPr>
            <w:tcW w:type="dxa" w:w="1872"/>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[−0.05, +0.41]</w:t>
            </w:r>
          </w:p>
        </w:tc>
        <w:tc>
          <w:tcPr>
            <w:tcW w:type="dxa" w:w="792"/>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no</w:t>
            </w:r>
          </w:p>
        </w:tc>
      </w:tr>
    </w:tbl>
    <w:p>
      <w:pPr>
        <w:spacing w:before="40" w:after="40" w:line="276" w:lineRule="auto"/>
        <w:jc w:val="both"/>
      </w:pPr>
      <w:r>
        <w:rPr>
          <w:b w:val="0"/>
          <w:i w:val="0"/>
          <w:sz w:val="20"/>
          <w:rFonts w:eastAsia="Microsoft YaHei" w:hAnsi="Calibri" w:ascii="Calibri"/>
        </w:rPr>
        <w:t>The 8-field sample is too small to support a per-model claim. The pattern that is statistically robust is the cross-category gap. Every Chinese-pretrained model beats every multilingual MLM by a gap whose 95% CI does not cross zero. The within-Qwen-family scaling (Qwen-3B vs Qwen-1.5B) is not statistically supported. The probe remains exploratory: contexts are author-written, n = 8 fields is small, no native-speaker validation.</w:t>
      </w:r>
    </w:p>
    <w:p>
      <w:pPr>
        <w:keepNext/>
        <w:spacing w:before="120" w:after="40" w:line="264" w:lineRule="auto"/>
      </w:pPr>
      <w:r>
        <w:rPr>
          <w:b/>
          <w:i/>
          <w:sz w:val="20"/>
          <w:rFonts w:eastAsia="Microsoft YaHei" w:hAnsi="Calibri" w:ascii="Calibri"/>
        </w:rPr>
        <w:t>5.6  Layer-wise dynamics</w:t>
      </w:r>
    </w:p>
    <w:p>
      <w:pPr>
        <w:spacing w:before="40" w:after="40" w:line="276" w:lineRule="auto"/>
        <w:jc w:val="both"/>
      </w:pPr>
      <w:r>
        <w:rPr>
          <w:b w:val="0"/>
          <w:i w:val="0"/>
          <w:sz w:val="20"/>
          <w:rFonts w:eastAsia="Microsoft YaHei" w:hAnsi="Calibri" w:ascii="Calibri"/>
        </w:rPr>
        <w:t>For seven of nine glyph-naive models, peak-layer Cohen's d is at layer 0 (the static embedding lookup) or in the first three layers. Exceptions are mBERT (peak at layer 7) and JP-BERT-char (peak at layer 9). For Chinese-BERT and MacBERT (full 13-layer resolution), d declines monotonically from layer 1 onwards: from 0.50 to 0.38 over 12 layers in Chinese-BERT, and 0.45 to 0.28 in MacBERT.</w:t>
      </w:r>
    </w:p>
    <w:p>
      <w:pPr>
        <w:spacing w:before="40" w:after="40" w:line="276" w:lineRule="auto"/>
        <w:jc w:val="both"/>
      </w:pPr>
      <w:r>
        <w:rPr>
          <w:b w:val="0"/>
          <w:i w:val="0"/>
          <w:sz w:val="20"/>
          <w:rFonts w:eastAsia="Microsoft YaHei" w:hAnsi="Calibri" w:ascii="Calibri"/>
        </w:rPr>
        <w:t>The layer-0 dominance is a substantive finding, not an artifact. The token embedding table is part of the model's learned representation. The radical-aligned ordering is encoded in the way the tokenizer's vocabulary is laid out in embedding space, before any contextualization happens. Contextualization in deeper layers does not amplify this signal; for most models it dampens it.</w:t>
      </w:r>
    </w:p>
    <w:p>
      <w:pPr>
        <w:keepNext/>
        <w:spacing w:before="120" w:after="40" w:line="264" w:lineRule="auto"/>
      </w:pPr>
      <w:r>
        <w:rPr>
          <w:b/>
          <w:i/>
          <w:sz w:val="20"/>
          <w:rFonts w:eastAsia="Microsoft YaHei" w:hAnsi="Calibri" w:ascii="Calibri"/>
        </w:rPr>
        <w:t>5.7  Mechanistic side-result</w:t>
      </w:r>
    </w:p>
    <w:p>
      <w:pPr>
        <w:keepNext/>
        <w:spacing w:before="120" w:after="40"/>
      </w:pPr>
      <w:r>
        <w:rPr>
          <w:b/>
          <w:sz w:val="17"/>
          <w:rFonts w:eastAsia="Microsoft YaHei" w:hAnsi="Calibri" w:ascii="Calibri"/>
        </w:rPr>
        <w:t xml:space="preserve">Table. </w:t>
      </w:r>
      <w:r>
        <w:rPr>
          <w:sz w:val="17"/>
          <w:rFonts w:eastAsia="Microsoft YaHei" w:hAnsi="Calibri" w:ascii="Calibri"/>
        </w:rPr>
        <w:t>Cross-radical retrieval lift. Bootstrap CI from 5,000 row-resamples. Mean lift well above chance (lift = 1); 96–100% of radical pairs yield retrievals at above-chance rates. Qwen and BGE not included due to compute constraints.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448"/>
            <w:vAlign w:val="center"/>
            <w:tcBorders>
              <w:top w:val="single" w:sz="12" w:color="000000"/>
              <w:bottom w:val="single" w:sz="6" w:color="000000"/>
              <w:left w:val="nil" w:color="000000"/>
              <w:right w:val="nil" w:color="000000"/>
            </w:tcBorders>
          </w:tcPr>
          <w:p>
            <w:pPr>
              <w:jc w:val="left"/>
            </w:pPr>
            <w:r>
              <w:rPr>
                <w:b/>
                <w:sz w:val="17"/>
                <w:rFonts w:eastAsia="Microsoft YaHei" w:hAnsi="Calibri" w:ascii="Calibri"/>
              </w:rPr>
              <w:t>Model</w:t>
            </w:r>
          </w:p>
        </w:tc>
        <w:tc>
          <w:tcPr>
            <w:tcW w:type="dxa" w:w="1152"/>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Mean lift</w:t>
            </w:r>
          </w:p>
        </w:tc>
        <w:tc>
          <w:tcPr>
            <w:tcW w:type="dxa" w:w="1440"/>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95% CI</w:t>
            </w:r>
          </w:p>
        </w:tc>
        <w:tc>
          <w:tcPr>
            <w:tcW w:type="dxa" w:w="1080"/>
            <w:vAlign w:val="center"/>
            <w:tcBorders>
              <w:top w:val="single" w:sz="12" w:color="000000"/>
              <w:bottom w:val="single" w:sz="6" w:color="000000"/>
              <w:left w:val="nil" w:color="000000"/>
              <w:right w:val="nil" w:color="000000"/>
            </w:tcBorders>
          </w:tcPr>
          <w:p>
            <w:pPr>
              <w:jc w:val="center"/>
            </w:pPr>
            <w:r>
              <w:rPr>
                <w:b/>
                <w:sz w:val="17"/>
                <w:rFonts w:eastAsia="Microsoft YaHei" w:hAnsi="Calibri" w:ascii="Calibri"/>
              </w:rPr>
              <w:t>Share &gt; 1</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glyph_only/ResNet-18</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33.0</w:t>
            </w:r>
          </w:p>
        </w:tc>
        <w:tc>
          <w:tcPr>
            <w:tcW w:type="dxa" w:w="1440"/>
            <w:vAlign w:val="center"/>
            <w:tcBorders>
              <w:top w:val="nil" w:color="000000"/>
              <w:bottom w:val="nil" w:color="000000"/>
              <w:left w:val="nil" w:color="000000"/>
              <w:right w:val="nil" w:color="000000"/>
            </w:tcBorders>
          </w:tcPr>
          <w:p>
            <w:pPr>
              <w:jc w:val="center"/>
            </w:pPr>
            <w:r>
              <w:rPr>
                <w:sz w:val="17"/>
                <w:rFonts w:eastAsia="Microsoft YaHei" w:hAnsi="Calibri" w:ascii="Calibri"/>
              </w:rPr>
              <w:t>[32.2, 33.9]</w:t>
            </w:r>
          </w:p>
        </w:tc>
        <w:tc>
          <w:tcPr>
            <w:tcW w:type="dxa" w:w="1080"/>
            <w:vAlign w:val="center"/>
            <w:tcBorders>
              <w:top w:val="nil" w:color="000000"/>
              <w:bottom w:val="nil" w:color="000000"/>
              <w:left w:val="nil" w:color="000000"/>
              <w:right w:val="nil" w:color="000000"/>
            </w:tcBorders>
          </w:tcPr>
          <w:p>
            <w:pPr>
              <w:jc w:val="center"/>
            </w:pPr>
            <w:r>
              <w:rPr>
                <w:sz w:val="17"/>
                <w:rFonts w:eastAsia="Microsoft YaHei" w:hAnsi="Calibri" w:ascii="Calibri"/>
              </w:rPr>
              <w:t>1.00</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Chinese-BERT</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8.4</w:t>
            </w:r>
          </w:p>
        </w:tc>
        <w:tc>
          <w:tcPr>
            <w:tcW w:type="dxa" w:w="1440"/>
            <w:vAlign w:val="center"/>
            <w:tcBorders>
              <w:top w:val="nil" w:color="000000"/>
              <w:bottom w:val="nil" w:color="000000"/>
              <w:left w:val="nil" w:color="000000"/>
              <w:right w:val="nil" w:color="000000"/>
            </w:tcBorders>
          </w:tcPr>
          <w:p>
            <w:pPr>
              <w:jc w:val="center"/>
            </w:pPr>
            <w:r>
              <w:rPr>
                <w:sz w:val="17"/>
                <w:rFonts w:eastAsia="Microsoft YaHei" w:hAnsi="Calibri" w:ascii="Calibri"/>
              </w:rPr>
              <w:t>[8.2, 8.7]</w:t>
            </w:r>
          </w:p>
        </w:tc>
        <w:tc>
          <w:tcPr>
            <w:tcW w:type="dxa" w:w="1080"/>
            <w:vAlign w:val="center"/>
            <w:tcBorders>
              <w:top w:val="nil" w:color="000000"/>
              <w:bottom w:val="nil" w:color="000000"/>
              <w:left w:val="nil" w:color="000000"/>
              <w:right w:val="nil" w:color="000000"/>
            </w:tcBorders>
          </w:tcPr>
          <w:p>
            <w:pPr>
              <w:jc w:val="center"/>
            </w:pPr>
            <w:r>
              <w:rPr>
                <w:sz w:val="17"/>
                <w:rFonts w:eastAsia="Microsoft YaHei" w:hAnsi="Calibri" w:ascii="Calibri"/>
              </w:rPr>
              <w:t>0.99</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mBERT</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6.3</w:t>
            </w:r>
          </w:p>
        </w:tc>
        <w:tc>
          <w:tcPr>
            <w:tcW w:type="dxa" w:w="1440"/>
            <w:vAlign w:val="center"/>
            <w:tcBorders>
              <w:top w:val="nil" w:color="000000"/>
              <w:bottom w:val="nil" w:color="000000"/>
              <w:left w:val="nil" w:color="000000"/>
              <w:right w:val="nil" w:color="000000"/>
            </w:tcBorders>
          </w:tcPr>
          <w:p>
            <w:pPr>
              <w:jc w:val="center"/>
            </w:pPr>
            <w:r>
              <w:rPr>
                <w:sz w:val="17"/>
                <w:rFonts w:eastAsia="Microsoft YaHei" w:hAnsi="Calibri" w:ascii="Calibri"/>
              </w:rPr>
              <w:t>[6.1, 6.4]</w:t>
            </w:r>
          </w:p>
        </w:tc>
        <w:tc>
          <w:tcPr>
            <w:tcW w:type="dxa" w:w="1080"/>
            <w:vAlign w:val="center"/>
            <w:tcBorders>
              <w:top w:val="nil" w:color="000000"/>
              <w:bottom w:val="nil" w:color="000000"/>
              <w:left w:val="nil" w:color="000000"/>
              <w:right w:val="nil" w:color="000000"/>
            </w:tcBorders>
          </w:tcPr>
          <w:p>
            <w:pPr>
              <w:jc w:val="center"/>
            </w:pPr>
            <w:r>
              <w:rPr>
                <w:sz w:val="17"/>
                <w:rFonts w:eastAsia="Microsoft YaHei" w:hAnsi="Calibri" w:ascii="Calibri"/>
              </w:rPr>
              <w:t>0.98</w:t>
            </w:r>
          </w:p>
        </w:tc>
      </w:tr>
      <w:tr>
        <w:tc>
          <w:tcPr>
            <w:tcW w:type="dxa" w:w="2448"/>
            <w:vAlign w:val="center"/>
            <w:tcBorders>
              <w:top w:val="nil" w:color="000000"/>
              <w:bottom w:val="nil" w:color="000000"/>
              <w:left w:val="nil" w:color="000000"/>
              <w:right w:val="nil" w:color="000000"/>
            </w:tcBorders>
          </w:tcPr>
          <w:p>
            <w:pPr>
              <w:jc w:val="left"/>
            </w:pPr>
            <w:r>
              <w:rPr>
                <w:sz w:val="17"/>
                <w:rFonts w:eastAsia="Microsoft YaHei" w:hAnsi="Calibri" w:ascii="Calibri"/>
              </w:rPr>
              <w:t>JP-BERT-char</w:t>
            </w:r>
          </w:p>
        </w:tc>
        <w:tc>
          <w:tcPr>
            <w:tcW w:type="dxa" w:w="1152"/>
            <w:vAlign w:val="center"/>
            <w:tcBorders>
              <w:top w:val="nil" w:color="000000"/>
              <w:bottom w:val="nil" w:color="000000"/>
              <w:left w:val="nil" w:color="000000"/>
              <w:right w:val="nil" w:color="000000"/>
            </w:tcBorders>
          </w:tcPr>
          <w:p>
            <w:pPr>
              <w:jc w:val="center"/>
            </w:pPr>
            <w:r>
              <w:rPr>
                <w:sz w:val="17"/>
                <w:rFonts w:eastAsia="Microsoft YaHei" w:hAnsi="Calibri" w:ascii="Calibri"/>
              </w:rPr>
              <w:t>5.6</w:t>
            </w:r>
          </w:p>
        </w:tc>
        <w:tc>
          <w:tcPr>
            <w:tcW w:type="dxa" w:w="1440"/>
            <w:vAlign w:val="center"/>
            <w:tcBorders>
              <w:top w:val="nil" w:color="000000"/>
              <w:bottom w:val="nil" w:color="000000"/>
              <w:left w:val="nil" w:color="000000"/>
              <w:right w:val="nil" w:color="000000"/>
            </w:tcBorders>
          </w:tcPr>
          <w:p>
            <w:pPr>
              <w:jc w:val="center"/>
            </w:pPr>
            <w:r>
              <w:rPr>
                <w:sz w:val="17"/>
                <w:rFonts w:eastAsia="Microsoft YaHei" w:hAnsi="Calibri" w:ascii="Calibri"/>
              </w:rPr>
              <w:t>[5.5, 5.8]</w:t>
            </w:r>
          </w:p>
        </w:tc>
        <w:tc>
          <w:tcPr>
            <w:tcW w:type="dxa" w:w="1080"/>
            <w:vAlign w:val="center"/>
            <w:tcBorders>
              <w:top w:val="nil" w:color="000000"/>
              <w:bottom w:val="nil" w:color="000000"/>
              <w:left w:val="nil" w:color="000000"/>
              <w:right w:val="nil" w:color="000000"/>
            </w:tcBorders>
          </w:tcPr>
          <w:p>
            <w:pPr>
              <w:jc w:val="center"/>
            </w:pPr>
            <w:r>
              <w:rPr>
                <w:sz w:val="17"/>
                <w:rFonts w:eastAsia="Microsoft YaHei" w:hAnsi="Calibri" w:ascii="Calibri"/>
              </w:rPr>
              <w:t>0.96</w:t>
            </w:r>
          </w:p>
        </w:tc>
      </w:tr>
      <w:tr>
        <w:tc>
          <w:tcPr>
            <w:tcW w:type="dxa" w:w="2448"/>
            <w:vAlign w:val="center"/>
            <w:tcBorders>
              <w:top w:val="nil" w:color="000000"/>
              <w:bottom w:val="single" w:sz="12" w:color="000000"/>
              <w:left w:val="nil" w:color="000000"/>
              <w:right w:val="nil" w:color="000000"/>
            </w:tcBorders>
          </w:tcPr>
          <w:p>
            <w:pPr>
              <w:jc w:val="left"/>
            </w:pPr>
            <w:r>
              <w:rPr>
                <w:sz w:val="17"/>
                <w:rFonts w:eastAsia="Microsoft YaHei" w:hAnsi="Calibri" w:ascii="Calibri"/>
              </w:rPr>
              <w:t>XLM-R-base</w:t>
            </w:r>
          </w:p>
        </w:tc>
        <w:tc>
          <w:tcPr>
            <w:tcW w:type="dxa" w:w="1152"/>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4.3</w:t>
            </w:r>
          </w:p>
        </w:tc>
        <w:tc>
          <w:tcPr>
            <w:tcW w:type="dxa" w:w="1440"/>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[4.2, 4.4]</w:t>
            </w:r>
          </w:p>
        </w:tc>
        <w:tc>
          <w:tcPr>
            <w:tcW w:type="dxa" w:w="1080"/>
            <w:vAlign w:val="center"/>
            <w:tcBorders>
              <w:top w:val="nil" w:color="000000"/>
              <w:bottom w:val="single" w:sz="12" w:color="000000"/>
              <w:left w:val="nil" w:color="000000"/>
              <w:right w:val="nil" w:color="000000"/>
            </w:tcBorders>
          </w:tcPr>
          <w:p>
            <w:pPr>
              <w:jc w:val="center"/>
            </w:pPr>
            <w:r>
              <w:rPr>
                <w:sz w:val="17"/>
                <w:rFonts w:eastAsia="Microsoft YaHei" w:hAnsi="Calibri" w:ascii="Calibri"/>
              </w:rPr>
              <w:t>0.96</w:t>
            </w:r>
          </w:p>
        </w:tc>
      </w:tr>
    </w:tbl>
    <w:p>
      <w:pPr>
        <w:spacing w:before="40" w:after="40" w:line="276" w:lineRule="auto"/>
        <w:jc w:val="both"/>
      </w:pPr>
      <w:r>
        <w:rPr>
          <w:b w:val="0"/>
          <w:i w:val="0"/>
          <w:sz w:val="20"/>
          <w:rFonts w:eastAsia="Microsoft YaHei" w:hAnsi="Calibri" w:ascii="Calibri"/>
        </w:rPr>
        <w:t>For five models we ran a per-character retrieval experiment. For each pair of distinct radicals (R_src, R_tgt) and 30 source characters in R_src, we asked: how often does a top-10 nearest-neighbour query starting from a source character return a character with R_tgt? Lift = observed rate / frequency-matched random expectation (lift = 1 is chance).</w:t>
      </w:r>
    </w:p>
    <w:p>
      <w:pPr>
        <w:spacing w:before="40" w:after="40" w:line="276" w:lineRule="auto"/>
        <w:jc w:val="both"/>
      </w:pPr>
      <w:r>
        <w:rPr>
          <w:b w:val="0"/>
          <w:i w:val="0"/>
          <w:sz w:val="20"/>
          <w:rFonts w:eastAsia="Microsoft YaHei" w:hAnsi="Calibri" w:ascii="Calibri"/>
        </w:rPr>
        <w:t>Two observations. First, this confirms at the individual-character level what the variance decomposition shows at the pair level: every model encodes some radical-aligned structure, even XLM-R-base. Second, the lift does not directly compete with the variance-decomposition ordering. XLM-R-base, with near-zero radical partial-R², still shows lift of 4.3. The variance decomposition reports radical above PMI (relative ordering); the retrieval lift reports radical above random (absolute level). A model can have substantial absolute lift while being PMI-dominated in the variance decomposition. This experiment is correlational, not causal.</w:t>
      </w:r>
    </w:p>
    <w:p>
      <w:pPr>
        <w:keepNext/>
        <w:spacing w:before="120" w:after="40" w:line="264" w:lineRule="auto"/>
      </w:pPr>
      <w:r>
        <w:rPr>
          <w:b/>
          <w:i/>
          <w:sz w:val="20"/>
          <w:rFonts w:eastAsia="Microsoft YaHei" w:hAnsi="Calibri" w:ascii="Calibri"/>
        </w:rPr>
        <w:t>5.8  Per-radical heterogeneity</w:t>
      </w:r>
    </w:p>
    <w:p>
      <w:pPr>
        <w:spacing w:before="40" w:after="40" w:line="276" w:lineRule="auto"/>
        <w:jc w:val="both"/>
      </w:pPr>
      <w:r>
        <w:rPr>
          <w:b w:val="0"/>
          <w:i w:val="0"/>
          <w:sz w:val="20"/>
          <w:rFonts w:eastAsia="Microsoft YaHei" w:hAnsi="Calibri" w:ascii="Calibri"/>
        </w:rPr>
        <w:t>We computed each radical's mean cross-radical retrieval lift. The pattern is consistent across the five tested models. The most distinctive radicals (top-10 by lift, in Chinese-BERT) are 魚 (48.8), 鳥 (24.3), 肉 (21.3), 虫 (19.8), 酉 (18.4), [78] (16.1), 見 (15.9), 雨 (14.5), 痒 (14.0), 犬 (12.3). These are visually concrete, semantically transparent radicals: fish, bird, flesh, insect, wine, see, rain, illness, dog. The bottom-10 radicals are predominantly abstract or position-only (radicals 1 一, 9 人, 60 彳, etc.) with mean lift values between 1.7 and 3.</w:t>
      </w:r>
    </w:p>
    <w:p>
      <w:pPr>
        <w:spacing w:before="40" w:after="40" w:line="276" w:lineRule="auto"/>
        <w:jc w:val="both"/>
      </w:pPr>
      <w:r>
        <w:rPr>
          <w:b w:val="0"/>
          <w:i w:val="0"/>
          <w:sz w:val="20"/>
          <w:rFonts w:eastAsia="Microsoft YaHei" w:hAnsi="Calibri" w:ascii="Calibri"/>
        </w:rPr>
        <w:t>The top-vs-bottom gap is 17.3× in Chinese-BERT, 11.6× in mBERT, 5.2× in XLM-R-base, and 50.7× in the vision-only baseline. The “radical effect” is not uniform across the 68 radicals: it is concentrated in radicals whose semantic transparency is high (animals, body parts, natural elements) and almost absent for radicals that mark grammatical or abstract categories. Any future study claiming to test radical encoding should report per-radical results, not aggregate effect sizes.</w:t>
      </w:r>
    </w:p>
    <w:p>
      <w:pPr>
        <w:keepNext/>
        <w:spacing w:before="120" w:after="40" w:line="264" w:lineRule="auto"/>
      </w:pPr>
      <w:r>
        <w:rPr>
          <w:b/>
          <w:i/>
          <w:sz w:val="20"/>
          <w:rFonts w:eastAsia="Microsoft YaHei" w:hAnsi="Calibri" w:ascii="Calibri"/>
        </w:rPr>
        <w:t>5.9  Specificity, frequency, architecture controls</w:t>
      </w:r>
    </w:p>
    <w:p>
      <w:pPr>
        <w:spacing w:before="40" w:after="40" w:line="276" w:lineRule="auto"/>
        <w:jc w:val="both"/>
      </w:pPr>
      <w:r>
        <w:rPr>
          <w:b w:val="0"/>
          <w:i w:val="0"/>
          <w:sz w:val="20"/>
          <w:rFonts w:eastAsia="Microsoft YaHei" w:hAnsi="Calibri" w:ascii="Calibri"/>
        </w:rPr>
        <w:t>Pseudoradical p ≤ 0.020 for all nine models. Frequency-matched effect retains 92% to 99% of the unmatched effect across glyph-naive models (the largest frequency inflation is 0.077 in the vision-only baseline). Random-initialized Chinese-BERT and XLM-R-base both produce d ≈ −0.04 with p &gt; 0.88. Architecture alone, without training, does not produce the observed geometry.</w:t>
      </w:r>
    </w:p>
    <w:p>
      <w:pPr>
        <w:keepNext/>
        <w:spacing w:before="120" w:after="40" w:line="264" w:lineRule="auto"/>
      </w:pPr>
      <w:r>
        <w:rPr>
          <w:b/>
          <w:i/>
          <w:sz w:val="20"/>
          <w:rFonts w:eastAsia="Microsoft YaHei" w:hAnsi="Calibri" w:ascii="Calibri"/>
        </w:rPr>
        <w:t>5.10  Cross-script generalization</w:t>
      </w:r>
    </w:p>
    <w:p>
      <w:pPr>
        <w:spacing w:before="40" w:after="40" w:line="276" w:lineRule="auto"/>
        <w:jc w:val="both"/>
      </w:pPr>
      <w:r>
        <w:rPr>
          <w:b w:val="0"/>
          <w:i w:val="0"/>
          <w:sz w:val="20"/>
          <w:rFonts w:eastAsia="Microsoft YaHei" w:hAnsi="Calibri" w:ascii="Calibri"/>
        </w:rPr>
        <w:t>Of 6,306 characters in our dataset, 1,687 appear in the Joyo kanji list. We re-extract embeddings for these characters from JP-BERT-char and from each Chinese model. JP-BERT-char shows d = 0.384 on the subset; Chinese-BERT shows d = 0.405; Qwen2.5-3B shows d = 0.682. The Japanese-pretrained model is not the strongest performer on Japanese kanji; Qwen, trained predominantly on Chinese text, shows the highest cohesion. We read this as evidence that the Kangxi system transfers across pretraining language, with the caveat that JP-BERT-char's smaller parameter count and different training corpus make this a within-architecture-family rather than fully controlled cross-language test.</w:t>
      </w:r>
    </w:p>
    <w:p>
      <w:pPr>
        <w:keepNext/>
        <w:spacing w:before="160" w:after="40" w:line="264" w:lineRule="auto"/>
      </w:pPr>
      <w:r>
        <w:rPr>
          <w:b/>
          <w:sz w:val="22"/>
          <w:rFonts w:eastAsia="Microsoft YaHei" w:hAnsi="Calibri" w:ascii="Calibri"/>
        </w:rPr>
        <w:t>6  What the data say and do not say</w:t>
      </w:r>
    </w:p>
    <w:p>
      <w:pPr>
        <w:spacing w:before="40" w:after="80"/>
        <w:jc w:val="both"/>
      </w:pPr>
      <w:r>
        <w:rPr>
          <w:b/>
          <w:sz w:val="20"/>
          <w:rFonts w:eastAsia="Microsoft YaHei" w:hAnsi="Calibri" w:ascii="Calibri"/>
        </w:rPr>
        <w:t xml:space="preserve">What the data say.  </w:t>
      </w:r>
      <w:r>
        <w:rPr>
          <w:sz w:val="20"/>
          <w:rFonts w:eastAsia="Microsoft YaHei" w:hAnsi="Calibri" w:ascii="Calibri"/>
        </w:rPr>
        <w:t>Of nine glyph-naive transformer models, three (Qwen2.5-1.5B, Qwen2.5-3B, BGE-large-zh) show partial-R²(radical) above partial-R²(PMI) by factors of 1.7 to 1.9. The cloze probe yields the same cross-category ordering, with paired-bootstrap CIs on every Chinese-pretrained-vs-multilingual-MLM gap excluding zero. The radical effect is specific to Kangxi categories (size-matched random partitions yield d ≈ 0), training-driven (random-init yields d ≈ −0.04), not attributable to character frequency, and not visual-only. The signal is concentrated in static embedding tables and is highly heterogeneous across radicals.</w:t>
      </w:r>
    </w:p>
    <w:p>
      <w:pPr>
        <w:spacing w:after="80"/>
        <w:jc w:val="both"/>
      </w:pPr>
      <w:r>
        <w:rPr>
          <w:b/>
          <w:sz w:val="20"/>
          <w:rFonts w:eastAsia="Microsoft YaHei" w:hAnsi="Calibri" w:ascii="Calibri"/>
        </w:rPr>
        <w:t xml:space="preserve">What the data do not say.  </w:t>
      </w:r>
      <w:r>
        <w:rPr>
          <w:sz w:val="20"/>
          <w:rFonts w:eastAsia="Microsoft YaHei" w:hAnsi="Calibri" w:ascii="Calibri"/>
        </w:rPr>
        <w:t>We do not establish a category effect. Three models is too few. We do not make a mechanistic claim. The variance decomposition is associational; the activation-patching summary is correlational at the per-character level rather than causal. The within-Qwen scaling claim is not statistically supported by our cloze probe. We do not claim any single model's per-field cloze advantage is significantly different from zero. We do not establish that radical-aligned structure is “useful” for downstream tasks in any controlled sense.</w:t>
      </w:r>
    </w:p>
    <w:p>
      <w:pPr>
        <w:spacing w:after="80"/>
        <w:jc w:val="both"/>
      </w:pPr>
      <w:r>
        <w:rPr>
          <w:b/>
          <w:sz w:val="20"/>
          <w:rFonts w:eastAsia="Microsoft YaHei" w:hAnsi="Calibri" w:ascii="Calibri"/>
        </w:rPr>
        <w:t xml:space="preserve">What we suspect but did not test.  </w:t>
      </w:r>
      <w:r>
        <w:rPr>
          <w:sz w:val="20"/>
          <w:rFonts w:eastAsia="Microsoft YaHei" w:hAnsi="Calibri" w:ascii="Calibri"/>
        </w:rPr>
        <w:t>Same-radical characters appear in similar morphological frames in Chinese text (compound formation, classifier patterns, idiomatic constructions) that may not be captured by a 5-character PMI window. This is a hypothesis, not a finding. The right test would be to compute PMI at multiple window sizes and frame types and to add those as predictors.</w:t>
      </w:r>
    </w:p>
    <w:p>
      <w:pPr>
        <w:keepNext/>
        <w:spacing w:before="160" w:after="40" w:line="264" w:lineRule="auto"/>
      </w:pPr>
      <w:r>
        <w:rPr>
          <w:b/>
          <w:sz w:val="22"/>
          <w:rFonts w:eastAsia="Microsoft YaHei" w:hAnsi="Calibri" w:ascii="Calibri"/>
        </w:rPr>
        <w:t>7  Limitations</w:t>
      </w:r>
    </w:p>
    <w:p>
      <w:pPr>
        <w:spacing w:before="40" w:after="40"/>
        <w:jc w:val="both"/>
      </w:pPr>
      <w:r>
        <w:rPr>
          <w:b/>
          <w:sz w:val="20"/>
          <w:rFonts w:eastAsia="Microsoft YaHei" w:hAnsi="Calibri" w:ascii="Calibri"/>
        </w:rPr>
        <w:t xml:space="preserve">Pair non-independence.  </w:t>
      </w:r>
      <w:r>
        <w:rPr>
          <w:sz w:val="20"/>
          <w:rFonts w:eastAsia="Microsoft YaHei" w:hAnsi="Calibri" w:ascii="Calibri"/>
        </w:rPr>
        <w:t>Each character appears in approximately 63 of 200,000 sampled pairs. We address this with two-way cluster-robust standard errors clustering on both characters of each pair. Design effects 1.05–2.66, mean 1.4. Significance survives correction.</w:t>
      </w:r>
    </w:p>
    <w:p>
      <w:pPr>
        <w:spacing w:before="40" w:after="40"/>
        <w:jc w:val="both"/>
      </w:pPr>
      <w:r>
        <w:rPr>
          <w:b/>
          <w:sz w:val="20"/>
          <w:rFonts w:eastAsia="Microsoft YaHei" w:hAnsi="Calibri" w:ascii="Calibri"/>
        </w:rPr>
        <w:t xml:space="preserve">Modest absolute variance explained.  </w:t>
      </w:r>
      <w:r>
        <w:rPr>
          <w:sz w:val="20"/>
          <w:rFonts w:eastAsia="Microsoft YaHei" w:hAnsi="Calibri" w:ascii="Calibri"/>
        </w:rPr>
        <w:t>Full R² ranges from 0.002 to 0.050. The partial-R² ratios are differences within a small total. The upper bound for any character-level predictor on this data is R² ∈ [0.31, 0.78], not 1.0. Our four predictors capture 1–17% of the available variance.</w:t>
      </w:r>
    </w:p>
    <w:p>
      <w:pPr>
        <w:spacing w:before="40" w:after="40"/>
        <w:jc w:val="both"/>
      </w:pPr>
      <w:r>
        <w:rPr>
          <w:b/>
          <w:sz w:val="20"/>
          <w:rFonts w:eastAsia="Microsoft YaHei" w:hAnsi="Calibri" w:ascii="Calibri"/>
        </w:rPr>
        <w:t xml:space="preserve">Sample size on the category claim.  </w:t>
      </w:r>
      <w:r>
        <w:rPr>
          <w:sz w:val="20"/>
          <w:rFonts w:eastAsia="Microsoft YaHei" w:hAnsi="Calibri" w:ascii="Calibri"/>
        </w:rPr>
        <w:t>Three Chinese-pretrained models showing the same ordering is a pattern, not a category effect. Replication on Qwen2.5-7B and larger, Yi, DeepSeek, GLM-4, InternLM is the next step.</w:t>
      </w:r>
    </w:p>
    <w:p>
      <w:pPr>
        <w:spacing w:before="40" w:after="40"/>
        <w:jc w:val="both"/>
      </w:pPr>
      <w:r>
        <w:rPr>
          <w:b/>
          <w:sz w:val="20"/>
          <w:rFonts w:eastAsia="Microsoft YaHei" w:hAnsi="Calibri" w:ascii="Calibri"/>
        </w:rPr>
        <w:t xml:space="preserve">XLM-R-base subword pooling.  </w:t>
      </w:r>
      <w:r>
        <w:rPr>
          <w:sz w:val="20"/>
          <w:rFonts w:eastAsia="Microsoft YaHei" w:hAnsi="Calibri" w:ascii="Calibri"/>
        </w:rPr>
        <w:t>XLM-R has 0.4% single-token coverage. We removed it from the main variance-decomposition table. Its results are in the released artifacts for completeness.</w:t>
      </w:r>
    </w:p>
    <w:p>
      <w:pPr>
        <w:spacing w:before="40" w:after="40"/>
        <w:jc w:val="both"/>
      </w:pPr>
      <w:r>
        <w:rPr>
          <w:b/>
          <w:sz w:val="20"/>
          <w:rFonts w:eastAsia="Microsoft YaHei" w:hAnsi="Calibri" w:ascii="Calibri"/>
        </w:rPr>
        <w:t xml:space="preserve">Cloze probe is exploratory.  </w:t>
      </w:r>
      <w:r>
        <w:rPr>
          <w:sz w:val="20"/>
          <w:rFonts w:eastAsia="Microsoft YaHei" w:hAnsi="Calibri" w:ascii="Calibri"/>
        </w:rPr>
        <w:t>~250 procedurally-constructed trials with author-written carriers and no inter-annotator agreement. Per-model field-averaged log-probability advantages are not significant at α = 0.05 due to the small (n = 8) field count. The cross-category bootstrap gaps are robust at the 95% CI level.</w:t>
      </w:r>
    </w:p>
    <w:p>
      <w:pPr>
        <w:spacing w:before="40" w:after="40"/>
        <w:jc w:val="both"/>
      </w:pPr>
      <w:r>
        <w:rPr>
          <w:b/>
          <w:sz w:val="20"/>
          <w:rFonts w:eastAsia="Microsoft YaHei" w:hAnsi="Calibri" w:ascii="Calibri"/>
        </w:rPr>
        <w:t xml:space="preserve">No mechanistic experiment at scale.  </w:t>
      </w:r>
      <w:r>
        <w:rPr>
          <w:sz w:val="20"/>
          <w:rFonts w:eastAsia="Microsoft YaHei" w:hAnsi="Calibri" w:ascii="Calibri"/>
        </w:rPr>
        <w:t>We ran a small-scale activation-patching summary on five models. The retrieval-lift result is correlational at the per-character level. A real mechanistic follow-up would require attention-head ablation, neuron-level analysis, or activation patching with counterfactual baselines, which did not fit our compute budget.</w:t>
      </w:r>
    </w:p>
    <w:p>
      <w:pPr>
        <w:spacing w:before="40" w:after="40"/>
        <w:jc w:val="both"/>
      </w:pPr>
      <w:r>
        <w:rPr>
          <w:b/>
          <w:sz w:val="20"/>
          <w:rFonts w:eastAsia="Microsoft YaHei" w:hAnsi="Calibri" w:ascii="Calibri"/>
        </w:rPr>
        <w:t xml:space="preserve">Layer sampling is coarse for seven models.  </w:t>
      </w:r>
      <w:r>
        <w:rPr>
          <w:sz w:val="20"/>
          <w:rFonts w:eastAsia="Microsoft YaHei" w:hAnsi="Calibri" w:ascii="Calibri"/>
        </w:rPr>
        <w:t>We extracted only 5 evenly-spaced layers for seven of nine glyph-naive models. Peak-d localization is approximate. Full 13-layer resolution is available for mBERT and Chinese-BERT only.</w:t>
      </w:r>
    </w:p>
    <w:p>
      <w:pPr>
        <w:spacing w:before="40" w:after="40"/>
        <w:jc w:val="both"/>
      </w:pPr>
      <w:r>
        <w:rPr>
          <w:b/>
          <w:sz w:val="20"/>
          <w:rFonts w:eastAsia="Microsoft YaHei" w:hAnsi="Calibri" w:ascii="Calibri"/>
        </w:rPr>
        <w:t xml:space="preserve">PMI from one corpus.  </w:t>
      </w:r>
      <w:r>
        <w:rPr>
          <w:sz w:val="20"/>
          <w:rFonts w:eastAsia="Microsoft YaHei" w:hAnsi="Calibri" w:ascii="Calibri"/>
        </w:rPr>
        <w:t>PMI uses 1M Wikipedia zh sentences. A corpus more representative of the model's pretraining distribution might yield different absolute values; relative ordering across models should be unaffected.</w:t>
      </w:r>
    </w:p>
    <w:p>
      <w:pPr>
        <w:spacing w:before="40" w:after="40"/>
        <w:jc w:val="both"/>
      </w:pPr>
      <w:r>
        <w:rPr>
          <w:b/>
          <w:sz w:val="20"/>
          <w:rFonts w:eastAsia="Microsoft YaHei" w:hAnsi="Calibri" w:ascii="Calibri"/>
        </w:rPr>
        <w:t xml:space="preserve">No native-speaker validation.  </w:t>
      </w:r>
      <w:r>
        <w:rPr>
          <w:sz w:val="20"/>
          <w:rFonts w:eastAsia="Microsoft YaHei" w:hAnsi="Calibri" w:ascii="Calibri"/>
        </w:rPr>
        <w:t>We do not have native Chinese reader feedback on the cloze contexts. We expect to add this in any subsequent revision.</w:t>
      </w:r>
    </w:p>
    <w:p>
      <w:pPr>
        <w:spacing w:before="40" w:after="40"/>
        <w:jc w:val="both"/>
      </w:pPr>
      <w:r>
        <w:rPr>
          <w:b/>
          <w:sz w:val="20"/>
          <w:rFonts w:eastAsia="Microsoft YaHei" w:hAnsi="Calibri" w:ascii="Calibri"/>
        </w:rPr>
        <w:t xml:space="preserve">bf16 inference.  </w:t>
      </w:r>
      <w:r>
        <w:rPr>
          <w:sz w:val="20"/>
          <w:rFonts w:eastAsia="Microsoft YaHei" w:hAnsi="Calibri" w:ascii="Calibri"/>
        </w:rPr>
        <w:t>All embeddings extracted at bf16 to fit Colab T4 memory. Cosine effects of order 10⁻³, well below reported effect sizes.</w:t>
      </w:r>
    </w:p>
    <w:p>
      <w:pPr>
        <w:keepNext/>
        <w:spacing w:before="160" w:after="40" w:line="264" w:lineRule="auto"/>
      </w:pPr>
      <w:r>
        <w:rPr>
          <w:b/>
          <w:sz w:val="22"/>
          <w:rFonts w:eastAsia="Microsoft YaHei" w:hAnsi="Calibri" w:ascii="Calibri"/>
        </w:rPr>
        <w:t>8  Conclusion</w:t>
      </w:r>
    </w:p>
    <w:p>
      <w:pPr>
        <w:spacing w:before="40" w:after="40" w:line="276" w:lineRule="auto"/>
        <w:jc w:val="both"/>
      </w:pPr>
      <w:r>
        <w:rPr>
          <w:b w:val="0"/>
          <w:i w:val="0"/>
          <w:sz w:val="20"/>
          <w:rFonts w:eastAsia="Microsoft YaHei" w:hAnsi="Calibri" w:ascii="Calibri"/>
        </w:rPr>
        <w:t>We decomposed pairwise embedding cosine in nine glyph-naive transformer models and one rendered-glyph baseline into four channels: radical co-membership, distributional context (PMI), character frequency, and stroke difference. Using cluster-robust regression with character-level clustering of standard errors, we found that three of the nine glyph-naive models (Qwen2.5-1.5B, Qwen2.5-3B, BGE-large-zh) place radical partial-R² above PMI partial-R² with bootstrap CIs that do not overlap. The other six do not. An exploratory cloze probe with paired-bootstrap inference shows that, although per-model field-averaged log-probability advantages are not significant on their own (n = 8 fields), every cross-category gap between a Chinese-pretrained model and a multilingual MLM has a 95% CI that excludes zero. A small-scale activation-patching analysis on five models confirms that 96–100% of cross-radical retrievals are above chance, with semantically transparent radicals (魚, 鳥, 肉) carrying the bulk of the signal.</w:t>
      </w:r>
    </w:p>
    <w:p>
      <w:pPr>
        <w:spacing w:before="40" w:after="40" w:line="276" w:lineRule="auto"/>
        <w:jc w:val="both"/>
      </w:pPr>
      <w:r>
        <w:rPr>
          <w:b w:val="0"/>
          <w:i w:val="0"/>
          <w:sz w:val="20"/>
          <w:rFonts w:eastAsia="Microsoft YaHei" w:hAnsi="Calibri" w:ascii="Calibri"/>
        </w:rPr>
        <w:t>The pattern is too small in n to support a category claim about “Chinese-pretrained transformers” and too modest in absolute variance explained to support a mechanistic claim about “encoding.” It is consistent with the reading that, for some models, radical co-membership predicts representational similarity beyond what distributional context alone would predict, that this excess survives controls for frequency and stroke count, and that it is heterogeneous across radicals. We hope replication on a wider set of Chinese-pretrained LLMs, with a properly-validated cloze benchmark and a mechanistic follow-up using activation patching at scale, will sharpen or constrain the picture.</w:t>
      </w:r>
    </w:p>
    <w:p>
      <w:pPr>
        <w:spacing w:before="80" w:after="40"/>
        <w:jc w:val="both"/>
      </w:pPr>
      <w:r>
        <w:rPr>
          <w:b/>
          <w:sz w:val="20"/>
          <w:rFonts w:eastAsia="Microsoft YaHei" w:hAnsi="Calibri" w:ascii="Calibri"/>
        </w:rPr>
        <w:t xml:space="preserve">Reproducibility.  </w:t>
      </w:r>
      <w:r>
        <w:rPr>
          <w:sz w:val="20"/>
          <w:rFonts w:eastAsia="Microsoft YaHei" w:hAnsi="Calibri" w:ascii="Calibri"/>
        </w:rPr>
        <w:t xml:space="preserve">All code, the preregistration document with timestamped hypotheses and falsified-prediction list, the procedurally-generated cloze items, the 6,306-character dataset with stroke counts and liushu annotations, and all CSVs from this paper are available at </w:t>
      </w:r>
      <w:r>
        <w:rPr>
          <w:color w:val="0B46A3"/>
          <w:sz w:val="20"/>
          <w:u w:val="single"/>
          <w:rFonts w:eastAsia="Microsoft YaHei" w:hAnsi="Calibri" w:ascii="Calibri"/>
        </w:rPr>
        <w:t>https://github.com/aryan35790jp/chinese_llm</w:t>
      </w:r>
      <w:r>
        <w:rPr>
          <w:sz w:val="20"/>
          <w:rFonts w:eastAsia="Microsoft YaHei" w:hAnsi="Calibri" w:ascii="Calibri"/>
        </w:rPr>
        <w:t>. Total wall-clock for the full pipeline on a single Colab T4 GPU: approximately 2 hours 20 minutes, hands-off after Run All. The longest single step is 50 minutes of embedding extraction across the ten models.</w:t>
      </w:r>
    </w:p>
    <w:p>
      <w:pPr>
        <w:keepNext/>
        <w:spacing w:before="160" w:after="40" w:line="264" w:lineRule="auto"/>
      </w:pPr>
      <w:r>
        <w:rPr>
          <w:b/>
          <w:sz w:val="22"/>
          <w:rFonts w:eastAsia="Microsoft YaHei" w:hAnsi="Calibri" w:ascii="Calibri"/>
        </w:rPr>
        <w:t>References</w:t>
      </w:r>
    </w:p>
    <w:p>
      <w:pPr>
        <w:spacing w:before="20" w:after="40" w:line="264" w:lineRule="auto"/>
        <w:ind w:left="340" w:hanging="340"/>
        <w:jc w:val="both"/>
      </w:pPr>
      <w:r>
        <w:rPr>
          <w:sz w:val="17"/>
          <w:rFonts w:eastAsia="Microsoft YaHei" w:hAnsi="Calibri" w:ascii="Calibri"/>
        </w:rPr>
        <w:t>Cameron, A. C., Gelbach, J. B., and Miller, D. L. (2011). Robust inference with multiway clustering. Journal of Business &amp; Economic Statistics, 29(2):238–249.</w:t>
      </w:r>
    </w:p>
    <w:p>
      <w:pPr>
        <w:spacing w:before="20" w:after="40" w:line="264" w:lineRule="auto"/>
        <w:ind w:left="340" w:hanging="340"/>
        <w:jc w:val="both"/>
      </w:pPr>
      <w:r>
        <w:rPr>
          <w:sz w:val="17"/>
          <w:rFonts w:eastAsia="Microsoft YaHei" w:hAnsi="Calibri" w:ascii="Calibri"/>
        </w:rPr>
        <w:t>Cui, Y. et al. (2021). Pre-training with whole word masking for Chinese BERT. IEEE/ACM Trans. Audio, Speech, Lang. Process., 29:3504–3514.</w:t>
      </w:r>
    </w:p>
    <w:p>
      <w:pPr>
        <w:spacing w:before="20" w:after="40" w:line="264" w:lineRule="auto"/>
        <w:ind w:left="340" w:hanging="340"/>
        <w:jc w:val="both"/>
      </w:pPr>
      <w:r>
        <w:rPr>
          <w:sz w:val="17"/>
          <w:rFonts w:eastAsia="Microsoft YaHei" w:hAnsi="Calibri" w:ascii="Calibri"/>
        </w:rPr>
        <w:t>Durrani, N., Sajjad, H., Dalvi, F., and Belinkov, Y. (2019). One size does not fit all: Comparing NMT representations of different granularities. NAACL-HLT, 791–796.</w:t>
      </w:r>
    </w:p>
    <w:p>
      <w:pPr>
        <w:spacing w:before="20" w:after="40" w:line="264" w:lineRule="auto"/>
        <w:ind w:left="340" w:hanging="340"/>
        <w:jc w:val="both"/>
      </w:pPr>
      <w:r>
        <w:rPr>
          <w:sz w:val="17"/>
          <w:rFonts w:eastAsia="Microsoft YaHei" w:hAnsi="Calibri" w:ascii="Calibri"/>
        </w:rPr>
        <w:t>Ethayarajh, K. (2019). How contextual are contextualized word representations? Comparing the geometry of BERT, ELMo, and GPT-2 representations. EMNLP, 55–65.</w:t>
      </w:r>
    </w:p>
    <w:p>
      <w:pPr>
        <w:spacing w:before="20" w:after="40" w:line="264" w:lineRule="auto"/>
        <w:ind w:left="340" w:hanging="340"/>
        <w:jc w:val="both"/>
      </w:pPr>
      <w:r>
        <w:rPr>
          <w:sz w:val="17"/>
          <w:rFonts w:eastAsia="Microsoft YaHei" w:hAnsi="Calibri" w:ascii="Calibri"/>
        </w:rPr>
        <w:t>Hewitt, J., and Manning, C. D. (2019). A structural probe for finding syntax in word representations. NAACL-HLT, 4129–4138.</w:t>
      </w:r>
    </w:p>
    <w:p>
      <w:pPr>
        <w:spacing w:before="20" w:after="40" w:line="264" w:lineRule="auto"/>
        <w:ind w:left="340" w:hanging="340"/>
        <w:jc w:val="both"/>
      </w:pPr>
      <w:r>
        <w:rPr>
          <w:sz w:val="17"/>
          <w:rFonts w:eastAsia="Microsoft YaHei" w:hAnsi="Calibri" w:ascii="Calibri"/>
        </w:rPr>
        <w:t>Hofmann, V., Pierrehumbert, J. B., and Schütze, H. (2021). Superbizarre is not superb: Derivational morphology improves BERT's interpretation of complex words. ACL, 3594–3608.</w:t>
      </w:r>
    </w:p>
    <w:p>
      <w:pPr>
        <w:spacing w:before="20" w:after="40" w:line="264" w:lineRule="auto"/>
        <w:ind w:left="340" w:hanging="340"/>
        <w:jc w:val="both"/>
      </w:pPr>
      <w:r>
        <w:rPr>
          <w:sz w:val="17"/>
          <w:rFonts w:eastAsia="Microsoft YaHei" w:hAnsi="Calibri" w:ascii="Calibri"/>
        </w:rPr>
        <w:t>Levy, O., and Goldberg, Y. (2014). Neural word embedding as implicit matrix factorization. NeurIPS.</w:t>
      </w:r>
    </w:p>
    <w:p>
      <w:pPr>
        <w:spacing w:before="20" w:after="40" w:line="264" w:lineRule="auto"/>
        <w:ind w:left="340" w:hanging="340"/>
        <w:jc w:val="both"/>
      </w:pPr>
      <w:r>
        <w:rPr>
          <w:sz w:val="17"/>
          <w:rFonts w:eastAsia="Microsoft YaHei" w:hAnsi="Calibri" w:ascii="Calibri"/>
        </w:rPr>
        <w:t>Meng, Y. et al. (2019). Glyce: Glyph-vectors for Chinese character representations. NeurIPS, 32:2746–2757.</w:t>
      </w:r>
    </w:p>
    <w:p>
      <w:pPr>
        <w:spacing w:before="20" w:after="40" w:line="264" w:lineRule="auto"/>
        <w:ind w:left="340" w:hanging="340"/>
        <w:jc w:val="both"/>
      </w:pPr>
      <w:r>
        <w:rPr>
          <w:sz w:val="17"/>
          <w:rFonts w:eastAsia="Microsoft YaHei" w:hAnsi="Calibri" w:ascii="Calibri"/>
        </w:rPr>
        <w:t>Mu, J., and Viswanath, P. (2018). All-but-the-top: Simple and effective postprocessing for word representations. ICLR.</w:t>
      </w:r>
    </w:p>
    <w:p>
      <w:pPr>
        <w:spacing w:before="20" w:after="40" w:line="264" w:lineRule="auto"/>
        <w:ind w:left="340" w:hanging="340"/>
        <w:jc w:val="both"/>
      </w:pPr>
      <w:r>
        <w:rPr>
          <w:sz w:val="17"/>
          <w:rFonts w:eastAsia="Microsoft YaHei" w:hAnsi="Calibri" w:ascii="Calibri"/>
        </w:rPr>
        <w:t>Sun, Z. et al. (2021). ChineseBERT: Chinese pretraining enhanced by glyph and pinyin information. ACL, 2065–2075.</w:t>
      </w:r>
    </w:p>
    <w:p>
      <w:pPr>
        <w:spacing w:before="20" w:after="40" w:line="264" w:lineRule="auto"/>
        <w:ind w:left="340" w:hanging="340"/>
        <w:jc w:val="both"/>
      </w:pPr>
      <w:r>
        <w:rPr>
          <w:sz w:val="17"/>
          <w:rFonts w:eastAsia="Microsoft YaHei" w:hAnsi="Calibri" w:ascii="Calibri"/>
        </w:rPr>
        <w:t>Tenney, I., Das, D., and Pavlick, E. (2019). BERT rediscovers the classical NLP pipeline. ACL, 4593–4601.</w:t>
      </w:r>
    </w:p>
    <w:p>
      <w:pPr>
        <w:spacing w:before="20" w:after="40" w:line="264" w:lineRule="auto"/>
        <w:ind w:left="340" w:hanging="340"/>
        <w:jc w:val="both"/>
      </w:pPr>
      <w:r>
        <w:rPr>
          <w:sz w:val="17"/>
          <w:rFonts w:eastAsia="Microsoft YaHei" w:hAnsi="Calibri" w:ascii="Calibri"/>
        </w:rPr>
        <w:t>Xu, J. et al. (2016). Improve Chinese word embeddings by exploiting internal structure. NAACL-HLT, 1041–1050.</w:t>
      </w:r>
    </w:p>
    <w:p>
      <w:pPr>
        <w:spacing w:before="20" w:after="40" w:line="264" w:lineRule="auto"/>
        <w:ind w:left="340" w:hanging="340"/>
        <w:jc w:val="both"/>
      </w:pPr>
      <w:r>
        <w:rPr>
          <w:sz w:val="17"/>
          <w:rFonts w:eastAsia="Microsoft YaHei" w:hAnsi="Calibri" w:ascii="Calibri"/>
        </w:rPr>
        <w:t>Yu, J. et al. (2017). Joint embeddings of Chinese words, characters, and fine-grained subcharacter components. EMNLP, 286–291.</w:t>
      </w:r>
    </w:p>
    <w:sectPr w:rsidR="00FC693F" w:rsidRPr="0006063C" w:rsidSect="00034616">
      <w:pgSz w:w="11906" w:h="16838"/>
      <w:pgMar w:top="1134" w:right="1134" w:bottom="1417" w:left="1134"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