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715C" w14:textId="77777777" w:rsidR="006B65CE" w:rsidRDefault="00735014">
      <w:pPr>
        <w:pStyle w:val="Title"/>
        <w:jc w:val="left"/>
        <w:sectPr w:rsidR="006B65CE">
          <w:pgSz w:w="12240" w:h="15840"/>
          <w:pgMar w:top="120" w:right="360" w:bottom="0" w:left="360" w:header="720" w:footer="720" w:gutter="0"/>
          <w:pgNumType w:start="1"/>
          <w:cols w:num="2" w:space="720" w:equalWidth="0">
            <w:col w:w="5540" w:space="440"/>
            <w:col w:w="5540" w:space="0"/>
          </w:cols>
        </w:sectPr>
      </w:pPr>
      <w:r>
        <w:br w:type="column"/>
      </w:r>
    </w:p>
    <w:p w14:paraId="162FD50E" w14:textId="77777777" w:rsidR="006B65CE" w:rsidRDefault="00735014">
      <w:pPr>
        <w:pStyle w:val="Title"/>
        <w:spacing w:before="0" w:line="192" w:lineRule="auto"/>
        <w:rPr>
          <w:b/>
          <w:bCs/>
          <w:sz w:val="28"/>
          <w:szCs w:val="28"/>
        </w:rPr>
      </w:pPr>
      <w:r>
        <w:t xml:space="preserve">               </w:t>
      </w:r>
      <w:r>
        <w:rPr>
          <w:b/>
          <w:bCs/>
          <w:sz w:val="28"/>
          <w:szCs w:val="28"/>
        </w:rPr>
        <w:t xml:space="preserve"> FALGUNI DEKATE</w:t>
      </w:r>
    </w:p>
    <w:p w14:paraId="440D2C83" w14:textId="77777777" w:rsidR="006B65CE" w:rsidRDefault="00735014">
      <w:pPr>
        <w:widowControl/>
        <w:tabs>
          <w:tab w:val="left" w:pos="270"/>
        </w:tabs>
        <w:spacing w:line="192" w:lineRule="auto"/>
        <w:jc w:val="center"/>
        <w:rPr>
          <w:b/>
          <w:bCs/>
          <w:color w:val="262626"/>
          <w:sz w:val="20"/>
          <w:szCs w:val="20"/>
        </w:rPr>
      </w:pPr>
      <w:hyperlink r:id="rId5">
        <w:r>
          <w:rPr>
            <w:b/>
            <w:bCs/>
            <w:sz w:val="20"/>
            <w:szCs w:val="20"/>
          </w:rPr>
          <w:t>New York</w:t>
        </w:r>
      </w:hyperlink>
      <w:r>
        <w:rPr>
          <w:b/>
          <w:bCs/>
          <w:sz w:val="20"/>
          <w:szCs w:val="20"/>
        </w:rPr>
        <w:t xml:space="preserve">, NY | </w:t>
      </w:r>
      <w:hyperlink r:id="rId6">
        <w:r>
          <w:rPr>
            <w:b/>
            <w:bCs/>
            <w:sz w:val="20"/>
            <w:szCs w:val="20"/>
          </w:rPr>
          <w:t>falgunidekate08@gmail.com</w:t>
        </w:r>
      </w:hyperlink>
      <w:r>
        <w:rPr>
          <w:b/>
          <w:bCs/>
          <w:sz w:val="20"/>
          <w:szCs w:val="20"/>
        </w:rPr>
        <w:t xml:space="preserve"> | </w:t>
      </w:r>
      <w:r>
        <w:rPr>
          <w:b/>
          <w:bCs/>
          <w:color w:val="262626"/>
          <w:sz w:val="20"/>
          <w:szCs w:val="20"/>
        </w:rPr>
        <w:t>+1 201 3607796</w:t>
      </w:r>
    </w:p>
    <w:p w14:paraId="487180CB" w14:textId="77777777" w:rsidR="006B65CE" w:rsidRDefault="00735014">
      <w:pPr>
        <w:widowControl/>
        <w:tabs>
          <w:tab w:val="left" w:pos="270"/>
        </w:tabs>
        <w:spacing w:line="192" w:lineRule="auto"/>
        <w:jc w:val="center"/>
        <w:rPr>
          <w:sz w:val="20"/>
          <w:szCs w:val="20"/>
        </w:rPr>
      </w:pPr>
      <w:r>
        <w:rPr>
          <w:b/>
          <w:bCs/>
          <w:color w:val="262626"/>
          <w:sz w:val="20"/>
          <w:szCs w:val="20"/>
        </w:rPr>
        <w:t xml:space="preserve"> </w:t>
      </w:r>
      <w:hyperlink r:id="rId7">
        <w:r>
          <w:rPr>
            <w:color w:val="1155CC"/>
            <w:sz w:val="20"/>
            <w:szCs w:val="20"/>
            <w:u w:val="single"/>
          </w:rPr>
          <w:t>Portfolio</w:t>
        </w:r>
      </w:hyperlink>
      <w:r>
        <w:rPr>
          <w:color w:val="262626"/>
          <w:sz w:val="20"/>
          <w:szCs w:val="20"/>
        </w:rPr>
        <w:t xml:space="preserve"> |</w:t>
      </w:r>
      <w:hyperlink r:id="rId8">
        <w:r>
          <w:rPr>
            <w:color w:val="1155CC"/>
            <w:sz w:val="20"/>
            <w:szCs w:val="20"/>
            <w:u w:val="single"/>
          </w:rPr>
          <w:t>LinkedIn</w:t>
        </w:r>
      </w:hyperlink>
    </w:p>
    <w:p w14:paraId="4566D878" w14:textId="77777777" w:rsidR="006B65CE" w:rsidRDefault="006B65CE">
      <w:pPr>
        <w:widowControl/>
        <w:tabs>
          <w:tab w:val="left" w:pos="270"/>
        </w:tabs>
        <w:spacing w:line="192" w:lineRule="auto"/>
        <w:rPr>
          <w:sz w:val="20"/>
          <w:szCs w:val="20"/>
        </w:rPr>
        <w:sectPr w:rsidR="006B65CE">
          <w:type w:val="continuous"/>
          <w:pgSz w:w="12240" w:h="15840"/>
          <w:pgMar w:top="120" w:right="360" w:bottom="0" w:left="360" w:header="720" w:footer="720" w:gutter="0"/>
          <w:cols w:space="720" w:equalWidth="0">
            <w:col w:w="11520" w:space="0"/>
          </w:cols>
        </w:sectPr>
      </w:pPr>
    </w:p>
    <w:p w14:paraId="158B3C94" w14:textId="77777777" w:rsidR="006B65CE" w:rsidRDefault="00735014">
      <w:pPr>
        <w:pStyle w:val="Heading2"/>
        <w:spacing w:before="0"/>
        <w:ind w:firstLine="240"/>
      </w:pPr>
      <w:bookmarkStart w:id="0" w:name="_u89gt2vo0g6" w:colFirst="0" w:colLast="0"/>
      <w:bookmarkEnd w:id="0"/>
      <w:r>
        <w:t>PROFESSIONAL SUMMARY</w:t>
      </w:r>
    </w:p>
    <w:p w14:paraId="199FAA19" w14:textId="77777777" w:rsidR="006B65CE" w:rsidRDefault="00735014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240"/>
        <w:rPr>
          <w:sz w:val="20"/>
          <w:szCs w:val="20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76B6E823" wp14:editId="61F481D2">
                <wp:extent cx="7010400" cy="1016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10160"/>
                          <a:chOff x="1840800" y="3774900"/>
                          <a:chExt cx="7010400" cy="10200"/>
                        </a:xfrm>
                      </wpg:grpSpPr>
                      <wpg:grpSp>
                        <wpg:cNvPr id="846311617" name="Group 846311617"/>
                        <wpg:cNvGrpSpPr/>
                        <wpg:grpSpPr>
                          <a:xfrm>
                            <a:off x="1840800" y="3774920"/>
                            <a:ext cx="7010400" cy="10150"/>
                            <a:chOff x="0" y="0"/>
                            <a:chExt cx="7010400" cy="10150"/>
                          </a:xfrm>
                        </wpg:grpSpPr>
                        <wps:wsp>
                          <wps:cNvPr id="1405118458" name="Rectangle 1405118458"/>
                          <wps:cNvSpPr/>
                          <wps:spPr>
                            <a:xfrm>
                              <a:off x="0" y="0"/>
                              <a:ext cx="7010400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25D3BF" w14:textId="77777777" w:rsidR="006B65CE" w:rsidRDefault="006B65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3190903" name="Freeform: Shape 2103190903"/>
                          <wps:cNvSpPr/>
                          <wps:spPr>
                            <a:xfrm>
                              <a:off x="0" y="5080"/>
                              <a:ext cx="70104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10400" h="120000" extrusionOk="0">
                                  <a:moveTo>
                                    <a:pt x="70104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010400" cy="1016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01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D4D3AA1" w14:textId="77777777" w:rsidR="006B65CE" w:rsidRDefault="00735014">
      <w:pPr>
        <w:spacing w:line="192" w:lineRule="auto"/>
        <w:ind w:left="240" w:right="333"/>
        <w:rPr>
          <w:sz w:val="20"/>
          <w:szCs w:val="20"/>
        </w:rPr>
      </w:pPr>
      <w:r>
        <w:rPr>
          <w:b/>
          <w:bCs/>
          <w:sz w:val="20"/>
          <w:szCs w:val="20"/>
        </w:rPr>
        <w:t>Product Designer</w:t>
      </w:r>
      <w:r>
        <w:rPr>
          <w:sz w:val="20"/>
          <w:szCs w:val="20"/>
        </w:rPr>
        <w:t xml:space="preserve"> specializing in AI‑native, enterprise product experiences with 2+ years owning end‑to‑end features across web and native platforms. I define UX vision, design high‑impact product features, and build </w:t>
      </w:r>
      <w:r>
        <w:rPr>
          <w:b/>
          <w:bCs/>
          <w:sz w:val="20"/>
          <w:szCs w:val="20"/>
        </w:rPr>
        <w:t>tokenized design systems</w:t>
      </w:r>
      <w:r>
        <w:rPr>
          <w:sz w:val="20"/>
          <w:szCs w:val="20"/>
        </w:rPr>
        <w:t xml:space="preserve"> that scale. Skilled at translating ambiguous regulatory and </w:t>
      </w:r>
      <w:r>
        <w:rPr>
          <w:b/>
          <w:bCs/>
          <w:sz w:val="20"/>
          <w:szCs w:val="20"/>
        </w:rPr>
        <w:t xml:space="preserve">technical constraints </w:t>
      </w:r>
      <w:r>
        <w:rPr>
          <w:sz w:val="20"/>
          <w:szCs w:val="20"/>
        </w:rPr>
        <w:t xml:space="preserve">(retrieval, latency, model reliability) into intuitive, trust‑building UX; delivering JSON‑driven </w:t>
      </w:r>
      <w:r>
        <w:rPr>
          <w:b/>
          <w:bCs/>
          <w:sz w:val="20"/>
          <w:szCs w:val="20"/>
        </w:rPr>
        <w:t>Framer prototypes</w:t>
      </w:r>
      <w:r>
        <w:rPr>
          <w:sz w:val="20"/>
          <w:szCs w:val="20"/>
        </w:rPr>
        <w:t xml:space="preserve">, production‑ready </w:t>
      </w:r>
      <w:proofErr w:type="spellStart"/>
      <w:r>
        <w:rPr>
          <w:b/>
          <w:bCs/>
          <w:sz w:val="20"/>
          <w:szCs w:val="20"/>
        </w:rPr>
        <w:t>Figma</w:t>
      </w:r>
      <w:proofErr w:type="spellEnd"/>
      <w:r>
        <w:rPr>
          <w:sz w:val="20"/>
          <w:szCs w:val="20"/>
        </w:rPr>
        <w:t xml:space="preserve"> specs, annotated handoffs, and </w:t>
      </w:r>
      <w:r>
        <w:rPr>
          <w:b/>
          <w:bCs/>
          <w:sz w:val="20"/>
          <w:szCs w:val="20"/>
        </w:rPr>
        <w:t>motion systems</w:t>
      </w:r>
      <w:r>
        <w:rPr>
          <w:sz w:val="20"/>
          <w:szCs w:val="20"/>
        </w:rPr>
        <w:t>. Proven track record partnering with PMs, engineers, and leadership to drive adoption and measurable product outcomes.</w:t>
      </w:r>
    </w:p>
    <w:p w14:paraId="36CEF926" w14:textId="77777777" w:rsidR="006B65CE" w:rsidRDefault="00735014">
      <w:pPr>
        <w:pStyle w:val="Heading2"/>
        <w:spacing w:before="134"/>
        <w:ind w:firstLine="240"/>
      </w:pPr>
      <w:bookmarkStart w:id="1" w:name="_598ey93y0izq" w:colFirst="0" w:colLast="0"/>
      <w:bookmarkEnd w:id="1"/>
      <w:r>
        <w:t>SKILLS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C253FE9" wp14:editId="3C11B9B1">
                <wp:simplePos x="0" y="0"/>
                <wp:positionH relativeFrom="column">
                  <wp:posOffset>152400</wp:posOffset>
                </wp:positionH>
                <wp:positionV relativeFrom="paragraph">
                  <wp:posOffset>256183</wp:posOffset>
                </wp:positionV>
                <wp:extent cx="701040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256183</wp:posOffset>
                </wp:positionV>
                <wp:extent cx="70104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38E54C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Cross‑Platform Design: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Web, iOS, Android, Desktop UX; platform guideline fluency (iOS HIG, Material, Web standards)</w:t>
      </w:r>
    </w:p>
    <w:p w14:paraId="4AC15AD1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AI‑Native UX:</w:t>
      </w:r>
      <w:r>
        <w:rPr>
          <w:sz w:val="18"/>
          <w:szCs w:val="18"/>
        </w:rPr>
        <w:t xml:space="preserve"> Conversational assistant design (Gus), LLM / retrieval / context management understanding, prompt design, model output validation, guardrails &amp; failure‑mode UX</w:t>
      </w:r>
    </w:p>
    <w:p w14:paraId="76C5E554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Interaction &amp; Workflow Design:</w:t>
      </w:r>
      <w:r>
        <w:rPr>
          <w:sz w:val="18"/>
          <w:szCs w:val="18"/>
        </w:rPr>
        <w:t xml:space="preserve"> End‑to‑end task flows, information architecture, navigation models, edge‑case &amp; rollback handling, state orchestration</w:t>
      </w:r>
    </w:p>
    <w:p w14:paraId="20FBCCD1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 xml:space="preserve">Prototyping &amp; Tools: </w:t>
      </w:r>
      <w:proofErr w:type="spellStart"/>
      <w:r>
        <w:rPr>
          <w:sz w:val="18"/>
          <w:szCs w:val="18"/>
        </w:rPr>
        <w:t>Figma</w:t>
      </w:r>
      <w:proofErr w:type="spellEnd"/>
      <w:r>
        <w:rPr>
          <w:sz w:val="18"/>
          <w:szCs w:val="18"/>
        </w:rPr>
        <w:t xml:space="preserve"> (expert — components, variants, tokens, Dev Mode), Framer, JSON‑driven prototypes, rapid vibe‑coding, Claude/Cursor/ChatGPT for ideation &amp; prototype snippets</w:t>
      </w:r>
    </w:p>
    <w:p w14:paraId="76ED26CB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Design Systems &amp; Scale:</w:t>
      </w:r>
      <w:r>
        <w:rPr>
          <w:sz w:val="18"/>
          <w:szCs w:val="18"/>
        </w:rPr>
        <w:t xml:space="preserve"> Tokenized component libraries, pattern documentation, Storybook examples, governance and cross‑product consistency</w:t>
      </w:r>
    </w:p>
    <w:p w14:paraId="02F634C8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Motion &amp; Micro‑interactions:</w:t>
      </w:r>
      <w:r>
        <w:rPr>
          <w:sz w:val="20"/>
          <w:szCs w:val="20"/>
        </w:rPr>
        <w:t xml:space="preserve"> </w:t>
      </w:r>
      <w:r>
        <w:rPr>
          <w:sz w:val="18"/>
          <w:szCs w:val="18"/>
        </w:rPr>
        <w:t>Micro‑interactions, motion specs, Lottie/After Effects exports, timing/easing, reduced‑motion accessibility variants</w:t>
      </w:r>
    </w:p>
    <w:p w14:paraId="3A5399E0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Research &amp; Validation:</w:t>
      </w:r>
      <w:r>
        <w:rPr>
          <w:sz w:val="18"/>
          <w:szCs w:val="18"/>
        </w:rPr>
        <w:t xml:space="preserve"> Contextual inquiry, moderated usability testing, prototype validation, A/B/experiment design, qualitative + quantitative synthesis, adoption &amp; efficiency metrics</w:t>
      </w:r>
    </w:p>
    <w:p w14:paraId="3442E937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Handoff &amp; Implementation:</w:t>
      </w:r>
      <w:r>
        <w:rPr>
          <w:sz w:val="20"/>
          <w:szCs w:val="20"/>
        </w:rPr>
        <w:t xml:space="preserve"> </w:t>
      </w:r>
      <w:r>
        <w:rPr>
          <w:sz w:val="18"/>
          <w:szCs w:val="18"/>
        </w:rPr>
        <w:t>Annotated developer handoffs, data/prop contracts, acceptance criteria, VQA / visual QA checklists, design‑to‑code workflows, basic HTML/CSS/React familiarity</w:t>
      </w:r>
    </w:p>
    <w:p w14:paraId="05F9AE5D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Metrics &amp; Experimentation:</w:t>
      </w:r>
      <w:r>
        <w:rPr>
          <w:sz w:val="18"/>
          <w:szCs w:val="18"/>
        </w:rPr>
        <w:t xml:space="preserve"> Instrumentation for experiments, KPI definition (adoption, efficiency, trust), analytics (</w:t>
      </w:r>
      <w:proofErr w:type="spellStart"/>
      <w:r>
        <w:rPr>
          <w:sz w:val="18"/>
          <w:szCs w:val="18"/>
        </w:rPr>
        <w:t>Mixpanel</w:t>
      </w:r>
      <w:proofErr w:type="spellEnd"/>
      <w:r>
        <w:rPr>
          <w:sz w:val="18"/>
          <w:szCs w:val="18"/>
        </w:rPr>
        <w:t>/GA basics), data‑driven prioritization</w:t>
      </w:r>
    </w:p>
    <w:p w14:paraId="56A2CEEB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Collaboration &amp; Leadership:</w:t>
      </w:r>
      <w:r>
        <w:rPr>
          <w:sz w:val="18"/>
          <w:szCs w:val="18"/>
        </w:rPr>
        <w:t xml:space="preserve"> Product triads (PM/</w:t>
      </w:r>
      <w:proofErr w:type="spellStart"/>
      <w:r>
        <w:rPr>
          <w:sz w:val="18"/>
          <w:szCs w:val="18"/>
        </w:rPr>
        <w:t>Eng</w:t>
      </w:r>
      <w:proofErr w:type="spellEnd"/>
      <w:r>
        <w:rPr>
          <w:sz w:val="18"/>
          <w:szCs w:val="18"/>
        </w:rPr>
        <w:t>/Design), cross‑functional partnership, mentoring designers, influence on roadmap and UX vision</w:t>
      </w:r>
    </w:p>
    <w:p w14:paraId="3EE902DC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b/>
          <w:bCs/>
          <w:sz w:val="20"/>
          <w:szCs w:val="20"/>
        </w:rPr>
        <w:t>Accessibility &amp; Trust:</w:t>
      </w:r>
      <w:r>
        <w:rPr>
          <w:sz w:val="18"/>
          <w:szCs w:val="18"/>
        </w:rPr>
        <w:t xml:space="preserve"> WCAG fundamentals, inclusive patterns, transparency and trust signals for AI, safety and fallback UX practices</w:t>
      </w:r>
    </w:p>
    <w:p w14:paraId="0C1F8492" w14:textId="77777777" w:rsidR="006B65CE" w:rsidRDefault="00735014">
      <w:pPr>
        <w:pStyle w:val="Heading2"/>
        <w:ind w:left="0"/>
      </w:pPr>
      <w:r>
        <w:rPr>
          <w:sz w:val="18"/>
          <w:szCs w:val="18"/>
        </w:rPr>
        <w:t xml:space="preserve">   </w:t>
      </w:r>
      <w:r>
        <w:t xml:space="preserve">  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F0D924C" wp14:editId="16B21CAB">
                <wp:simplePos x="0" y="0"/>
                <wp:positionH relativeFrom="column">
                  <wp:posOffset>152400</wp:posOffset>
                </wp:positionH>
                <wp:positionV relativeFrom="paragraph">
                  <wp:posOffset>243946</wp:posOffset>
                </wp:positionV>
                <wp:extent cx="701040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243946</wp:posOffset>
                </wp:positionV>
                <wp:extent cx="701040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2D95EE" w14:textId="77777777" w:rsidR="006B65CE" w:rsidRDefault="00735014">
      <w:pPr>
        <w:tabs>
          <w:tab w:val="left" w:pos="9392"/>
        </w:tabs>
        <w:spacing w:before="65"/>
        <w:ind w:left="2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CX by Design  |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Product Design Intern </w:t>
      </w:r>
      <w:r>
        <w:rPr>
          <w:sz w:val="20"/>
          <w:szCs w:val="20"/>
        </w:rPr>
        <w:t xml:space="preserve">| New York,NY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Sept 2025–Present</w:t>
      </w:r>
    </w:p>
    <w:p w14:paraId="5FDD8A79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rFonts w:ascii="Cardo" w:eastAsia="Cardo" w:hAnsi="Cardo" w:cs="Cardo"/>
          <w:sz w:val="18"/>
          <w:szCs w:val="18"/>
        </w:rPr>
        <w:t xml:space="preserve">Defined UX vision and interaction models for conversational assistants and AI‑native workflows: mapped input → retrieval → model → action flows, documented guardrails, and designed rollback/fallback UX to manage uncertainty and preserve user trust. </w:t>
      </w:r>
    </w:p>
    <w:p w14:paraId="51163AF1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rFonts w:ascii="Cardo" w:eastAsia="Cardo" w:hAnsi="Cardo" w:cs="Cardo"/>
          <w:sz w:val="18"/>
          <w:szCs w:val="18"/>
        </w:rPr>
        <w:t>Rapidly prototyped working demos (</w:t>
      </w:r>
      <w:proofErr w:type="spellStart"/>
      <w:r>
        <w:rPr>
          <w:rFonts w:ascii="Cardo" w:eastAsia="Cardo" w:hAnsi="Cardo" w:cs="Cardo"/>
          <w:sz w:val="18"/>
          <w:szCs w:val="18"/>
        </w:rPr>
        <w:t>Figma</w:t>
      </w:r>
      <w:proofErr w:type="spellEnd"/>
      <w:r>
        <w:rPr>
          <w:rFonts w:ascii="Cardo" w:eastAsia="Cardo" w:hAnsi="Cardo" w:cs="Cardo"/>
          <w:sz w:val="18"/>
          <w:szCs w:val="18"/>
        </w:rPr>
        <w:t xml:space="preserve"> → Framer) using JSON‑driven fixtures to simulate retrieval/context behavior and model latency; validated prototypes in moderated usability tests and iterated prompts in collaboration with engineers and content designers (Claude/Cursor). </w:t>
      </w:r>
    </w:p>
    <w:p w14:paraId="5CE01A79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Shipped 5+ high‑impact AI features from concept through launch: authored annotated developer handoffs (data/prop contracts, acceptance criteria), measured adoption/efficiency/trust KPIs, and prioritized μ‑iterations that improved task completion and reduced correction cycles. </w:t>
      </w:r>
    </w:p>
    <w:p w14:paraId="1C647584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Evolved tokenized cross‑product design system: created component props, variants and Storybook‑style examples to ensure consistent behavior for AI controls and preview panes; documented pattern governance for cross‑team adoption. </w:t>
      </w:r>
    </w:p>
    <w:p w14:paraId="54FD0F76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Defined motion &amp; micro‑interaction language (Lottie/After Effects) for model status, previews and confirmations; produced reduced‑motion accessibility variants and led VQA to guarantee parity across web and native platforms. </w:t>
      </w:r>
    </w:p>
    <w:p w14:paraId="0B46F8CA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Partnered in product triads with senior PMs and AI engineers to translate retrieval/context/latency constraints into robust UX tradeoffs and measurable experiment designs.</w:t>
      </w:r>
    </w:p>
    <w:p w14:paraId="3CC30578" w14:textId="77777777" w:rsidR="006B65CE" w:rsidRDefault="00735014">
      <w:pPr>
        <w:widowControl/>
        <w:spacing w:line="192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</w:p>
    <w:p w14:paraId="20B5AD41" w14:textId="77777777" w:rsidR="006B65CE" w:rsidRDefault="00735014">
      <w:pPr>
        <w:widowControl/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MyRentalSpot |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Product Design Intern</w:t>
      </w:r>
      <w:r>
        <w:rPr>
          <w:i/>
          <w:iCs/>
          <w:sz w:val="20"/>
          <w:szCs w:val="20"/>
        </w:rPr>
        <w:t xml:space="preserve">  </w:t>
      </w:r>
      <w:r>
        <w:rPr>
          <w:sz w:val="20"/>
          <w:szCs w:val="20"/>
        </w:rPr>
        <w:t xml:space="preserve">| Orinda, CA  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Aug 2025 – Sept 2025</w:t>
      </w:r>
    </w:p>
    <w:p w14:paraId="74C45639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Conducted diary studies and moderated prototype validations for multi‑step flows; synthesized qualitative + quantitative findings into prioritized UX fixes and A/B test plans, increasing prototype task success in follow‑up sessions. </w:t>
      </w:r>
    </w:p>
    <w:p w14:paraId="2B2CD114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Built Framer device‑accurate demos to validate interaction timing and edge cases; produced production‑ready </w:t>
      </w:r>
      <w:proofErr w:type="spellStart"/>
      <w:r>
        <w:rPr>
          <w:sz w:val="18"/>
          <w:szCs w:val="18"/>
        </w:rPr>
        <w:t>Figma</w:t>
      </w:r>
      <w:proofErr w:type="spellEnd"/>
      <w:r>
        <w:rPr>
          <w:sz w:val="18"/>
          <w:szCs w:val="18"/>
        </w:rPr>
        <w:t xml:space="preserve"> specs and VQA notes for engineering handoff.</w:t>
      </w:r>
    </w:p>
    <w:p w14:paraId="715DB638" w14:textId="77777777" w:rsidR="006B65CE" w:rsidRDefault="006B65CE">
      <w:pPr>
        <w:widowControl/>
        <w:spacing w:line="192" w:lineRule="auto"/>
        <w:ind w:left="504"/>
        <w:rPr>
          <w:sz w:val="20"/>
          <w:szCs w:val="20"/>
        </w:rPr>
      </w:pPr>
    </w:p>
    <w:p w14:paraId="332466E6" w14:textId="77777777" w:rsidR="006B65CE" w:rsidRDefault="00735014">
      <w:pPr>
        <w:tabs>
          <w:tab w:val="left" w:pos="9392"/>
        </w:tabs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NYC Design Factory  |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Design and Innovation volunteer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| New York,NY               </w:t>
      </w:r>
      <w:r>
        <w:rPr>
          <w:b/>
          <w:bCs/>
          <w:sz w:val="20"/>
          <w:szCs w:val="20"/>
        </w:rPr>
        <w:t xml:space="preserve">                                                      Jan 2025–Present</w:t>
      </w:r>
    </w:p>
    <w:p w14:paraId="168C5641" w14:textId="77777777" w:rsidR="006B65CE" w:rsidRDefault="00735014">
      <w:pPr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Facilitated design jams and cross‑functional workshops (</w:t>
      </w:r>
      <w:proofErr w:type="spellStart"/>
      <w:r>
        <w:rPr>
          <w:sz w:val="18"/>
          <w:szCs w:val="18"/>
        </w:rPr>
        <w:t>Miro</w:t>
      </w:r>
      <w:proofErr w:type="spellEnd"/>
      <w:r>
        <w:rPr>
          <w:sz w:val="18"/>
          <w:szCs w:val="18"/>
        </w:rPr>
        <w:t>/FigJam); produced mental models, journey maps and rapid prototypes to validate zero‑to‑one product ideas.</w:t>
      </w:r>
    </w:p>
    <w:p w14:paraId="20D5C725" w14:textId="77777777" w:rsidR="006B65CE" w:rsidRDefault="006B65CE">
      <w:pPr>
        <w:spacing w:line="192" w:lineRule="auto"/>
        <w:ind w:left="504"/>
        <w:rPr>
          <w:color w:val="111111"/>
          <w:sz w:val="20"/>
          <w:szCs w:val="20"/>
        </w:rPr>
      </w:pPr>
    </w:p>
    <w:p w14:paraId="44458D84" w14:textId="77777777" w:rsidR="006B65CE" w:rsidRDefault="00735014">
      <w:pPr>
        <w:tabs>
          <w:tab w:val="left" w:pos="9392"/>
        </w:tabs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Lighthouse Info System Pvt. Ltd |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Associate Product Designer </w:t>
      </w:r>
      <w:r>
        <w:rPr>
          <w:sz w:val="20"/>
          <w:szCs w:val="20"/>
        </w:rPr>
        <w:t xml:space="preserve">| Nagpur, India              </w:t>
      </w:r>
      <w:r>
        <w:rPr>
          <w:b/>
          <w:bCs/>
          <w:sz w:val="20"/>
          <w:szCs w:val="20"/>
        </w:rPr>
        <w:t xml:space="preserve">                                       June 2024 – Aug 2024</w:t>
      </w:r>
    </w:p>
    <w:p w14:paraId="3B52C7D6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Ran contextual inquiry and stakeholder interviews with domain experts to surface edge cases and regulatory constraints for data‑driven workflows; built journey maps and decision logs that informed UX requirements and safety states. </w:t>
      </w:r>
    </w:p>
    <w:p w14:paraId="71C93022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Designed JSON‑driven Framer prototypes modeling large datasets, drill‑downs and streaming telemetry; validated performance‑safe interaction patterns (pagination, incremental loading) in moderated sessions and refined fallback behaviors. </w:t>
      </w:r>
    </w:p>
    <w:p w14:paraId="4E488EEC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Contributed AI control component primitives and token rules to the design system; authored annotated developer handoffs with data expectations and VQA checklists to reduce implementation ambiguity and ensure compliance with accessibility (WCAG) basics.</w:t>
      </w:r>
    </w:p>
    <w:p w14:paraId="509FD644" w14:textId="77777777" w:rsidR="006B65CE" w:rsidRDefault="00735014">
      <w:pPr>
        <w:widowControl/>
        <w:spacing w:line="192" w:lineRule="auto"/>
        <w:ind w:left="50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1EEBC313" w14:textId="77777777" w:rsidR="006B65CE" w:rsidRDefault="00735014">
      <w:pPr>
        <w:tabs>
          <w:tab w:val="left" w:pos="9392"/>
        </w:tabs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proofErr w:type="spellStart"/>
      <w:r>
        <w:rPr>
          <w:b/>
          <w:bCs/>
          <w:sz w:val="20"/>
          <w:szCs w:val="20"/>
        </w:rPr>
        <w:t>Phoenixzone</w:t>
      </w:r>
      <w:proofErr w:type="spellEnd"/>
      <w:r>
        <w:rPr>
          <w:b/>
          <w:bCs/>
          <w:sz w:val="20"/>
          <w:szCs w:val="20"/>
        </w:rPr>
        <w:t xml:space="preserve"> Technologies Pvt. Ltd |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Jr. Product Designer</w:t>
      </w:r>
      <w:r>
        <w:rPr>
          <w:i/>
          <w:iCs/>
          <w:sz w:val="20"/>
          <w:szCs w:val="20"/>
        </w:rPr>
        <w:t xml:space="preserve"> | </w:t>
      </w:r>
      <w:r>
        <w:rPr>
          <w:sz w:val="20"/>
          <w:szCs w:val="20"/>
        </w:rPr>
        <w:t xml:space="preserve">Pune, India          </w:t>
      </w:r>
      <w:r>
        <w:rPr>
          <w:b/>
          <w:bCs/>
          <w:sz w:val="20"/>
          <w:szCs w:val="20"/>
        </w:rPr>
        <w:t xml:space="preserve">                                                     Jan  2024 – June 2024</w:t>
      </w:r>
    </w:p>
    <w:p w14:paraId="55A7779C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rFonts w:ascii="Cardo" w:eastAsia="Cardo" w:hAnsi="Cardo" w:cs="Cardo"/>
          <w:sz w:val="18"/>
          <w:szCs w:val="18"/>
        </w:rPr>
        <w:t>Prototyped 20+ end‑to‑end flows (</w:t>
      </w:r>
      <w:proofErr w:type="spellStart"/>
      <w:r>
        <w:rPr>
          <w:rFonts w:ascii="Cardo" w:eastAsia="Cardo" w:hAnsi="Cardo" w:cs="Cardo"/>
          <w:sz w:val="18"/>
          <w:szCs w:val="18"/>
        </w:rPr>
        <w:t>Figma</w:t>
      </w:r>
      <w:proofErr w:type="spellEnd"/>
      <w:r>
        <w:rPr>
          <w:rFonts w:ascii="Cardo" w:eastAsia="Cardo" w:hAnsi="Cardo" w:cs="Cardo"/>
          <w:sz w:val="18"/>
          <w:szCs w:val="18"/>
        </w:rPr>
        <w:t xml:space="preserve"> → Framer → light React snippets) simulating dynamic model outputs and streaming updates to expose latency, partial renders, and retry scenarios; used moderated testing to iterate on recovery and trust cues. </w:t>
      </w:r>
    </w:p>
    <w:p w14:paraId="14A46EFF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 xml:space="preserve">Defined motion specs and micro‑interactions for live preview and status updates; exported Lottie assets and documented timing/easing and reduced‑motion variants for accessible implementations. </w:t>
      </w:r>
    </w:p>
    <w:p w14:paraId="0342DF84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Delivered annotated handoffs (component props, JSON fixtures, acceptance criteria) and paired with engineers in sprint sessions to refine implementation feasibility, monitoring instrumentation, and performance budgets.</w:t>
      </w:r>
    </w:p>
    <w:p w14:paraId="37858B3E" w14:textId="77777777" w:rsidR="006B65CE" w:rsidRDefault="00735014">
      <w:pPr>
        <w:pStyle w:val="Heading2"/>
        <w:ind w:firstLine="240"/>
        <w:rPr>
          <w:sz w:val="22"/>
          <w:szCs w:val="22"/>
        </w:rPr>
      </w:pPr>
      <w:bookmarkStart w:id="2" w:name="_m3z145oxege2" w:colFirst="0" w:colLast="0"/>
      <w:bookmarkEnd w:id="2"/>
      <w:r>
        <w:rPr>
          <w:sz w:val="22"/>
          <w:szCs w:val="22"/>
        </w:rP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A02824B" wp14:editId="5D4D5D99">
                <wp:simplePos x="0" y="0"/>
                <wp:positionH relativeFrom="column">
                  <wp:posOffset>152400</wp:posOffset>
                </wp:positionH>
                <wp:positionV relativeFrom="paragraph">
                  <wp:posOffset>244100</wp:posOffset>
                </wp:positionV>
                <wp:extent cx="701040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244100</wp:posOffset>
                </wp:positionV>
                <wp:extent cx="70104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3B9D86" w14:textId="77777777" w:rsidR="006B65CE" w:rsidRDefault="00735014">
      <w:pPr>
        <w:widowControl/>
        <w:spacing w:line="192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 xml:space="preserve"> Pace University, New York  |</w:t>
      </w:r>
      <w:r>
        <w:rPr>
          <w:sz w:val="20"/>
          <w:szCs w:val="20"/>
        </w:rPr>
        <w:t xml:space="preserve"> </w:t>
      </w:r>
      <w:r>
        <w:rPr>
          <w:i/>
          <w:iCs/>
          <w:sz w:val="18"/>
          <w:szCs w:val="18"/>
        </w:rPr>
        <w:t xml:space="preserve">MS. In Human Centered Design           </w:t>
      </w:r>
      <w:r>
        <w:rPr>
          <w:i/>
          <w:iCs/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 xml:space="preserve">                                  </w:t>
      </w:r>
      <w:r>
        <w:rPr>
          <w:b/>
          <w:bCs/>
          <w:sz w:val="20"/>
          <w:szCs w:val="20"/>
        </w:rPr>
        <w:t xml:space="preserve">Sept 2024- Dec 2025 </w:t>
      </w:r>
    </w:p>
    <w:p w14:paraId="1F16D98D" w14:textId="77777777" w:rsidR="006B65CE" w:rsidRDefault="00735014">
      <w:pPr>
        <w:widowControl/>
        <w:spacing w:line="192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G.H. </w:t>
      </w:r>
      <w:proofErr w:type="spellStart"/>
      <w:r>
        <w:rPr>
          <w:b/>
          <w:bCs/>
          <w:sz w:val="20"/>
          <w:szCs w:val="20"/>
        </w:rPr>
        <w:t>Raisoni</w:t>
      </w:r>
      <w:proofErr w:type="spellEnd"/>
      <w:r>
        <w:rPr>
          <w:b/>
          <w:bCs/>
          <w:sz w:val="20"/>
          <w:szCs w:val="20"/>
        </w:rPr>
        <w:t xml:space="preserve"> College of Engineering | </w:t>
      </w:r>
      <w:r>
        <w:rPr>
          <w:i/>
          <w:iCs/>
          <w:sz w:val="18"/>
          <w:szCs w:val="18"/>
        </w:rPr>
        <w:t xml:space="preserve">Bachelor of Engineering in Computer Science </w:t>
      </w:r>
      <w:r>
        <w:rPr>
          <w:i/>
          <w:iCs/>
          <w:sz w:val="20"/>
          <w:szCs w:val="20"/>
        </w:rPr>
        <w:t xml:space="preserve">                                       </w:t>
      </w:r>
      <w:r>
        <w:rPr>
          <w:b/>
          <w:bCs/>
          <w:sz w:val="20"/>
          <w:szCs w:val="20"/>
        </w:rPr>
        <w:t>Sept 2020 – June 2024</w:t>
      </w:r>
    </w:p>
    <w:p w14:paraId="4AA4AEB8" w14:textId="77777777" w:rsidR="006B65CE" w:rsidRDefault="00735014">
      <w:pPr>
        <w:pStyle w:val="Heading2"/>
        <w:ind w:firstLine="240"/>
      </w:pPr>
      <w:bookmarkStart w:id="3" w:name="_micsmbnnwgi2" w:colFirst="0" w:colLast="0"/>
      <w:bookmarkEnd w:id="3"/>
      <w:r>
        <w:t>ACHIEVEMENTS &amp; PUBLICATIONS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7C0C9510" wp14:editId="09BF88E4">
                <wp:simplePos x="0" y="0"/>
                <wp:positionH relativeFrom="column">
                  <wp:posOffset>152400</wp:posOffset>
                </wp:positionH>
                <wp:positionV relativeFrom="paragraph">
                  <wp:posOffset>244100</wp:posOffset>
                </wp:positionV>
                <wp:extent cx="701040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244100</wp:posOffset>
                </wp:positionV>
                <wp:extent cx="70104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CFA109" w14:textId="77777777" w:rsidR="006B65CE" w:rsidRDefault="00735014">
      <w:pPr>
        <w:widowControl/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Research Papers:</w:t>
      </w:r>
      <w:r>
        <w:rPr>
          <w:sz w:val="20"/>
          <w:szCs w:val="20"/>
        </w:rPr>
        <w:t xml:space="preserve"> </w:t>
      </w:r>
    </w:p>
    <w:p w14:paraId="7A61A817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Design Meets Code: Real-Time Human - AI Co-Creation and Cognitive-Load-Aware Design Assistance, Accepted Poster -  HCI International Conference (HCII 2026) | Springer CCIS</w:t>
      </w:r>
    </w:p>
    <w:p w14:paraId="0F7A61AF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Impact of Colors in Designing, published in the International Journal of Engineering, Management and Humanities (IJEMH)</w:t>
      </w:r>
    </w:p>
    <w:p w14:paraId="65023CA1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User Interface, User Experience, and Layout, published in the International Journal for Multidisciplinary Research (IJFMR)</w:t>
      </w:r>
    </w:p>
    <w:p w14:paraId="21DCE653" w14:textId="77777777" w:rsidR="006B65CE" w:rsidRDefault="00735014">
      <w:pPr>
        <w:widowControl/>
        <w:numPr>
          <w:ilvl w:val="0"/>
          <w:numId w:val="1"/>
        </w:numPr>
        <w:spacing w:line="192" w:lineRule="auto"/>
        <w:rPr>
          <w:sz w:val="18"/>
          <w:szCs w:val="18"/>
        </w:rPr>
      </w:pPr>
      <w:r>
        <w:rPr>
          <w:sz w:val="18"/>
          <w:szCs w:val="18"/>
        </w:rPr>
        <w:t>Enhancing Patient Privacy in Electronic Medical Records, published in the International Journal of Science and Research (IJSR)</w:t>
      </w:r>
    </w:p>
    <w:p w14:paraId="327CBEF7" w14:textId="77777777" w:rsidR="006B65CE" w:rsidRDefault="00735014">
      <w:pPr>
        <w:widowControl/>
        <w:spacing w:line="19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Copyright:</w:t>
      </w:r>
      <w:r>
        <w:rPr>
          <w:sz w:val="20"/>
          <w:szCs w:val="20"/>
        </w:rPr>
        <w:t xml:space="preserve"> Earthquake Prediction using Quantum Support Vector Machines (QSVM) - January 2024</w:t>
      </w:r>
    </w:p>
    <w:sectPr w:rsidR="006B65CE">
      <w:type w:val="continuous"/>
      <w:pgSz w:w="12240" w:h="15840"/>
      <w:pgMar w:top="120" w:right="360" w:bottom="0" w:left="360" w:header="720" w:footer="720" w:gutter="0"/>
      <w:cols w:space="720" w:equalWidth="0">
        <w:col w:w="11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rdo">
    <w:charset w:val="00"/>
    <w:family w:val="auto"/>
    <w:pitch w:val="default"/>
    <w:embedRegular r:id="rId1" w:fontKey="{AAECCFAC-E56B-7346-BDD8-36FCCE9D1732}"/>
    <w:embedBold r:id="rId2" w:fontKey="{326219AE-7D35-174E-8DD8-AD7CC1EEA1EF}"/>
    <w:embedItalic r:id="rId3" w:fontKey="{56BAD616-29E3-424A-A0D1-A517211D061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272D8"/>
    <w:multiLevelType w:val="multilevel"/>
    <w:tmpl w:val="FFFFFFFF"/>
    <w:lvl w:ilvl="0">
      <w:numFmt w:val="bullet"/>
      <w:lvlText w:val="•"/>
      <w:lvlJc w:val="left"/>
      <w:pPr>
        <w:ind w:left="504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02" w:hanging="120"/>
      </w:pPr>
    </w:lvl>
    <w:lvl w:ilvl="2">
      <w:numFmt w:val="bullet"/>
      <w:lvlText w:val="•"/>
      <w:lvlJc w:val="left"/>
      <w:pPr>
        <w:ind w:left="2704" w:hanging="120"/>
      </w:pPr>
    </w:lvl>
    <w:lvl w:ilvl="3">
      <w:numFmt w:val="bullet"/>
      <w:lvlText w:val="•"/>
      <w:lvlJc w:val="left"/>
      <w:pPr>
        <w:ind w:left="3806" w:hanging="120"/>
      </w:pPr>
    </w:lvl>
    <w:lvl w:ilvl="4">
      <w:numFmt w:val="bullet"/>
      <w:lvlText w:val="•"/>
      <w:lvlJc w:val="left"/>
      <w:pPr>
        <w:ind w:left="4908" w:hanging="120"/>
      </w:pPr>
    </w:lvl>
    <w:lvl w:ilvl="5">
      <w:numFmt w:val="bullet"/>
      <w:lvlText w:val="•"/>
      <w:lvlJc w:val="left"/>
      <w:pPr>
        <w:ind w:left="6010" w:hanging="120"/>
      </w:pPr>
    </w:lvl>
    <w:lvl w:ilvl="6">
      <w:numFmt w:val="bullet"/>
      <w:lvlText w:val="•"/>
      <w:lvlJc w:val="left"/>
      <w:pPr>
        <w:ind w:left="7112" w:hanging="120"/>
      </w:pPr>
    </w:lvl>
    <w:lvl w:ilvl="7">
      <w:numFmt w:val="bullet"/>
      <w:lvlText w:val="•"/>
      <w:lvlJc w:val="left"/>
      <w:pPr>
        <w:ind w:left="8214" w:hanging="120"/>
      </w:pPr>
    </w:lvl>
    <w:lvl w:ilvl="8">
      <w:numFmt w:val="bullet"/>
      <w:lvlText w:val="•"/>
      <w:lvlJc w:val="left"/>
      <w:pPr>
        <w:ind w:left="9316" w:hanging="120"/>
      </w:pPr>
    </w:lvl>
  </w:abstractNum>
  <w:num w:numId="1" w16cid:durableId="76692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5CE"/>
    <w:rsid w:val="003A64D9"/>
    <w:rsid w:val="006B65CE"/>
    <w:rsid w:val="0073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B19E8"/>
  <w15:docId w15:val="{0F1EB64D-5269-F245-A9E8-64D402B3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5"/>
      <w:ind w:left="240"/>
      <w:jc w:val="both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15"/>
      <w:ind w:left="24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8"/>
      <w:ind w:right="1778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lguni-dekate-30343823b?utm_source=share&amp;utm_campaign=share_via&amp;utm_content=profile&amp;utm_medium=ios_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lgunidekate.framer.webs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falgunidekate08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%20falgunidekate08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Falguni Dekate</cp:lastModifiedBy>
  <cp:revision>2</cp:revision>
  <dcterms:created xsi:type="dcterms:W3CDTF">2026-05-09T18:24:00Z</dcterms:created>
  <dcterms:modified xsi:type="dcterms:W3CDTF">2026-05-09T18:24:00Z</dcterms:modified>
</cp:coreProperties>
</file>