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0"/>
        <w:rPr>
          <w:sz w:val="24"/>
        </w:rPr>
      </w:pPr>
    </w:p>
    <w:p>
      <w:pPr>
        <w:jc w:val="center"/>
        <w:spacing w:after="360" w:line="276" w:lineRule="auto"/>
      </w:pPr>
      <w:r>
        <w:rPr>
          <w:rFonts w:ascii="Times New Roman" w:hAnsi="Times New Roman" w:cs="Times New Roman"/>
          <w:sz w:val="32"/>
          <w:szCs w:val="32"/>
          <w:b/>
        </w:rPr>
        <w:t xml:space="preserve">SOCIAL INFLUENCE, CONTENT QUALITY, INFLUENCER EXPERTISE, AND THE MEDIATING ROLE OF TRUST: EXAMINING THE IMPACT OF INFLUENCER MARKETING ON GEN Z PURCHASE INTENTION</w:t>
      </w:r>
    </w:p>
    <w:p>
      <w:pPr>
        <w:jc w:val="center"/>
        <w:spacing w:after="280" w:line="240" w:lineRule="auto"/>
      </w:pPr>
      <w:r>
        <w:rPr>
          <w:rFonts w:ascii="Times New Roman" w:hAnsi="Times New Roman" w:cs="Times New Roman"/>
          <w:sz w:val="28"/>
          <w:szCs w:val="28"/>
          <w:b/>
          <w:i/>
        </w:rPr>
        <w:t xml:space="preserve">SYNOPSIS</w:t>
      </w:r>
    </w:p>
    <w:p>
      <w:pPr>
        <w:jc w:val="center"/>
        <w:spacing w:after="0" w:line="240" w:lineRule="auto"/>
      </w:pPr>
      <w:r>
        <w:rPr>
          <w:rFonts w:ascii="Times New Roman" w:hAnsi="Times New Roman" w:cs="Times New Roman"/>
          <w:sz w:val="28"/>
          <w:szCs w:val="28"/>
          <w:b/>
        </w:rPr>
        <w:t xml:space="preserve">SUBMITTED IN THE FULFILMENT</w:t>
      </w:r>
    </w:p>
    <w:p>
      <w:pPr>
        <w:jc w:val="center"/>
        <w:spacing w:after="0" w:line="240" w:lineRule="auto"/>
      </w:pPr>
      <w:r>
        <w:rPr>
          <w:rFonts w:ascii="Times New Roman" w:hAnsi="Times New Roman" w:cs="Times New Roman"/>
          <w:sz w:val="28"/>
          <w:szCs w:val="28"/>
          <w:b/>
        </w:rPr>
        <w:t xml:space="preserve">OF</w:t>
      </w:r>
    </w:p>
    <w:p>
      <w:pPr>
        <w:jc w:val="center"/>
        <w:spacing w:after="0" w:line="240" w:lineRule="auto"/>
      </w:pPr>
      <w:r>
        <w:rPr>
          <w:rFonts w:ascii="Times New Roman" w:hAnsi="Times New Roman" w:cs="Times New Roman"/>
          <w:sz w:val="28"/>
          <w:szCs w:val="28"/>
          <w:b/>
        </w:rPr>
        <w:t xml:space="preserve">THE DEGREE</w:t>
      </w:r>
    </w:p>
    <w:p>
      <w:pPr>
        <w:jc w:val="center"/>
        <w:spacing w:after="0" w:line="240" w:lineRule="auto"/>
      </w:pPr>
      <w:r>
        <w:rPr>
          <w:rFonts w:ascii="Times New Roman" w:hAnsi="Times New Roman" w:cs="Times New Roman"/>
          <w:sz w:val="28"/>
          <w:szCs w:val="28"/>
          <w:b/>
        </w:rPr>
        <w:t xml:space="preserve">OF</w:t>
      </w:r>
    </w:p>
    <w:p>
      <w:pPr>
        <w:jc w:val="center"/>
        <w:spacing w:after="0" w:line="240" w:lineRule="auto"/>
      </w:pPr>
      <w:r>
        <w:rPr>
          <w:rFonts w:ascii="Times New Roman" w:hAnsi="Times New Roman" w:cs="Times New Roman"/>
          <w:sz w:val="28"/>
          <w:szCs w:val="28"/>
          <w:b/>
        </w:rPr>
        <w:t xml:space="preserve">MASTER OF BUSINESS ADMINISTRATION</w:t>
      </w:r>
    </w:p>
    <w:p>
      <w:pPr>
        <w:jc w:val="center"/>
        <w:spacing w:after="260" w:line="240" w:lineRule="auto"/>
      </w:pPr>
      <w:r>
        <w:rPr>
          <w:rFonts w:ascii="Times New Roman" w:hAnsi="Times New Roman" w:cs="Times New Roman"/>
          <w:sz w:val="28"/>
          <w:szCs w:val="28"/>
          <w:b/>
        </w:rPr>
        <w:t xml:space="preserve">(MBA-EP)</w:t>
      </w:r>
    </w:p>
    <w:p>
      <w:pPr>
        <w:jc w:val="center"/>
        <w:spacing w:after="260" w:line="240" w:lineRule="auto"/>
      </w:pPr>
      <w:r>
        <w:rPr>
          <w:rFonts w:ascii="Times New Roman" w:hAnsi="Times New Roman" w:cs="Times New Roman"/>
          <w:sz w:val="22"/>
          <w:szCs w:val="22"/>
          <w:i/>
        </w:rPr>
        <w:t xml:space="preserve">[Insert Panjab University emblem here]</w:t>
      </w:r>
    </w:p>
    <w:p>
      <w:pPr>
        <w:jc w:val="center"/>
        <w:spacing w:after="0" w:line="240" w:lineRule="auto"/>
      </w:pPr>
      <w:r>
        <w:rPr>
          <w:rFonts w:ascii="Times New Roman" w:hAnsi="Times New Roman" w:cs="Times New Roman"/>
          <w:sz w:val="24"/>
          <w:szCs w:val="24"/>
          <w:b/>
        </w:rPr>
        <w:t xml:space="preserve">FOR THE BATCH 2025-27</w:t>
      </w:r>
    </w:p>
    <w:p>
      <w:pPr>
        <w:jc w:val="center"/>
        <w:spacing w:after="0" w:line="240" w:lineRule="auto"/>
      </w:pPr>
      <w:r>
        <w:rPr>
          <w:rFonts w:ascii="Times New Roman" w:hAnsi="Times New Roman" w:cs="Times New Roman"/>
          <w:sz w:val="24"/>
          <w:szCs w:val="24"/>
          <w:b/>
        </w:rPr>
        <w:t xml:space="preserve">UNDER</w:t>
      </w:r>
    </w:p>
    <w:p>
      <w:pPr>
        <w:jc w:val="center"/>
        <w:spacing w:after="0" w:line="240" w:lineRule="auto"/>
      </w:pPr>
      <w:r>
        <w:rPr>
          <w:rFonts w:ascii="Times New Roman" w:hAnsi="Times New Roman" w:cs="Times New Roman"/>
          <w:sz w:val="24"/>
          <w:szCs w:val="24"/>
          <w:b/>
        </w:rPr>
        <w:t xml:space="preserve">HONOURS SCHOOL SYSTEM</w:t>
      </w:r>
    </w:p>
    <w:p>
      <w:pPr>
        <w:jc w:val="center"/>
        <w:spacing w:after="0" w:line="240" w:lineRule="auto"/>
      </w:pPr>
      <w:r>
        <w:rPr>
          <w:rFonts w:ascii="Times New Roman" w:hAnsi="Times New Roman" w:cs="Times New Roman"/>
          <w:sz w:val="24"/>
          <w:szCs w:val="24"/>
          <w:b/>
        </w:rPr>
        <w:t xml:space="preserve">AT</w:t>
      </w:r>
    </w:p>
    <w:p>
      <w:pPr>
        <w:jc w:val="center"/>
        <w:spacing w:after="0" w:line="240" w:lineRule="auto"/>
      </w:pPr>
      <w:r>
        <w:rPr>
          <w:rFonts w:ascii="Times New Roman" w:hAnsi="Times New Roman" w:cs="Times New Roman"/>
          <w:sz w:val="24"/>
          <w:szCs w:val="24"/>
          <w:b/>
        </w:rPr>
        <w:t xml:space="preserve">UNIVERSITY BUSINESS SCHOOL</w:t>
      </w:r>
    </w:p>
    <w:p>
      <w:pPr>
        <w:jc w:val="center"/>
        <w:spacing w:after="0" w:line="240" w:lineRule="auto"/>
      </w:pPr>
      <w:r>
        <w:rPr>
          <w:rFonts w:ascii="Times New Roman" w:hAnsi="Times New Roman" w:cs="Times New Roman"/>
          <w:sz w:val="24"/>
          <w:szCs w:val="24"/>
          <w:b/>
        </w:rPr>
        <w:t xml:space="preserve">PANJAB UNIVERSITY</w:t>
      </w:r>
    </w:p>
    <w:p>
      <w:pPr>
        <w:jc w:val="center"/>
        <w:spacing w:after="360" w:line="240" w:lineRule="auto"/>
      </w:pPr>
      <w:r>
        <w:rPr>
          <w:rFonts w:ascii="Times New Roman" w:hAnsi="Times New Roman" w:cs="Times New Roman"/>
          <w:sz w:val="24"/>
          <w:szCs w:val="24"/>
          <w:b/>
        </w:rPr>
        <w:t xml:space="preserve">CHANDIGARH</w:t>
      </w:r>
    </w:p>
    <w:tbl>
      <w:tblPr>
        <w:tblW w:w="9026" w:type="dxa"/>
        <w:tblBorders>
          <w:top w:val="none" w:sz="6" w:space="0" w:color="000000"/>
          <w:left w:val="none" w:sz="6" w:space="0" w:color="000000"/>
          <w:bottom w:val="none" w:sz="6" w:space="0" w:color="000000"/>
          <w:right w:val="none" w:sz="6" w:space="0" w:color="000000"/>
          <w:insideH w:val="none" w:sz="6" w:space="0" w:color="000000"/>
          <w:insideV w:val="none" w:sz="6" w:space="0" w:color="000000"/>
        </w:tblBorders>
        <w:tblLayout w:type="fixed"/>
      </w:tblPr>
      <w:tblGrid>
        <w:gridCol w:w="4513"/>
        <w:gridCol w:w="4513"/>
      </w:tblGrid>
      <w:tr>
        <w:tc>
          <w:tcPr>
            <w:tcW w:w="4513" w:type="dxa"/>
            <w:vAlign w:val="center"/>
          </w:tcPr>
          <w:p>
            <w:pPr>
              <w:jc w:val="left"/>
              <w:spacing w:before="40" w:after="40" w:line="240" w:lineRule="auto"/>
            </w:pPr>
            <w:r>
              <w:rPr>
                <w:rFonts w:ascii="Times New Roman" w:hAnsi="Times New Roman" w:cs="Times New Roman"/>
                <w:sz w:val="24"/>
                <w:szCs w:val="24"/>
              </w:rPr>
              <w:t xml:space="preserve">SUBMITTED TO</w:t>
            </w:r>
          </w:p>
        </w:tc>
        <w:tc>
          <w:tcPr>
            <w:tcW w:w="4513" w:type="dxa"/>
            <w:vAlign w:val="center"/>
          </w:tcPr>
          <w:p>
            <w:pPr>
              <w:jc w:val="left"/>
              <w:spacing w:before="40" w:after="40" w:line="240" w:lineRule="auto"/>
            </w:pPr>
            <w:r>
              <w:rPr>
                <w:rFonts w:ascii="Times New Roman" w:hAnsi="Times New Roman" w:cs="Times New Roman"/>
                <w:sz w:val="24"/>
                <w:szCs w:val="24"/>
              </w:rPr>
              <w:t xml:space="preserve">SUBMITTED BY</w:t>
            </w:r>
          </w:p>
        </w:tc>
      </w:tr>
      <w:tr>
        <w:tc>
          <w:tcPr>
            <w:tcW w:w="4513" w:type="dxa"/>
            <w:vAlign w:val="center"/>
          </w:tcPr>
          <w:p>
            <w:pPr>
              <w:jc w:val="left"/>
              <w:spacing w:before="40" w:after="40" w:line="240" w:lineRule="auto"/>
            </w:pPr>
            <w:r>
              <w:rPr>
                <w:rFonts w:ascii="Times New Roman" w:hAnsi="Times New Roman" w:cs="Times New Roman"/>
                <w:sz w:val="24"/>
                <w:szCs w:val="24"/>
              </w:rPr>
              <w:t xml:space="preserve">DR. GUNMALA SURI</w:t>
              <w:br/>
              <w:t xml:space="preserve">PROFESSOR</w:t>
              <w:br/>
              <w:t xml:space="preserve">UNIVERSITY BUSINESS SCHOOL</w:t>
              <w:br/>
              <w:t xml:space="preserve">PANJAB UNIVERSITY</w:t>
              <w:br/>
              <w:t xml:space="preserve">CHANDIGARH</w:t>
            </w:r>
          </w:p>
        </w:tc>
        <w:tc>
          <w:tcPr>
            <w:tcW w:w="4513" w:type="dxa"/>
            <w:vAlign w:val="center"/>
          </w:tcPr>
          <w:p>
            <w:pPr>
              <w:jc w:val="left"/>
              <w:spacing w:before="40" w:after="40" w:line="240" w:lineRule="auto"/>
            </w:pPr>
            <w:r>
              <w:rPr>
                <w:rFonts w:ascii="Times New Roman" w:hAnsi="Times New Roman" w:cs="Times New Roman"/>
                <w:sz w:val="24"/>
                <w:szCs w:val="24"/>
              </w:rPr>
              <w:t xml:space="preserve">ARYAN AGGARWAL</w:t>
              <w:br/>
              <w:t xml:space="preserve">MBA-EP</w:t>
              <w:br/>
              <w:t xml:space="preserve">UNIVERSITY BUSINESS SCHOOL</w:t>
              <w:br/>
              <w:t xml:space="preserve">PANJAB UNIVERSITY</w:t>
              <w:br/>
              <w:t xml:space="preserve">CHANDIGARH</w:t>
            </w:r>
          </w:p>
        </w:tc>
      </w:tr>
    </w:tbl>
    <w:p>
      <w:pPr>
        <w:spacing w:after="0"/>
        <w:rPr>
          <w:sz w:val="12"/>
        </w:rPr>
      </w:pPr>
    </w:p>
    <w:p>
      <w:pPr>
        <w:spacing w:after="0"/>
      </w:pPr>
      <w:r>
        <w:br w:type="page"/>
      </w:r>
    </w:p>
    <w:p>
      <w:pPr>
        <w:jc w:val="center"/>
        <w:spacing w:after="320" w:line="240" w:lineRule="auto"/>
      </w:pPr>
      <w:r>
        <w:rPr>
          <w:rFonts w:ascii="Times New Roman" w:hAnsi="Times New Roman" w:cs="Times New Roman"/>
          <w:sz w:val="32"/>
          <w:szCs w:val="32"/>
          <w:b/>
        </w:rPr>
        <w:t xml:space="preserve">TABLE OF CONTENTS</w:t>
      </w:r>
    </w:p>
    <w:p>
      <w:pPr>
        <w:spacing w:after="0"/>
      </w:pPr>
      <w:r>
        <w:fldChar w:fldCharType="begin" w:dirty="true"/>
      </w:r>
      <w:r>
        <w:instrText xml:space="preserve"> TOC \o "1-3" \h \z \u </w:instrText>
      </w:r>
      <w:r>
        <w:fldChar w:fldCharType="separate"/>
      </w:r>
    </w:p>
    <w:p>
      <w:pPr>
        <w:pStyle w:val="TOCEntry"/>
        <w:tabs>
          <w:tab w:val="right" w:leader="dot" w:pos="9026"/>
        </w:tabs>
        <w:ind w:left="0" w:right="440"/>
        <w:spacing w:after="60" w:line="240" w:lineRule="auto"/>
      </w:pPr>
      <w:r>
        <w:rPr>
          <w:rFonts w:ascii="Times New Roman" w:hAnsi="Times New Roman" w:cs="Times New Roman"/>
          <w:sz w:val="24"/>
          <w:szCs w:val="24"/>
          <w:b/>
        </w:rPr>
        <w:t xml:space="preserve">1. INTRODUCTION</w:t>
      </w:r>
      <w:r>
        <w:tab/>
      </w:r>
      <w:r>
        <w:rPr>
          <w:rFonts w:ascii="Times New Roman" w:hAnsi="Times New Roman" w:cs="Times New Roman"/>
          <w:sz w:val="24"/>
          <w:szCs w:val="24"/>
        </w:rPr>
        <w:t xml:space="preserve">3</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1.1 Overview of the Study</w:t>
      </w:r>
      <w:r>
        <w:tab/>
      </w:r>
      <w:r>
        <w:rPr>
          <w:rFonts w:ascii="Times New Roman" w:hAnsi="Times New Roman" w:cs="Times New Roman"/>
          <w:sz w:val="24"/>
          <w:szCs w:val="24"/>
        </w:rPr>
        <w:t xml:space="preserve">3</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1.2 Research Gap and Statement of the Problem</w:t>
      </w:r>
      <w:r>
        <w:tab/>
      </w:r>
      <w:r>
        <w:rPr>
          <w:rFonts w:ascii="Times New Roman" w:hAnsi="Times New Roman" w:cs="Times New Roman"/>
          <w:sz w:val="24"/>
          <w:szCs w:val="24"/>
        </w:rPr>
        <w:t xml:space="preserve">5</w:t>
      </w:r>
    </w:p>
    <w:p>
      <w:pPr>
        <w:pStyle w:val="TOCEntry"/>
        <w:tabs>
          <w:tab w:val="right" w:leader="dot" w:pos="9026"/>
        </w:tabs>
        <w:ind w:left="440" w:right="440"/>
        <w:spacing w:after="60" w:line="240" w:lineRule="auto"/>
      </w:pPr>
      <w:r>
        <w:rPr>
          <w:rFonts w:ascii="Times New Roman" w:hAnsi="Times New Roman" w:cs="Times New Roman"/>
          <w:sz w:val="24"/>
          <w:szCs w:val="24"/>
        </w:rPr>
        <w:t xml:space="preserve">1.2.1 Consolidated Variable Gap</w:t>
      </w:r>
      <w:r>
        <w:tab/>
      </w:r>
      <w:r>
        <w:rPr>
          <w:rFonts w:ascii="Times New Roman" w:hAnsi="Times New Roman" w:cs="Times New Roman"/>
          <w:sz w:val="24"/>
          <w:szCs w:val="24"/>
        </w:rPr>
        <w:t xml:space="preserve">5</w:t>
      </w:r>
    </w:p>
    <w:p>
      <w:pPr>
        <w:pStyle w:val="TOCEntry"/>
        <w:tabs>
          <w:tab w:val="right" w:leader="dot" w:pos="9026"/>
        </w:tabs>
        <w:ind w:left="440" w:right="440"/>
        <w:spacing w:after="60" w:line="240" w:lineRule="auto"/>
      </w:pPr>
      <w:r>
        <w:rPr>
          <w:rFonts w:ascii="Times New Roman" w:hAnsi="Times New Roman" w:cs="Times New Roman"/>
          <w:sz w:val="24"/>
          <w:szCs w:val="24"/>
        </w:rPr>
        <w:t xml:space="preserve">1.2.2 Contradictory Evidence Gap</w:t>
      </w:r>
      <w:r>
        <w:tab/>
      </w:r>
      <w:r>
        <w:rPr>
          <w:rFonts w:ascii="Times New Roman" w:hAnsi="Times New Roman" w:cs="Times New Roman"/>
          <w:sz w:val="24"/>
          <w:szCs w:val="24"/>
        </w:rPr>
        <w:t xml:space="preserve">5</w:t>
      </w:r>
    </w:p>
    <w:p>
      <w:pPr>
        <w:pStyle w:val="TOCEntry"/>
        <w:tabs>
          <w:tab w:val="right" w:leader="dot" w:pos="9026"/>
        </w:tabs>
        <w:ind w:left="440" w:right="440"/>
        <w:spacing w:after="60" w:line="240" w:lineRule="auto"/>
      </w:pPr>
      <w:r>
        <w:rPr>
          <w:rFonts w:ascii="Times New Roman" w:hAnsi="Times New Roman" w:cs="Times New Roman"/>
          <w:sz w:val="24"/>
          <w:szCs w:val="24"/>
        </w:rPr>
        <w:t xml:space="preserve">1.2.3 Mediation Testing Gap</w:t>
      </w:r>
      <w:r>
        <w:tab/>
      </w:r>
      <w:r>
        <w:rPr>
          <w:rFonts w:ascii="Times New Roman" w:hAnsi="Times New Roman" w:cs="Times New Roman"/>
          <w:sz w:val="24"/>
          <w:szCs w:val="24"/>
        </w:rPr>
        <w:t xml:space="preserve">5</w:t>
      </w:r>
    </w:p>
    <w:p>
      <w:pPr>
        <w:pStyle w:val="TOCEntry"/>
        <w:tabs>
          <w:tab w:val="right" w:leader="dot" w:pos="9026"/>
        </w:tabs>
        <w:ind w:left="440" w:right="440"/>
        <w:spacing w:after="60" w:line="240" w:lineRule="auto"/>
      </w:pPr>
      <w:r>
        <w:rPr>
          <w:rFonts w:ascii="Times New Roman" w:hAnsi="Times New Roman" w:cs="Times New Roman"/>
          <w:sz w:val="24"/>
          <w:szCs w:val="24"/>
        </w:rPr>
        <w:t xml:space="preserve">1.2.4 Geographical Gap</w:t>
      </w:r>
      <w:r>
        <w:tab/>
      </w:r>
      <w:r>
        <w:rPr>
          <w:rFonts w:ascii="Times New Roman" w:hAnsi="Times New Roman" w:cs="Times New Roman"/>
          <w:sz w:val="24"/>
          <w:szCs w:val="24"/>
        </w:rPr>
        <w:t xml:space="preserve">6</w:t>
      </w:r>
    </w:p>
    <w:p>
      <w:pPr>
        <w:pStyle w:val="TOCEntry"/>
        <w:tabs>
          <w:tab w:val="right" w:leader="dot" w:pos="9026"/>
        </w:tabs>
        <w:ind w:left="440" w:right="440"/>
        <w:spacing w:after="60" w:line="240" w:lineRule="auto"/>
      </w:pPr>
      <w:r>
        <w:rPr>
          <w:rFonts w:ascii="Times New Roman" w:hAnsi="Times New Roman" w:cs="Times New Roman"/>
          <w:sz w:val="24"/>
          <w:szCs w:val="24"/>
        </w:rPr>
        <w:t xml:space="preserve">1.2.5 Demographic Gap</w:t>
      </w:r>
      <w:r>
        <w:tab/>
      </w:r>
      <w:r>
        <w:rPr>
          <w:rFonts w:ascii="Times New Roman" w:hAnsi="Times New Roman" w:cs="Times New Roman"/>
          <w:sz w:val="24"/>
          <w:szCs w:val="24"/>
        </w:rPr>
        <w:t xml:space="preserve">6</w:t>
      </w:r>
    </w:p>
    <w:p>
      <w:pPr>
        <w:pStyle w:val="TOCEntry"/>
        <w:tabs>
          <w:tab w:val="right" w:leader="dot" w:pos="9026"/>
        </w:tabs>
        <w:ind w:left="440" w:right="440"/>
        <w:spacing w:after="60" w:line="240" w:lineRule="auto"/>
      </w:pPr>
      <w:r>
        <w:rPr>
          <w:rFonts w:ascii="Times New Roman" w:hAnsi="Times New Roman" w:cs="Times New Roman"/>
          <w:sz w:val="24"/>
          <w:szCs w:val="24"/>
        </w:rPr>
        <w:t xml:space="preserve">1.2.6 Statement of the Problem</w:t>
      </w:r>
      <w:r>
        <w:tab/>
      </w:r>
      <w:r>
        <w:rPr>
          <w:rFonts w:ascii="Times New Roman" w:hAnsi="Times New Roman" w:cs="Times New Roman"/>
          <w:sz w:val="24"/>
          <w:szCs w:val="24"/>
        </w:rPr>
        <w:t xml:space="preserve">7</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1.3 Significance and Need for the Study</w:t>
      </w:r>
      <w:r>
        <w:tab/>
      </w:r>
      <w:r>
        <w:rPr>
          <w:rFonts w:ascii="Times New Roman" w:hAnsi="Times New Roman" w:cs="Times New Roman"/>
          <w:sz w:val="24"/>
          <w:szCs w:val="24"/>
        </w:rPr>
        <w:t xml:space="preserve">7</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1.4 Objectives of the Study</w:t>
      </w:r>
      <w:r>
        <w:tab/>
      </w:r>
      <w:r>
        <w:rPr>
          <w:rFonts w:ascii="Times New Roman" w:hAnsi="Times New Roman" w:cs="Times New Roman"/>
          <w:sz w:val="24"/>
          <w:szCs w:val="24"/>
        </w:rPr>
        <w:t xml:space="preserve">8</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1.5 Scope of the Study</w:t>
      </w:r>
      <w:r>
        <w:tab/>
      </w:r>
      <w:r>
        <w:rPr>
          <w:rFonts w:ascii="Times New Roman" w:hAnsi="Times New Roman" w:cs="Times New Roman"/>
          <w:sz w:val="24"/>
          <w:szCs w:val="24"/>
        </w:rPr>
        <w:t xml:space="preserve">8</w:t>
      </w:r>
    </w:p>
    <w:p>
      <w:pPr>
        <w:pStyle w:val="TOCEntry"/>
        <w:tabs>
          <w:tab w:val="right" w:leader="dot" w:pos="9026"/>
        </w:tabs>
        <w:ind w:left="0" w:right="440"/>
        <w:spacing w:after="60" w:line="240" w:lineRule="auto"/>
      </w:pPr>
      <w:r>
        <w:rPr>
          <w:rFonts w:ascii="Times New Roman" w:hAnsi="Times New Roman" w:cs="Times New Roman"/>
          <w:sz w:val="24"/>
          <w:szCs w:val="24"/>
          <w:b/>
        </w:rPr>
        <w:t xml:space="preserve">2. REVIEW OF LITERATURE</w:t>
      </w:r>
      <w:r>
        <w:tab/>
      </w:r>
      <w:r>
        <w:rPr>
          <w:rFonts w:ascii="Times New Roman" w:hAnsi="Times New Roman" w:cs="Times New Roman"/>
          <w:sz w:val="24"/>
          <w:szCs w:val="24"/>
        </w:rPr>
        <w:t xml:space="preserve">10</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2.1 Theoretical Framework</w:t>
      </w:r>
      <w:r>
        <w:tab/>
      </w:r>
      <w:r>
        <w:rPr>
          <w:rFonts w:ascii="Times New Roman" w:hAnsi="Times New Roman" w:cs="Times New Roman"/>
          <w:sz w:val="24"/>
          <w:szCs w:val="24"/>
        </w:rPr>
        <w:t xml:space="preserve">10</w:t>
      </w:r>
    </w:p>
    <w:p>
      <w:pPr>
        <w:pStyle w:val="TOCEntry"/>
        <w:tabs>
          <w:tab w:val="right" w:leader="dot" w:pos="9026"/>
        </w:tabs>
        <w:ind w:left="440" w:right="440"/>
        <w:spacing w:after="60" w:line="240" w:lineRule="auto"/>
      </w:pPr>
      <w:r>
        <w:rPr>
          <w:rFonts w:ascii="Times New Roman" w:hAnsi="Times New Roman" w:cs="Times New Roman"/>
          <w:sz w:val="24"/>
          <w:szCs w:val="24"/>
        </w:rPr>
        <w:t xml:space="preserve">2.1.1 Elaboration Likelihood Model</w:t>
      </w:r>
      <w:r>
        <w:tab/>
      </w:r>
      <w:r>
        <w:rPr>
          <w:rFonts w:ascii="Times New Roman" w:hAnsi="Times New Roman" w:cs="Times New Roman"/>
          <w:sz w:val="24"/>
          <w:szCs w:val="24"/>
        </w:rPr>
        <w:t xml:space="preserve">10</w:t>
      </w:r>
    </w:p>
    <w:p>
      <w:pPr>
        <w:pStyle w:val="TOCEntry"/>
        <w:tabs>
          <w:tab w:val="right" w:leader="dot" w:pos="9026"/>
        </w:tabs>
        <w:ind w:left="440" w:right="440"/>
        <w:spacing w:after="60" w:line="240" w:lineRule="auto"/>
      </w:pPr>
      <w:r>
        <w:rPr>
          <w:rFonts w:ascii="Times New Roman" w:hAnsi="Times New Roman" w:cs="Times New Roman"/>
          <w:sz w:val="24"/>
          <w:szCs w:val="24"/>
        </w:rPr>
        <w:t xml:space="preserve">2.1.2 Source Credibility Theory</w:t>
      </w:r>
      <w:r>
        <w:tab/>
      </w:r>
      <w:r>
        <w:rPr>
          <w:rFonts w:ascii="Times New Roman" w:hAnsi="Times New Roman" w:cs="Times New Roman"/>
          <w:sz w:val="24"/>
          <w:szCs w:val="24"/>
        </w:rPr>
        <w:t xml:space="preserve">10</w:t>
      </w:r>
    </w:p>
    <w:p>
      <w:pPr>
        <w:pStyle w:val="TOCEntry"/>
        <w:tabs>
          <w:tab w:val="right" w:leader="dot" w:pos="9026"/>
        </w:tabs>
        <w:ind w:left="440" w:right="440"/>
        <w:spacing w:after="60" w:line="240" w:lineRule="auto"/>
      </w:pPr>
      <w:r>
        <w:rPr>
          <w:rFonts w:ascii="Times New Roman" w:hAnsi="Times New Roman" w:cs="Times New Roman"/>
          <w:sz w:val="24"/>
          <w:szCs w:val="24"/>
        </w:rPr>
        <w:t xml:space="preserve">2.1.3 Social Influence Theory</w:t>
      </w:r>
      <w:r>
        <w:tab/>
      </w:r>
      <w:r>
        <w:rPr>
          <w:rFonts w:ascii="Times New Roman" w:hAnsi="Times New Roman" w:cs="Times New Roman"/>
          <w:sz w:val="24"/>
          <w:szCs w:val="24"/>
        </w:rPr>
        <w:t xml:space="preserve">11</w:t>
      </w:r>
    </w:p>
    <w:p>
      <w:pPr>
        <w:pStyle w:val="TOCEntry"/>
        <w:tabs>
          <w:tab w:val="right" w:leader="dot" w:pos="9026"/>
        </w:tabs>
        <w:ind w:left="440" w:right="440"/>
        <w:spacing w:after="60" w:line="240" w:lineRule="auto"/>
      </w:pPr>
      <w:r>
        <w:rPr>
          <w:rFonts w:ascii="Times New Roman" w:hAnsi="Times New Roman" w:cs="Times New Roman"/>
          <w:sz w:val="24"/>
          <w:szCs w:val="24"/>
        </w:rPr>
        <w:t xml:space="preserve">2.1.4 Integration of the Three Theories</w:t>
      </w:r>
      <w:r>
        <w:tab/>
      </w:r>
      <w:r>
        <w:rPr>
          <w:rFonts w:ascii="Times New Roman" w:hAnsi="Times New Roman" w:cs="Times New Roman"/>
          <w:sz w:val="24"/>
          <w:szCs w:val="24"/>
        </w:rPr>
        <w:t xml:space="preserve">11</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2.2 Variable-wise and Author-wise Review</w:t>
      </w:r>
      <w:r>
        <w:tab/>
      </w:r>
      <w:r>
        <w:rPr>
          <w:rFonts w:ascii="Times New Roman" w:hAnsi="Times New Roman" w:cs="Times New Roman"/>
          <w:sz w:val="24"/>
          <w:szCs w:val="24"/>
        </w:rPr>
        <w:t xml:space="preserve">12</w:t>
      </w:r>
    </w:p>
    <w:p>
      <w:pPr>
        <w:pStyle w:val="TOCEntry"/>
        <w:tabs>
          <w:tab w:val="right" w:leader="dot" w:pos="9026"/>
        </w:tabs>
        <w:ind w:left="440" w:right="440"/>
        <w:spacing w:after="60" w:line="240" w:lineRule="auto"/>
      </w:pPr>
      <w:r>
        <w:rPr>
          <w:rFonts w:ascii="Times New Roman" w:hAnsi="Times New Roman" w:cs="Times New Roman"/>
          <w:sz w:val="24"/>
          <w:szCs w:val="24"/>
        </w:rPr>
        <w:t xml:space="preserve">2.2.1 Gen Z Purchase Intention</w:t>
      </w:r>
      <w:r>
        <w:tab/>
      </w:r>
      <w:r>
        <w:rPr>
          <w:rFonts w:ascii="Times New Roman" w:hAnsi="Times New Roman" w:cs="Times New Roman"/>
          <w:sz w:val="24"/>
          <w:szCs w:val="24"/>
        </w:rPr>
        <w:t xml:space="preserve">12</w:t>
      </w:r>
    </w:p>
    <w:p>
      <w:pPr>
        <w:pStyle w:val="TOCEntry"/>
        <w:tabs>
          <w:tab w:val="right" w:leader="dot" w:pos="9026"/>
        </w:tabs>
        <w:ind w:left="440" w:right="440"/>
        <w:spacing w:after="60" w:line="240" w:lineRule="auto"/>
      </w:pPr>
      <w:r>
        <w:rPr>
          <w:rFonts w:ascii="Times New Roman" w:hAnsi="Times New Roman" w:cs="Times New Roman"/>
          <w:sz w:val="24"/>
          <w:szCs w:val="24"/>
        </w:rPr>
        <w:t xml:space="preserve">2.2.2 Social Influence and Gen Z Purchase Intention</w:t>
      </w:r>
      <w:r>
        <w:tab/>
      </w:r>
      <w:r>
        <w:rPr>
          <w:rFonts w:ascii="Times New Roman" w:hAnsi="Times New Roman" w:cs="Times New Roman"/>
          <w:sz w:val="24"/>
          <w:szCs w:val="24"/>
        </w:rPr>
        <w:t xml:space="preserve">12</w:t>
      </w:r>
    </w:p>
    <w:p>
      <w:pPr>
        <w:pStyle w:val="TOCEntry"/>
        <w:tabs>
          <w:tab w:val="right" w:leader="dot" w:pos="9026"/>
        </w:tabs>
        <w:ind w:left="440" w:right="440"/>
        <w:spacing w:after="60" w:line="240" w:lineRule="auto"/>
      </w:pPr>
      <w:r>
        <w:rPr>
          <w:rFonts w:ascii="Times New Roman" w:hAnsi="Times New Roman" w:cs="Times New Roman"/>
          <w:sz w:val="24"/>
          <w:szCs w:val="24"/>
        </w:rPr>
        <w:t xml:space="preserve">2.2.3 Content Quality and Trust in Influencers</w:t>
      </w:r>
      <w:r>
        <w:tab/>
      </w:r>
      <w:r>
        <w:rPr>
          <w:rFonts w:ascii="Times New Roman" w:hAnsi="Times New Roman" w:cs="Times New Roman"/>
          <w:sz w:val="24"/>
          <w:szCs w:val="24"/>
        </w:rPr>
        <w:t xml:space="preserve">15</w:t>
      </w:r>
    </w:p>
    <w:p>
      <w:pPr>
        <w:pStyle w:val="TOCEntry"/>
        <w:tabs>
          <w:tab w:val="right" w:leader="dot" w:pos="9026"/>
        </w:tabs>
        <w:ind w:left="440" w:right="440"/>
        <w:spacing w:after="60" w:line="240" w:lineRule="auto"/>
      </w:pPr>
      <w:r>
        <w:rPr>
          <w:rFonts w:ascii="Times New Roman" w:hAnsi="Times New Roman" w:cs="Times New Roman"/>
          <w:sz w:val="24"/>
          <w:szCs w:val="24"/>
        </w:rPr>
        <w:t xml:space="preserve">2.2.4 Influencer Expertise and Trust in Influencers</w:t>
      </w:r>
      <w:r>
        <w:tab/>
      </w:r>
      <w:r>
        <w:rPr>
          <w:rFonts w:ascii="Times New Roman" w:hAnsi="Times New Roman" w:cs="Times New Roman"/>
          <w:sz w:val="24"/>
          <w:szCs w:val="24"/>
        </w:rPr>
        <w:t xml:space="preserve">17</w:t>
      </w:r>
    </w:p>
    <w:p>
      <w:pPr>
        <w:pStyle w:val="TOCEntry"/>
        <w:tabs>
          <w:tab w:val="right" w:leader="dot" w:pos="9026"/>
        </w:tabs>
        <w:ind w:left="440" w:right="440"/>
        <w:spacing w:after="60" w:line="240" w:lineRule="auto"/>
      </w:pPr>
      <w:r>
        <w:rPr>
          <w:rFonts w:ascii="Times New Roman" w:hAnsi="Times New Roman" w:cs="Times New Roman"/>
          <w:sz w:val="24"/>
          <w:szCs w:val="24"/>
        </w:rPr>
        <w:t xml:space="preserve">2.2.5 Trust in Influencers and Gen Z Purchase Intention</w:t>
      </w:r>
      <w:r>
        <w:tab/>
      </w:r>
      <w:r>
        <w:rPr>
          <w:rFonts w:ascii="Times New Roman" w:hAnsi="Times New Roman" w:cs="Times New Roman"/>
          <w:sz w:val="24"/>
          <w:szCs w:val="24"/>
        </w:rPr>
        <w:t xml:space="preserve">19</w:t>
      </w:r>
    </w:p>
    <w:p>
      <w:pPr>
        <w:pStyle w:val="TOCEntry"/>
        <w:tabs>
          <w:tab w:val="right" w:leader="dot" w:pos="9026"/>
        </w:tabs>
        <w:ind w:left="440" w:right="440"/>
        <w:spacing w:after="60" w:line="240" w:lineRule="auto"/>
      </w:pPr>
      <w:r>
        <w:rPr>
          <w:rFonts w:ascii="Times New Roman" w:hAnsi="Times New Roman" w:cs="Times New Roman"/>
          <w:sz w:val="24"/>
          <w:szCs w:val="24"/>
        </w:rPr>
        <w:t xml:space="preserve">2.2.6 The Mediating Role of Trust in Influencers</w:t>
      </w:r>
      <w:r>
        <w:tab/>
      </w:r>
      <w:r>
        <w:rPr>
          <w:rFonts w:ascii="Times New Roman" w:hAnsi="Times New Roman" w:cs="Times New Roman"/>
          <w:sz w:val="24"/>
          <w:szCs w:val="24"/>
        </w:rPr>
        <w:t xml:space="preserve">21</w:t>
      </w:r>
    </w:p>
    <w:p>
      <w:pPr>
        <w:pStyle w:val="TOCEntry"/>
        <w:tabs>
          <w:tab w:val="right" w:leader="dot" w:pos="9026"/>
        </w:tabs>
        <w:ind w:left="440" w:right="440"/>
        <w:spacing w:after="60" w:line="240" w:lineRule="auto"/>
      </w:pPr>
      <w:r>
        <w:rPr>
          <w:rFonts w:ascii="Times New Roman" w:hAnsi="Times New Roman" w:cs="Times New Roman"/>
          <w:sz w:val="24"/>
          <w:szCs w:val="24"/>
        </w:rPr>
        <w:t xml:space="preserve">2.2.7 Summary of Reviewed Studies</w:t>
      </w:r>
      <w:r>
        <w:tab/>
      </w:r>
      <w:r>
        <w:rPr>
          <w:rFonts w:ascii="Times New Roman" w:hAnsi="Times New Roman" w:cs="Times New Roman"/>
          <w:sz w:val="24"/>
          <w:szCs w:val="24"/>
        </w:rPr>
        <w:t xml:space="preserve">22</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2.3 Hypotheses of the Study</w:t>
      </w:r>
      <w:r>
        <w:tab/>
      </w:r>
      <w:r>
        <w:rPr>
          <w:rFonts w:ascii="Times New Roman" w:hAnsi="Times New Roman" w:cs="Times New Roman"/>
          <w:sz w:val="24"/>
          <w:szCs w:val="24"/>
        </w:rPr>
        <w:t xml:space="preserve">23</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2.4 Proposed Conceptual Model</w:t>
      </w:r>
      <w:r>
        <w:tab/>
      </w:r>
      <w:r>
        <w:rPr>
          <w:rFonts w:ascii="Times New Roman" w:hAnsi="Times New Roman" w:cs="Times New Roman"/>
          <w:sz w:val="24"/>
          <w:szCs w:val="24"/>
        </w:rPr>
        <w:t xml:space="preserve">23</w:t>
      </w:r>
    </w:p>
    <w:p>
      <w:pPr>
        <w:pStyle w:val="TOCEntry"/>
        <w:tabs>
          <w:tab w:val="right" w:leader="dot" w:pos="9026"/>
        </w:tabs>
        <w:ind w:left="0" w:right="440"/>
        <w:spacing w:after="60" w:line="240" w:lineRule="auto"/>
      </w:pPr>
      <w:r>
        <w:rPr>
          <w:rFonts w:ascii="Times New Roman" w:hAnsi="Times New Roman" w:cs="Times New Roman"/>
          <w:sz w:val="24"/>
          <w:szCs w:val="24"/>
          <w:b/>
        </w:rPr>
        <w:t xml:space="preserve">3. RESEARCH METHODOLOGY</w:t>
      </w:r>
      <w:r>
        <w:tab/>
      </w:r>
      <w:r>
        <w:rPr>
          <w:rFonts w:ascii="Times New Roman" w:hAnsi="Times New Roman" w:cs="Times New Roman"/>
          <w:sz w:val="24"/>
          <w:szCs w:val="24"/>
        </w:rPr>
        <w:t xml:space="preserve">25</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3.1 Research Approach</w:t>
      </w:r>
      <w:r>
        <w:tab/>
      </w:r>
      <w:r>
        <w:rPr>
          <w:rFonts w:ascii="Times New Roman" w:hAnsi="Times New Roman" w:cs="Times New Roman"/>
          <w:sz w:val="24"/>
          <w:szCs w:val="24"/>
        </w:rPr>
        <w:t xml:space="preserve">25</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3.2 Research Design</w:t>
      </w:r>
      <w:r>
        <w:tab/>
      </w:r>
      <w:r>
        <w:rPr>
          <w:rFonts w:ascii="Times New Roman" w:hAnsi="Times New Roman" w:cs="Times New Roman"/>
          <w:sz w:val="24"/>
          <w:szCs w:val="24"/>
        </w:rPr>
        <w:t xml:space="preserve">25</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3.3 Target Population</w:t>
      </w:r>
      <w:r>
        <w:tab/>
      </w:r>
      <w:r>
        <w:rPr>
          <w:rFonts w:ascii="Times New Roman" w:hAnsi="Times New Roman" w:cs="Times New Roman"/>
          <w:sz w:val="24"/>
          <w:szCs w:val="24"/>
        </w:rPr>
        <w:t xml:space="preserve">26</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3.4 Sampling Technique</w:t>
      </w:r>
      <w:r>
        <w:tab/>
      </w:r>
      <w:r>
        <w:rPr>
          <w:rFonts w:ascii="Times New Roman" w:hAnsi="Times New Roman" w:cs="Times New Roman"/>
          <w:sz w:val="24"/>
          <w:szCs w:val="24"/>
        </w:rPr>
        <w:t xml:space="preserve">26</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3.5 Sample Size</w:t>
      </w:r>
      <w:r>
        <w:tab/>
      </w:r>
      <w:r>
        <w:rPr>
          <w:rFonts w:ascii="Times New Roman" w:hAnsi="Times New Roman" w:cs="Times New Roman"/>
          <w:sz w:val="24"/>
          <w:szCs w:val="24"/>
        </w:rPr>
        <w:t xml:space="preserve">27</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3.6 Data Collection Procedure</w:t>
      </w:r>
      <w:r>
        <w:tab/>
      </w:r>
      <w:r>
        <w:rPr>
          <w:rFonts w:ascii="Times New Roman" w:hAnsi="Times New Roman" w:cs="Times New Roman"/>
          <w:sz w:val="24"/>
          <w:szCs w:val="24"/>
        </w:rPr>
        <w:t xml:space="preserve">28</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3.7 Measurement and Instrument</w:t>
      </w:r>
      <w:r>
        <w:tab/>
      </w:r>
      <w:r>
        <w:rPr>
          <w:rFonts w:ascii="Times New Roman" w:hAnsi="Times New Roman" w:cs="Times New Roman"/>
          <w:sz w:val="24"/>
          <w:szCs w:val="24"/>
        </w:rPr>
        <w:t xml:space="preserve">29</w:t>
      </w:r>
    </w:p>
    <w:p>
      <w:pPr>
        <w:pStyle w:val="TOCEntry"/>
        <w:tabs>
          <w:tab w:val="right" w:leader="dot" w:pos="9026"/>
        </w:tabs>
        <w:ind w:left="0" w:right="440"/>
        <w:spacing w:after="60" w:line="240" w:lineRule="auto"/>
      </w:pPr>
      <w:r>
        <w:rPr>
          <w:rFonts w:ascii="Times New Roman" w:hAnsi="Times New Roman" w:cs="Times New Roman"/>
          <w:sz w:val="24"/>
          <w:szCs w:val="24"/>
          <w:b/>
        </w:rPr>
        <w:t xml:space="preserve">4. ANALYSIS</w:t>
      </w:r>
      <w:r>
        <w:tab/>
      </w:r>
      <w:r>
        <w:rPr>
          <w:rFonts w:ascii="Times New Roman" w:hAnsi="Times New Roman" w:cs="Times New Roman"/>
          <w:sz w:val="24"/>
          <w:szCs w:val="24"/>
        </w:rPr>
        <w:t xml:space="preserve">31</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4.1 Data Screening and Preliminary Checks</w:t>
      </w:r>
      <w:r>
        <w:tab/>
      </w:r>
      <w:r>
        <w:rPr>
          <w:rFonts w:ascii="Times New Roman" w:hAnsi="Times New Roman" w:cs="Times New Roman"/>
          <w:sz w:val="24"/>
          <w:szCs w:val="24"/>
        </w:rPr>
        <w:t xml:space="preserve">31</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4.2 Descriptive and Demographic Analysis</w:t>
      </w:r>
      <w:r>
        <w:tab/>
      </w:r>
      <w:r>
        <w:rPr>
          <w:rFonts w:ascii="Times New Roman" w:hAnsi="Times New Roman" w:cs="Times New Roman"/>
          <w:sz w:val="24"/>
          <w:szCs w:val="24"/>
        </w:rPr>
        <w:t xml:space="preserve">31</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4.3 Reliability and Validity Assessment</w:t>
      </w:r>
      <w:r>
        <w:tab/>
      </w:r>
      <w:r>
        <w:rPr>
          <w:rFonts w:ascii="Times New Roman" w:hAnsi="Times New Roman" w:cs="Times New Roman"/>
          <w:sz w:val="24"/>
          <w:szCs w:val="24"/>
        </w:rPr>
        <w:t xml:space="preserve">31</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4.4 Correlation Analysis</w:t>
      </w:r>
      <w:r>
        <w:tab/>
      </w:r>
      <w:r>
        <w:rPr>
          <w:rFonts w:ascii="Times New Roman" w:hAnsi="Times New Roman" w:cs="Times New Roman"/>
          <w:sz w:val="24"/>
          <w:szCs w:val="24"/>
        </w:rPr>
        <w:t xml:space="preserve">32</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4.5 Regression Analysis for Direct Effects</w:t>
      </w:r>
      <w:r>
        <w:tab/>
      </w:r>
      <w:r>
        <w:rPr>
          <w:rFonts w:ascii="Times New Roman" w:hAnsi="Times New Roman" w:cs="Times New Roman"/>
          <w:sz w:val="24"/>
          <w:szCs w:val="24"/>
        </w:rPr>
        <w:t xml:space="preserve">32</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4.6 Testing the Mediating Effect of Trust</w:t>
      </w:r>
      <w:r>
        <w:tab/>
      </w:r>
      <w:r>
        <w:rPr>
          <w:rFonts w:ascii="Times New Roman" w:hAnsi="Times New Roman" w:cs="Times New Roman"/>
          <w:sz w:val="24"/>
          <w:szCs w:val="24"/>
        </w:rPr>
        <w:t xml:space="preserve">32</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4.7 Objective-wise Analytical Plan</w:t>
      </w:r>
      <w:r>
        <w:tab/>
      </w:r>
      <w:r>
        <w:rPr>
          <w:rFonts w:ascii="Times New Roman" w:hAnsi="Times New Roman" w:cs="Times New Roman"/>
          <w:sz w:val="24"/>
          <w:szCs w:val="24"/>
        </w:rPr>
        <w:t xml:space="preserve">33</w:t>
      </w:r>
    </w:p>
    <w:p>
      <w:pPr>
        <w:pStyle w:val="TOCEntry"/>
        <w:tabs>
          <w:tab w:val="right" w:leader="dot" w:pos="9026"/>
        </w:tabs>
        <w:ind w:left="0" w:right="440"/>
        <w:spacing w:after="60" w:line="240" w:lineRule="auto"/>
      </w:pPr>
      <w:r>
        <w:rPr>
          <w:rFonts w:ascii="Times New Roman" w:hAnsi="Times New Roman" w:cs="Times New Roman"/>
          <w:sz w:val="24"/>
          <w:szCs w:val="24"/>
          <w:b/>
        </w:rPr>
        <w:t xml:space="preserve">5. CONCLUSION, FINDINGS AND IMPLICATIONS</w:t>
      </w:r>
      <w:r>
        <w:tab/>
      </w:r>
      <w:r>
        <w:rPr>
          <w:rFonts w:ascii="Times New Roman" w:hAnsi="Times New Roman" w:cs="Times New Roman"/>
          <w:sz w:val="24"/>
          <w:szCs w:val="24"/>
        </w:rPr>
        <w:t xml:space="preserve">35</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5.1 Expected Findings</w:t>
      </w:r>
      <w:r>
        <w:tab/>
      </w:r>
      <w:r>
        <w:rPr>
          <w:rFonts w:ascii="Times New Roman" w:hAnsi="Times New Roman" w:cs="Times New Roman"/>
          <w:sz w:val="24"/>
          <w:szCs w:val="24"/>
        </w:rPr>
        <w:t xml:space="preserve">35</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5.2 Expected Contribution and Implications</w:t>
      </w:r>
      <w:r>
        <w:tab/>
      </w:r>
      <w:r>
        <w:rPr>
          <w:rFonts w:ascii="Times New Roman" w:hAnsi="Times New Roman" w:cs="Times New Roman"/>
          <w:sz w:val="24"/>
          <w:szCs w:val="24"/>
        </w:rPr>
        <w:t xml:space="preserve">36</w:t>
      </w:r>
    </w:p>
    <w:p>
      <w:pPr>
        <w:pStyle w:val="TOCEntry"/>
        <w:tabs>
          <w:tab w:val="right" w:leader="dot" w:pos="9026"/>
        </w:tabs>
        <w:ind w:left="440" w:right="440"/>
        <w:spacing w:after="60" w:line="240" w:lineRule="auto"/>
      </w:pPr>
      <w:r>
        <w:rPr>
          <w:rFonts w:ascii="Times New Roman" w:hAnsi="Times New Roman" w:cs="Times New Roman"/>
          <w:sz w:val="24"/>
          <w:szCs w:val="24"/>
        </w:rPr>
        <w:t xml:space="preserve">5.2.1 Theoretical Implications</w:t>
      </w:r>
      <w:r>
        <w:tab/>
      </w:r>
      <w:r>
        <w:rPr>
          <w:rFonts w:ascii="Times New Roman" w:hAnsi="Times New Roman" w:cs="Times New Roman"/>
          <w:sz w:val="24"/>
          <w:szCs w:val="24"/>
        </w:rPr>
        <w:t xml:space="preserve">36</w:t>
      </w:r>
    </w:p>
    <w:p>
      <w:pPr>
        <w:pStyle w:val="TOCEntry"/>
        <w:tabs>
          <w:tab w:val="right" w:leader="dot" w:pos="9026"/>
        </w:tabs>
        <w:ind w:left="440" w:right="440"/>
        <w:spacing w:after="60" w:line="240" w:lineRule="auto"/>
      </w:pPr>
      <w:r>
        <w:rPr>
          <w:rFonts w:ascii="Times New Roman" w:hAnsi="Times New Roman" w:cs="Times New Roman"/>
          <w:sz w:val="24"/>
          <w:szCs w:val="24"/>
        </w:rPr>
        <w:t xml:space="preserve">5.2.2 Managerial Implications</w:t>
      </w:r>
      <w:r>
        <w:tab/>
      </w:r>
      <w:r>
        <w:rPr>
          <w:rFonts w:ascii="Times New Roman" w:hAnsi="Times New Roman" w:cs="Times New Roman"/>
          <w:sz w:val="24"/>
          <w:szCs w:val="24"/>
        </w:rPr>
        <w:t xml:space="preserve">36</w:t>
      </w:r>
    </w:p>
    <w:p>
      <w:pPr>
        <w:pStyle w:val="TOCEntry"/>
        <w:tabs>
          <w:tab w:val="right" w:leader="dot" w:pos="9026"/>
        </w:tabs>
        <w:ind w:left="440" w:right="440"/>
        <w:spacing w:after="60" w:line="240" w:lineRule="auto"/>
      </w:pPr>
      <w:r>
        <w:rPr>
          <w:rFonts w:ascii="Times New Roman" w:hAnsi="Times New Roman" w:cs="Times New Roman"/>
          <w:sz w:val="24"/>
          <w:szCs w:val="24"/>
        </w:rPr>
        <w:t xml:space="preserve">5.2.3 Implications for Influencers and Policy</w:t>
      </w:r>
      <w:r>
        <w:tab/>
      </w:r>
      <w:r>
        <w:rPr>
          <w:rFonts w:ascii="Times New Roman" w:hAnsi="Times New Roman" w:cs="Times New Roman"/>
          <w:sz w:val="24"/>
          <w:szCs w:val="24"/>
        </w:rPr>
        <w:t xml:space="preserve">36</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5.3 Limitations of the Study</w:t>
      </w:r>
      <w:r>
        <w:tab/>
      </w:r>
      <w:r>
        <w:rPr>
          <w:rFonts w:ascii="Times New Roman" w:hAnsi="Times New Roman" w:cs="Times New Roman"/>
          <w:sz w:val="24"/>
          <w:szCs w:val="24"/>
        </w:rPr>
        <w:t xml:space="preserve">37</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5.4 Proposed Chapter Scheme</w:t>
      </w:r>
      <w:r>
        <w:tab/>
      </w:r>
      <w:r>
        <w:rPr>
          <w:rFonts w:ascii="Times New Roman" w:hAnsi="Times New Roman" w:cs="Times New Roman"/>
          <w:sz w:val="24"/>
          <w:szCs w:val="24"/>
        </w:rPr>
        <w:t xml:space="preserve">37</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5.5 Conclusion</w:t>
      </w:r>
      <w:r>
        <w:tab/>
      </w:r>
      <w:r>
        <w:rPr>
          <w:rFonts w:ascii="Times New Roman" w:hAnsi="Times New Roman" w:cs="Times New Roman"/>
          <w:sz w:val="24"/>
          <w:szCs w:val="24"/>
        </w:rPr>
        <w:t xml:space="preserve">38</w:t>
      </w:r>
    </w:p>
    <w:p>
      <w:pPr>
        <w:pStyle w:val="TOCEntry"/>
        <w:tabs>
          <w:tab w:val="right" w:leader="dot" w:pos="9026"/>
        </w:tabs>
        <w:ind w:left="0" w:right="440"/>
        <w:spacing w:after="60" w:line="240" w:lineRule="auto"/>
      </w:pPr>
      <w:r>
        <w:rPr>
          <w:rFonts w:ascii="Times New Roman" w:hAnsi="Times New Roman" w:cs="Times New Roman"/>
          <w:sz w:val="24"/>
          <w:szCs w:val="24"/>
          <w:b/>
        </w:rPr>
        <w:t xml:space="preserve">REFERENCES</w:t>
      </w:r>
      <w:r>
        <w:tab/>
      </w:r>
      <w:r>
        <w:rPr>
          <w:rFonts w:ascii="Times New Roman" w:hAnsi="Times New Roman" w:cs="Times New Roman"/>
          <w:sz w:val="24"/>
          <w:szCs w:val="24"/>
        </w:rPr>
        <w:t xml:space="preserve">39</w:t>
      </w:r>
    </w:p>
    <w:p>
      <w:pPr>
        <w:pStyle w:val="TOCEntry"/>
        <w:tabs>
          <w:tab w:val="right" w:leader="dot" w:pos="9026"/>
        </w:tabs>
        <w:ind w:left="0" w:right="440"/>
        <w:spacing w:after="60" w:line="240" w:lineRule="auto"/>
      </w:pPr>
      <w:r>
        <w:rPr>
          <w:rFonts w:ascii="Times New Roman" w:hAnsi="Times New Roman" w:cs="Times New Roman"/>
          <w:sz w:val="24"/>
          <w:szCs w:val="24"/>
          <w:b/>
        </w:rPr>
        <w:t xml:space="preserve">ANNEXURE: DRAFT QUESTIONNAIRE</w:t>
      </w:r>
      <w:r>
        <w:tab/>
      </w:r>
      <w:r>
        <w:rPr>
          <w:rFonts w:ascii="Times New Roman" w:hAnsi="Times New Roman" w:cs="Times New Roman"/>
          <w:sz w:val="24"/>
          <w:szCs w:val="24"/>
        </w:rPr>
        <w:t xml:space="preserve">44</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Screening Questions</w:t>
      </w:r>
      <w:r>
        <w:tab/>
      </w:r>
      <w:r>
        <w:rPr>
          <w:rFonts w:ascii="Times New Roman" w:hAnsi="Times New Roman" w:cs="Times New Roman"/>
          <w:sz w:val="24"/>
          <w:szCs w:val="24"/>
        </w:rPr>
        <w:t xml:space="preserve">44</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Section A: Demographic and Usage Profile</w:t>
      </w:r>
      <w:r>
        <w:tab/>
      </w:r>
      <w:r>
        <w:rPr>
          <w:rFonts w:ascii="Times New Roman" w:hAnsi="Times New Roman" w:cs="Times New Roman"/>
          <w:sz w:val="24"/>
          <w:szCs w:val="24"/>
        </w:rPr>
        <w:t xml:space="preserve">44</w:t>
      </w:r>
    </w:p>
    <w:p>
      <w:pPr>
        <w:pStyle w:val="TOCEntry"/>
        <w:tabs>
          <w:tab w:val="right" w:leader="dot" w:pos="9026"/>
        </w:tabs>
        <w:ind w:left="220" w:right="440"/>
        <w:spacing w:after="60" w:line="240" w:lineRule="auto"/>
      </w:pPr>
      <w:r>
        <w:rPr>
          <w:rFonts w:ascii="Times New Roman" w:hAnsi="Times New Roman" w:cs="Times New Roman"/>
          <w:sz w:val="24"/>
          <w:szCs w:val="24"/>
        </w:rPr>
        <w:t xml:space="preserve">Section B: Construct Items</w:t>
      </w:r>
      <w:r>
        <w:tab/>
      </w:r>
      <w:r>
        <w:rPr>
          <w:rFonts w:ascii="Times New Roman" w:hAnsi="Times New Roman" w:cs="Times New Roman"/>
          <w:sz w:val="24"/>
          <w:szCs w:val="24"/>
        </w:rPr>
        <w:t xml:space="preserve">45</w:t>
      </w:r>
    </w:p>
    <w:p>
      <w:pPr>
        <w:spacing w:after="0"/>
      </w:pPr>
      <w:r>
        <w:fldChar w:fldCharType="end"/>
      </w:r>
    </w:p>
    <w:p>
      <w:pPr>
        <w:pStyle w:val="Heading1"/>
        <w:pageBreakBefore/>
        <w:outlineLvl w:val="0"/>
      </w:pPr>
      <w:r>
        <w:rPr>
          <w:rFonts w:ascii="Times New Roman" w:hAnsi="Times New Roman" w:cs="Times New Roman"/>
          <w:sz w:val="32"/>
          <w:szCs w:val="32"/>
          <w:b/>
        </w:rPr>
        <w:t xml:space="preserve">1. INTRODUCTION</w:t>
      </w:r>
    </w:p>
    <w:p>
      <w:pPr>
        <w:pStyle w:val="Heading2"/>
        <w:outlineLvl w:val="1"/>
      </w:pPr>
      <w:r>
        <w:rPr>
          <w:rFonts w:ascii="Times New Roman" w:hAnsi="Times New Roman" w:cs="Times New Roman"/>
          <w:sz w:val="28"/>
          <w:szCs w:val="28"/>
          <w:b/>
        </w:rPr>
        <w:t xml:space="preserve">1.1 Overview of the Study</w:t>
      </w:r>
    </w:p>
    <w:p>
      <w:pPr>
        <w:pStyle w:val="BodyTextX"/>
        <w:jc w:val="both"/>
        <w:spacing w:after="120" w:line="360" w:lineRule="auto"/>
      </w:pPr>
      <w:r>
        <w:rPr>
          <w:rFonts w:ascii="Times New Roman" w:hAnsi="Times New Roman" w:cs="Times New Roman"/>
          <w:sz w:val="24"/>
          <w:szCs w:val="24"/>
        </w:rPr>
        <w:t xml:space="preserve">Advertising has shifted from brands speaking directly to consumers towards individuals speaking on behalf of brands. Social media influencers are people who have built sizeable followings by posting regularly about a defined area of interest, and who earn income by endorsing products within that area (Lou &amp; Yuan, 2019). They are not traditional celebrities. Their appeal rests on the sense that they are ordinary users whose opinions can be treated as those of a knowledgeable peer rather than a paid spokesperson (Jimenez-Castillo &amp; Sanchez-Fernandez, 2019). Marketing budgets have followed this shift. Bhattacharya (2026) reports that India has 467 million social media users with a median age of 28 years, and that the Indian influencer marketing sector is expected to grow at a compound annual rate of 25 per cent to reach approximately Rs. 2,200 crore by 2025. Spending on this scale raises a practical question. Which parts of an influencer's activity actually move a young consumer towards a purchase?</w:t>
      </w:r>
    </w:p>
    <w:p>
      <w:pPr>
        <w:pStyle w:val="BodyTextX"/>
        <w:jc w:val="both"/>
        <w:spacing w:after="120" w:line="360" w:lineRule="auto"/>
      </w:pPr>
      <w:r>
        <w:rPr>
          <w:rFonts w:ascii="Times New Roman" w:hAnsi="Times New Roman" w:cs="Times New Roman"/>
          <w:sz w:val="24"/>
          <w:szCs w:val="24"/>
        </w:rPr>
        <w:t xml:space="preserve">Generation Z is the cohort where this question matters most. Gen Z refers to individuals born between 1997 and 2012 (Dimock, 2019). This is the first cohort to have reached adulthood with smartphones and social platforms already in place, and its members treat social media as a primary source of product information rather than a supplementary one. Silitonga (2026) observes that Gen Z is more willing to trust recommendations from individuals such as influencers than messages from corporate advertising. Sunilkumar et al. (2026) found that Gen Z consumers in the United Arab Emirates fashion market relied on influencer cues rather than brand-controlled communication when forming purchase decisions. At the same time Gen Z is not uncritical. Muliani et al. (2026) found that influencer marketing had no significant effect on purchase decisions on TikTok Shop, while peer-generated content and platform trust did, and attributed this to Gen Z evaluating sponsored content sceptically. Bhattacharya (2026) reached a similar conclusion from the opposite direction, reporting that Indian Gen Z followers inferred credibility from the influencer's stable persona rather than from the quality of any individual post.</w:t>
      </w:r>
    </w:p>
    <w:p>
      <w:pPr>
        <w:pStyle w:val="BodyTextX"/>
        <w:jc w:val="both"/>
        <w:spacing w:after="120" w:line="360" w:lineRule="auto"/>
      </w:pPr>
      <w:r>
        <w:rPr>
          <w:rFonts w:ascii="Times New Roman" w:hAnsi="Times New Roman" w:cs="Times New Roman"/>
          <w:sz w:val="24"/>
          <w:szCs w:val="24"/>
        </w:rPr>
        <w:t xml:space="preserve">This study examines three drivers of influencer effectiveness that the literature has developed separately. The first is </w:t>
      </w:r>
      <w:r>
        <w:rPr>
          <w:rFonts w:ascii="Times New Roman" w:hAnsi="Times New Roman" w:cs="Times New Roman"/>
          <w:sz w:val="24"/>
          <w:szCs w:val="24"/>
          <w:b/>
        </w:rPr>
        <w:t xml:space="preserve">social influence</w:t>
      </w:r>
      <w:r>
        <w:rPr>
          <w:rFonts w:ascii="Times New Roman" w:hAnsi="Times New Roman" w:cs="Times New Roman"/>
          <w:sz w:val="24"/>
          <w:szCs w:val="24"/>
        </w:rPr>
        <w:t xml:space="preserve">, the pressure a consumer feels from the opinions and behaviour of the social groups around them. Kelman (1958) distinguished three processes through which such pressure changes attitudes, namely compliance, identification and internalisation, and this remains the standard framework for the construct. Liang et al. (2024) modelled social influence as a second-order construct combining face-to-face friendship, electronic word-of-mouth readership and social media viewership, and found it explained 48 per cent of the variance in brand purchase intention. The second driver is </w:t>
      </w:r>
      <w:r>
        <w:rPr>
          <w:rFonts w:ascii="Times New Roman" w:hAnsi="Times New Roman" w:cs="Times New Roman"/>
          <w:sz w:val="24"/>
          <w:szCs w:val="24"/>
          <w:b/>
        </w:rPr>
        <w:t xml:space="preserve">content quality</w:t>
      </w:r>
      <w:r>
        <w:rPr>
          <w:rFonts w:ascii="Times New Roman" w:hAnsi="Times New Roman" w:cs="Times New Roman"/>
          <w:sz w:val="24"/>
          <w:szCs w:val="24"/>
        </w:rPr>
        <w:t xml:space="preserve">, the consumer's assessment of how useful, accurate, relevant and well made an influencer's posts are. Perdana et al. (2023) treated content quality as a determinant of both trust and purchase intention. The third is </w:t>
      </w:r>
      <w:r>
        <w:rPr>
          <w:rFonts w:ascii="Times New Roman" w:hAnsi="Times New Roman" w:cs="Times New Roman"/>
          <w:sz w:val="24"/>
          <w:szCs w:val="24"/>
          <w:b/>
        </w:rPr>
        <w:t xml:space="preserve">influencer expertise</w:t>
      </w:r>
      <w:r>
        <w:rPr>
          <w:rFonts w:ascii="Times New Roman" w:hAnsi="Times New Roman" w:cs="Times New Roman"/>
          <w:sz w:val="24"/>
          <w:szCs w:val="24"/>
        </w:rPr>
        <w:t xml:space="preserve">, the extent to which a follower believes the influencer possesses knowledge and competence in the product category being discussed. Expertise is one of the two original dimensions of source credibility identified by Hovland et al. (1953) and was operationalised for endorsement research by Ohanian (1990).</w:t>
      </w:r>
    </w:p>
    <w:p>
      <w:pPr>
        <w:pStyle w:val="BodyTextX"/>
        <w:jc w:val="both"/>
        <w:spacing w:after="120" w:line="360" w:lineRule="auto"/>
      </w:pPr>
      <w:r>
        <w:rPr>
          <w:rFonts w:ascii="Times New Roman" w:hAnsi="Times New Roman" w:cs="Times New Roman"/>
          <w:sz w:val="24"/>
          <w:szCs w:val="24"/>
        </w:rPr>
        <w:t xml:space="preserve">Trust links these drivers to behaviour. Lou and Yuan (2019) found that followers' trust in influencers' branded posts had a stronger effect on purchase intention than any content or source variable in their model, at a path coefficient of .41. Muthulingam and Amirtharaj (2026) reported a comparable direct effect of trust on purchase intention among Indian Gen Z consumers at .426. Silitonga (2026) found that influencer credibility had no significant direct effect on Gen Z purchase decisions at all, and worked only through brand trust, a case of full mediation. Read together, these results suggest that trust is not simply one more predictor sitting alongside the others. It is the mechanism through which evaluations of an influencer become willingness to buy.</w:t>
      </w:r>
    </w:p>
    <w:p>
      <w:pPr>
        <w:pStyle w:val="BodyTextX"/>
        <w:jc w:val="both"/>
        <w:spacing w:after="120" w:line="360" w:lineRule="auto"/>
      </w:pPr>
      <w:r>
        <w:rPr>
          <w:rFonts w:ascii="Times New Roman" w:hAnsi="Times New Roman" w:cs="Times New Roman"/>
          <w:sz w:val="24"/>
          <w:szCs w:val="24"/>
        </w:rPr>
        <w:t xml:space="preserve">The present study builds on that logic but does not apply it uniformly to all three antecedents, because the theoretical route each one takes is different. Content quality and influencer expertise are both judgements about the influencer as an information source, so their effect on behaviour should run through trust. Social influence works differently. It operates through normative pressure and the desire to align with a reference group, which does not require the consumer to first form a trusting evaluation of any particular influencer (Kelman, 1958). Social influence is therefore modelled as a direct effect on purchase intention. The study tests this differentiated structure among Gen Z consumers aged 18 to 28 years in the Tricity region of Chandigarh, Mohali and Panchkula, and in Punjab.</w:t>
      </w:r>
    </w:p>
    <w:p>
      <w:pPr>
        <w:pStyle w:val="Heading2"/>
        <w:outlineLvl w:val="1"/>
      </w:pPr>
      <w:r>
        <w:rPr>
          <w:rFonts w:ascii="Times New Roman" w:hAnsi="Times New Roman" w:cs="Times New Roman"/>
          <w:sz w:val="28"/>
          <w:szCs w:val="28"/>
          <w:b/>
        </w:rPr>
        <w:t xml:space="preserve">1.2 Research Gap and Statement of the Problem</w:t>
      </w:r>
    </w:p>
    <w:p>
      <w:pPr>
        <w:pStyle w:val="BodyTextX"/>
        <w:jc w:val="both"/>
        <w:spacing w:after="120" w:line="360" w:lineRule="auto"/>
      </w:pPr>
      <w:r>
        <w:rPr>
          <w:rFonts w:ascii="Times New Roman" w:hAnsi="Times New Roman" w:cs="Times New Roman"/>
          <w:sz w:val="24"/>
          <w:szCs w:val="24"/>
        </w:rPr>
        <w:t xml:space="preserve">A review of twenty recent empirical studies on influencer marketing and purchase intention points to five gaps that this study addresses.</w:t>
      </w:r>
    </w:p>
    <w:p>
      <w:pPr>
        <w:pStyle w:val="Heading3"/>
        <w:outlineLvl w:val="2"/>
      </w:pPr>
      <w:r>
        <w:rPr>
          <w:rFonts w:ascii="Times New Roman" w:hAnsi="Times New Roman" w:cs="Times New Roman"/>
          <w:sz w:val="26"/>
          <w:szCs w:val="26"/>
          <w:b/>
        </w:rPr>
        <w:t xml:space="preserve">1.2.1 Consolidated Variable Gap</w:t>
      </w:r>
    </w:p>
    <w:p>
      <w:pPr>
        <w:pStyle w:val="BodyTextX"/>
        <w:jc w:val="both"/>
        <w:spacing w:after="120" w:line="360" w:lineRule="auto"/>
      </w:pPr>
      <w:r>
        <w:rPr>
          <w:rFonts w:ascii="Times New Roman" w:hAnsi="Times New Roman" w:cs="Times New Roman"/>
          <w:sz w:val="24"/>
          <w:szCs w:val="24"/>
        </w:rPr>
        <w:t xml:space="preserve">Social influence, content quality and influencer expertise have not been examined together within a single model. Each appears in isolation or in partial combinations. Social influence is measured as a construct in only three of the twenty studies reviewed, namely Liang et al. (2024), Sharipudin et al. (2023) and Gunawan et al. (2023). Sunilkumar et al. (2026) and Muliani et al. (2026) both name Social Influence Theory as their framework yet never measure social influence, inferring it instead from other constructs. Hartanto (2025) approaches it indirectly through subjective norms. Where content quality and expertise appear together, as in Bhattacharya (2026) and Muthulingam and Amirtharaj (2026), social influence is absent. No study in the set combines all three antecedents with trust as the connecting mechanism.</w:t>
      </w:r>
    </w:p>
    <w:p>
      <w:pPr>
        <w:pStyle w:val="Heading3"/>
        <w:outlineLvl w:val="2"/>
      </w:pPr>
      <w:r>
        <w:rPr>
          <w:rFonts w:ascii="Times New Roman" w:hAnsi="Times New Roman" w:cs="Times New Roman"/>
          <w:sz w:val="26"/>
          <w:szCs w:val="26"/>
          <w:b/>
        </w:rPr>
        <w:t xml:space="preserve">1.2.2 Contradictory Evidence Gap</w:t>
      </w:r>
    </w:p>
    <w:p>
      <w:pPr>
        <w:pStyle w:val="BodyTextX"/>
        <w:jc w:val="both"/>
        <w:spacing w:after="120" w:line="360" w:lineRule="auto"/>
      </w:pPr>
      <w:r>
        <w:rPr>
          <w:rFonts w:ascii="Times New Roman" w:hAnsi="Times New Roman" w:cs="Times New Roman"/>
          <w:sz w:val="24"/>
          <w:szCs w:val="24"/>
        </w:rPr>
        <w:t xml:space="preserve">The evidence on how content quality and expertise reach the consumer is not merely thin. It is contradictory. Muthulingam and Amirtharaj (2026) found influencer expertise to be the strongest antecedent of trust in their Indian Gen Z sample, at .565. Lou and Yuan (2019) tested the same path on a United States sample and found it non-significant at -.014, concluding that followers may assume expertise by default so that it does no independent persuasive work. The picture for content quality is equally split. Perdana et al. (2023) found content quality predicted trust at .347, whereas Bhattacharya (2026) found perceived content quality did not predict recommendation credibility at all, at .07 and non-significant, and Lou and Kim (2019) found informative value did not predict parasocial relationship strength. Al-Mu'ani et al. (2023) found information quality to be the weakest of their three predictors of brand attitude at .13. Two paths central to this study therefore have published results pointing in opposite directions, which makes re-examination on a defined population worthwhile rather than repetitive.</w:t>
      </w:r>
    </w:p>
    <w:p>
      <w:pPr>
        <w:pStyle w:val="Heading3"/>
        <w:outlineLvl w:val="2"/>
      </w:pPr>
      <w:r>
        <w:rPr>
          <w:rFonts w:ascii="Times New Roman" w:hAnsi="Times New Roman" w:cs="Times New Roman"/>
          <w:sz w:val="26"/>
          <w:szCs w:val="26"/>
          <w:b/>
        </w:rPr>
        <w:t xml:space="preserve">1.2.3 Mediation Testing Gap</w:t>
      </w:r>
    </w:p>
    <w:p>
      <w:pPr>
        <w:pStyle w:val="BodyTextX"/>
        <w:jc w:val="both"/>
        <w:spacing w:after="120" w:line="360" w:lineRule="auto"/>
      </w:pPr>
      <w:r>
        <w:rPr>
          <w:rFonts w:ascii="Times New Roman" w:hAnsi="Times New Roman" w:cs="Times New Roman"/>
          <w:sz w:val="24"/>
          <w:szCs w:val="24"/>
        </w:rPr>
        <w:t xml:space="preserve">Trust is widely described as a mediator and rarely tested as one. Of the twenty studies reviewed, only Muthulingam and Amirtharaj (2026), Silitonga (2026) and Nafees et al. (2021) report a formal test of an indirect effect involving trust, and each is limited. Muthulingam and Amirtharaj (2026) test trust as a mediator for expertise only, routing content quality through a separate perception construct instead. Silitonga (2026) demonstrates full mediation but uses brand trust as the mediator and purchase decision as the outcome, not trust in the influencer and purchase intention. Nafees et al. (2021) mediate to brand attitude rather than to any behavioural intention. Perdana et al. (2023) names the mediating role of trust in its title, yet reports only direct and total effects and never estimates an indirect effect, a bootstrap coefficient or a significance test for mediation. The specific claim that trust carries the effect of content quality and expertise onto Gen Z purchase intention therefore remains asserted rather than demonstrated.</w:t>
      </w:r>
    </w:p>
    <w:p>
      <w:pPr>
        <w:pStyle w:val="Heading3"/>
        <w:outlineLvl w:val="2"/>
      </w:pPr>
      <w:r>
        <w:rPr>
          <w:rFonts w:ascii="Times New Roman" w:hAnsi="Times New Roman" w:cs="Times New Roman"/>
          <w:sz w:val="26"/>
          <w:szCs w:val="26"/>
          <w:b/>
        </w:rPr>
        <w:t xml:space="preserve">1.2.4 Geographical Gap</w:t>
      </w:r>
    </w:p>
    <w:p>
      <w:pPr>
        <w:pStyle w:val="BodyTextX"/>
        <w:jc w:val="both"/>
        <w:spacing w:after="120" w:line="360" w:lineRule="auto"/>
      </w:pPr>
      <w:r>
        <w:rPr>
          <w:rFonts w:ascii="Times New Roman" w:hAnsi="Times New Roman" w:cs="Times New Roman"/>
          <w:sz w:val="24"/>
          <w:szCs w:val="24"/>
        </w:rPr>
        <w:t xml:space="preserve">Indian evidence exists but is concentrated in a small number of large urban centres. Muthulingam and Amirtharaj (2026) restrict their sample to Tier-1 metropolitan cities and identify wider geographical coverage as a limitation of their own work. Bhattacharya (2026) draws a national but non-random Indian sample dominated by students and cautions that the findings should not be generalised across Indian Gen Z without care. Chavare et al. (2025) collect data from a single institution in urban India. Dharma et al. (2024) include only ten Indian respondents in a four-country sample. Silitonga (2026) argues directly that broad national samples limit contextual depth and that localised studies yield more precise insight. No study in the set examines the Tricity region or Punjab, a market with high smartphone penetration, a large student and early-career population, and consumption patterns that differ from those of Delhi, Mumbai or Chennai.</w:t>
      </w:r>
    </w:p>
    <w:p>
      <w:pPr>
        <w:pStyle w:val="Heading3"/>
        <w:outlineLvl w:val="2"/>
      </w:pPr>
      <w:r>
        <w:rPr>
          <w:rFonts w:ascii="Times New Roman" w:hAnsi="Times New Roman" w:cs="Times New Roman"/>
          <w:sz w:val="26"/>
          <w:szCs w:val="26"/>
          <w:b/>
        </w:rPr>
        <w:t xml:space="preserve">1.2.5 Demographic Gap</w:t>
      </w:r>
    </w:p>
    <w:p>
      <w:pPr>
        <w:pStyle w:val="BodyTextX"/>
        <w:jc w:val="both"/>
        <w:spacing w:after="120" w:line="360" w:lineRule="auto"/>
      </w:pPr>
      <w:r>
        <w:rPr>
          <w:rFonts w:ascii="Times New Roman" w:hAnsi="Times New Roman" w:cs="Times New Roman"/>
          <w:sz w:val="24"/>
          <w:szCs w:val="24"/>
        </w:rPr>
        <w:t xml:space="preserve">The studies that established trust as the central mechanism were not conducted on Gen Z. Lou and Yuan (2019), the source of the strongest trust-to-purchase-intention finding in the literature, used a United States sample with a mean age of 33 years. Nafees et al. (2021) sampled respondents aged 16 to 78 with a mean of 38 years. Liang et al. (2024) sampled respondents aged 21 to 40 and never mention generation at all. Perdana et al. (2023) included respondents up to 38 years. Jimenez-Castillo and Sanchez-Fernandez (2019) sampled a mixed Spanish population. The trust mechanism has therefore been validated mainly on cohorts older than Gen Z, even though Gen Z is the group most exposed to influencer marketing and, on the evidence of Muliani et al. (2026) and Bhattacharya (2026), the group most sceptical of it.</w:t>
      </w:r>
    </w:p>
    <w:p>
      <w:pPr>
        <w:pStyle w:val="Heading3"/>
        <w:outlineLvl w:val="2"/>
      </w:pPr>
      <w:r>
        <w:rPr>
          <w:rFonts w:ascii="Times New Roman" w:hAnsi="Times New Roman" w:cs="Times New Roman"/>
          <w:sz w:val="26"/>
          <w:szCs w:val="26"/>
          <w:b/>
        </w:rPr>
        <w:t xml:space="preserve">1.2.6 Statement of the Problem</w:t>
      </w:r>
    </w:p>
    <w:p>
      <w:pPr>
        <w:pStyle w:val="BodyTextX"/>
        <w:jc w:val="both"/>
        <w:spacing w:after="120" w:line="360" w:lineRule="auto"/>
      </w:pPr>
      <w:r>
        <w:rPr>
          <w:rFonts w:ascii="Times New Roman" w:hAnsi="Times New Roman" w:cs="Times New Roman"/>
          <w:sz w:val="24"/>
          <w:szCs w:val="24"/>
        </w:rPr>
        <w:t xml:space="preserve">Brands allocate growing budgets to influencer marketing without clear evidence about which influencer attributes convert into purchase intention among Gen Z consumers, or about the psychological route each attribute takes. Existing work treats social influence, content quality and influencer expertise as separate research streams, reports conflicting results on the paths that connect them to trust, and asserts rather than tests the mediating role of trust. Evidence from India is confined to metropolitan samples, and the foundational trust findings come from older cohorts. The problem this study addresses is therefore the absence of an integrated and empirically tested account of how social influence, content quality and influencer expertise shape Gen Z purchase intention, and of whether trust in influencers mediates the second and third of these relationships while the first operates directly, in the specific setting of the Tricity region and Punjab.</w:t>
      </w:r>
    </w:p>
    <w:p>
      <w:pPr>
        <w:pStyle w:val="Heading2"/>
        <w:outlineLvl w:val="1"/>
      </w:pPr>
      <w:r>
        <w:rPr>
          <w:rFonts w:ascii="Times New Roman" w:hAnsi="Times New Roman" w:cs="Times New Roman"/>
          <w:sz w:val="28"/>
          <w:szCs w:val="28"/>
          <w:b/>
        </w:rPr>
        <w:t xml:space="preserve">1.3 Significance and Need for the Study</w:t>
      </w:r>
    </w:p>
    <w:p>
      <w:pPr>
        <w:pStyle w:val="BodyTextX"/>
        <w:jc w:val="both"/>
        <w:spacing w:after="120" w:line="360" w:lineRule="auto"/>
      </w:pPr>
      <w:r>
        <w:rPr>
          <w:rFonts w:ascii="Times New Roman" w:hAnsi="Times New Roman" w:cs="Times New Roman"/>
          <w:sz w:val="24"/>
          <w:szCs w:val="24"/>
        </w:rPr>
        <w:t xml:space="preserve">The study contributes to theory by separating two routes that the literature usually merges. Most models treat every influencer attribute as flowing through one mechanism, whether that is credibility, parasocial interaction or engagement. By specifying trust as the mediator for source-related judgements while allowing social influence to act directly, the study tests whether normative pressure and information evaluation are distinct in their effect on behaviour. It also brings Social Influence Theory (Kelman, 1958) into the influencer marketing literature as a measured construct rather than a cited label, which addresses a weakness in Sunilkumar et al. (2026) and Muliani et al. (2026).</w:t>
      </w:r>
    </w:p>
    <w:p>
      <w:pPr>
        <w:pStyle w:val="BodyTextX"/>
        <w:jc w:val="both"/>
        <w:spacing w:after="120" w:line="360" w:lineRule="auto"/>
      </w:pPr>
      <w:r>
        <w:rPr>
          <w:rFonts w:ascii="Times New Roman" w:hAnsi="Times New Roman" w:cs="Times New Roman"/>
          <w:sz w:val="24"/>
          <w:szCs w:val="24"/>
        </w:rPr>
        <w:t xml:space="preserve">For practitioners the study offers guidance on where to spend. If trust mediates the effect of content quality and expertise, then investment in well-researched and accurate content, and in influencers with demonstrable category knowledge, pays off only to the extent that it builds trust. Sponsorship of an influencer with a large following but weak subject knowledge would then be poor value. If social influence acts directly, campaigns that generate visible community adoption, reviews and peer conversation would work through a separate channel and should be budgeted separately. The finding of Muliani et al. (2026) that user-generated content outperformed influencer marketing on TikTok Shop makes this distinction commercially significant.</w:t>
      </w:r>
    </w:p>
    <w:p>
      <w:pPr>
        <w:pStyle w:val="BodyTextX"/>
        <w:jc w:val="both"/>
        <w:spacing w:after="120" w:line="360" w:lineRule="auto"/>
      </w:pPr>
      <w:r>
        <w:rPr>
          <w:rFonts w:ascii="Times New Roman" w:hAnsi="Times New Roman" w:cs="Times New Roman"/>
          <w:sz w:val="24"/>
          <w:szCs w:val="24"/>
        </w:rPr>
        <w:t xml:space="preserve">The regional focus meets a practical need. Chandigarh, Mohali, Panchkula and the wider Punjab market contain a large concentration of students and young professionals, high social media penetration and a growing set of regional direct-to-consumer brands that use local influencers. Silitonga (2026) shows that localised samples produce more usable insight than broad national ones for this type of question. Regional marketers currently have no published evidence base for this market and rely on findings from metropolitan or overseas samples.</w:t>
      </w:r>
    </w:p>
    <w:p>
      <w:pPr>
        <w:pStyle w:val="BodyTextX"/>
        <w:jc w:val="both"/>
        <w:spacing w:after="120" w:line="360" w:lineRule="auto"/>
      </w:pPr>
      <w:r>
        <w:rPr>
          <w:rFonts w:ascii="Times New Roman" w:hAnsi="Times New Roman" w:cs="Times New Roman"/>
          <w:sz w:val="24"/>
          <w:szCs w:val="24"/>
        </w:rPr>
        <w:t xml:space="preserve">The study is also timely for consumer welfare. Lou and Kim (2019) link influencer exposure to materialism among younger followers, and Muliani et al. (2026) measure fear of missing out as a purchase driver. Understanding whether Gen Z purchase intention is grounded in reasoned trust or in social pressure has a bearing on how disclosure norms and advertising standards should be framed for this cohort.</w:t>
      </w:r>
    </w:p>
    <w:p>
      <w:pPr>
        <w:pStyle w:val="Heading2"/>
        <w:outlineLvl w:val="1"/>
      </w:pPr>
      <w:r>
        <w:rPr>
          <w:rFonts w:ascii="Times New Roman" w:hAnsi="Times New Roman" w:cs="Times New Roman"/>
          <w:sz w:val="28"/>
          <w:szCs w:val="28"/>
          <w:b/>
        </w:rPr>
        <w:t xml:space="preserve">1.4 Objectives of the Study</w:t>
      </w:r>
    </w:p>
    <w:p>
      <w:pPr>
        <w:pStyle w:val="BodyTextX"/>
        <w:jc w:val="both"/>
        <w:spacing w:after="120" w:line="360" w:lineRule="auto"/>
      </w:pPr>
      <w:r>
        <w:rPr>
          <w:rFonts w:ascii="Times New Roman" w:hAnsi="Times New Roman" w:cs="Times New Roman"/>
          <w:sz w:val="24"/>
          <w:szCs w:val="24"/>
        </w:rPr>
        <w:t xml:space="preserve">The objectives of the study are as follows.</w:t>
      </w:r>
    </w:p>
    <w:p>
      <w:pPr>
        <w:pStyle w:val="BodyTextX"/>
        <w:ind w:left="900" w:hanging="540"/>
        <w:jc w:val="both"/>
        <w:spacing w:after="80" w:line="360" w:lineRule="auto"/>
      </w:pPr>
      <w:r>
        <w:rPr>
          <w:rFonts w:ascii="Times New Roman" w:hAnsi="Times New Roman" w:cs="Times New Roman"/>
          <w:sz w:val="24"/>
          <w:szCs w:val="24"/>
          <w:b/>
        </w:rPr>
        <w:t xml:space="preserve">1.</w:t>
      </w:r>
      <w:r>
        <w:rPr>
          <w:rFonts w:ascii="Times New Roman" w:hAnsi="Times New Roman" w:cs="Times New Roman"/>
          <w:sz w:val="24"/>
          <w:szCs w:val="24"/>
        </w:rPr>
        <w:t xml:space="preserve"> To examine the influence of social influence on Gen Z purchase intention in the Tricity region and Punjab.</w:t>
      </w:r>
    </w:p>
    <w:p>
      <w:pPr>
        <w:pStyle w:val="BodyTextX"/>
        <w:ind w:left="900" w:hanging="540"/>
        <w:jc w:val="both"/>
        <w:spacing w:after="80" w:line="360" w:lineRule="auto"/>
      </w:pPr>
      <w:r>
        <w:rPr>
          <w:rFonts w:ascii="Times New Roman" w:hAnsi="Times New Roman" w:cs="Times New Roman"/>
          <w:sz w:val="24"/>
          <w:szCs w:val="24"/>
          <w:b/>
        </w:rPr>
        <w:t xml:space="preserve">2.</w:t>
      </w:r>
      <w:r>
        <w:rPr>
          <w:rFonts w:ascii="Times New Roman" w:hAnsi="Times New Roman" w:cs="Times New Roman"/>
          <w:sz w:val="24"/>
          <w:szCs w:val="24"/>
        </w:rPr>
        <w:t xml:space="preserve"> To examine the influence of content quality and influencer expertise on Gen Z consumers' trust in influencers.</w:t>
      </w:r>
    </w:p>
    <w:p>
      <w:pPr>
        <w:pStyle w:val="BodyTextX"/>
        <w:ind w:left="900" w:hanging="540"/>
        <w:jc w:val="both"/>
        <w:spacing w:after="80" w:line="360" w:lineRule="auto"/>
      </w:pPr>
      <w:r>
        <w:rPr>
          <w:rFonts w:ascii="Times New Roman" w:hAnsi="Times New Roman" w:cs="Times New Roman"/>
          <w:sz w:val="24"/>
          <w:szCs w:val="24"/>
          <w:b/>
        </w:rPr>
        <w:t xml:space="preserve">3.</w:t>
      </w:r>
      <w:r>
        <w:rPr>
          <w:rFonts w:ascii="Times New Roman" w:hAnsi="Times New Roman" w:cs="Times New Roman"/>
          <w:sz w:val="24"/>
          <w:szCs w:val="24"/>
        </w:rPr>
        <w:t xml:space="preserve"> To examine the influence of trust in influencers on Gen Z purchase intention.</w:t>
      </w:r>
    </w:p>
    <w:p>
      <w:pPr>
        <w:pStyle w:val="BodyTextX"/>
        <w:ind w:left="900" w:hanging="540"/>
        <w:jc w:val="both"/>
        <w:spacing w:after="80" w:line="360" w:lineRule="auto"/>
      </w:pPr>
      <w:r>
        <w:rPr>
          <w:rFonts w:ascii="Times New Roman" w:hAnsi="Times New Roman" w:cs="Times New Roman"/>
          <w:sz w:val="24"/>
          <w:szCs w:val="24"/>
          <w:b/>
        </w:rPr>
        <w:t xml:space="preserve">4.</w:t>
      </w:r>
      <w:r>
        <w:rPr>
          <w:rFonts w:ascii="Times New Roman" w:hAnsi="Times New Roman" w:cs="Times New Roman"/>
          <w:sz w:val="24"/>
          <w:szCs w:val="24"/>
        </w:rPr>
        <w:t xml:space="preserve"> To examine the mediating role of trust in influencers in the relationships between content quality, influencer expertise and Gen Z purchase intention.</w:t>
      </w:r>
    </w:p>
    <w:p>
      <w:pPr>
        <w:pStyle w:val="Heading2"/>
        <w:outlineLvl w:val="1"/>
      </w:pPr>
      <w:r>
        <w:rPr>
          <w:rFonts w:ascii="Times New Roman" w:hAnsi="Times New Roman" w:cs="Times New Roman"/>
          <w:sz w:val="28"/>
          <w:szCs w:val="28"/>
          <w:b/>
        </w:rPr>
        <w:t xml:space="preserve">1.5 Scope of the Study</w:t>
      </w:r>
    </w:p>
    <w:p>
      <w:pPr>
        <w:pStyle w:val="BodyTextX"/>
        <w:jc w:val="both"/>
        <w:spacing w:after="120" w:line="360" w:lineRule="auto"/>
      </w:pPr>
      <w:r>
        <w:rPr>
          <w:rFonts w:ascii="Times New Roman" w:hAnsi="Times New Roman" w:cs="Times New Roman"/>
          <w:sz w:val="24"/>
          <w:szCs w:val="24"/>
        </w:rPr>
        <w:t xml:space="preserve">The study covers three independent variables, namely social influence, content quality and influencer expertise, one mediating variable, trust in influencers, and one dependent variable, Gen Z purchase intention. Geographically it is confined to the Tricity region of Chandigarh, Mohali and Panchkula, and to Punjab. Respondents are Gen Z consumers aged 18 to 28 years who follow at least one social media influencer. The study is not restricted to a single product category, since Gen Z consumers follow influencers across fashion, beauty, personal care, food, technology and fitness, and confining the enquiry to one category would narrow the sampling pool without theoretical benefit. Respondents answer with reference to influencers they actually follow, following the focal-influencer approach used by Bhattacharya (2026) and Lou and Yuan (2019).</w:t>
      </w:r>
    </w:p>
    <w:p>
      <w:pPr>
        <w:pStyle w:val="BodyTextX"/>
        <w:jc w:val="both"/>
        <w:spacing w:after="120" w:line="360" w:lineRule="auto"/>
      </w:pPr>
      <w:r>
        <w:rPr>
          <w:rFonts w:ascii="Times New Roman" w:hAnsi="Times New Roman" w:cs="Times New Roman"/>
          <w:sz w:val="24"/>
          <w:szCs w:val="24"/>
        </w:rPr>
        <w:t xml:space="preserve">The study is cross-sectional. It measures perceptions and stated intention at one point in time and does not track actual purchase behaviour or observe change over time. Purchase intention rather than completed purchase is the outcome variable, consistent with the majority of studies reviewed. Influencer attributes outside the three specified independent variables, such as attractiveness, similarity, authenticity and posting frequency, fall outside the scope, as do platform-level variables such as algorithmic curation.</w:t>
      </w:r>
    </w:p>
    <w:p>
      <w:pPr>
        <w:pStyle w:val="Heading1"/>
        <w:pageBreakBefore/>
        <w:outlineLvl w:val="0"/>
      </w:pPr>
      <w:r>
        <w:rPr>
          <w:rFonts w:ascii="Times New Roman" w:hAnsi="Times New Roman" w:cs="Times New Roman"/>
          <w:sz w:val="32"/>
          <w:szCs w:val="32"/>
          <w:b/>
        </w:rPr>
        <w:t xml:space="preserve">2. REVIEW OF LITERATURE</w:t>
      </w:r>
    </w:p>
    <w:p>
      <w:pPr>
        <w:pStyle w:val="BodyTextX"/>
        <w:jc w:val="both"/>
        <w:spacing w:after="120" w:line="360" w:lineRule="auto"/>
      </w:pPr>
      <w:r>
        <w:rPr>
          <w:rFonts w:ascii="Times New Roman" w:hAnsi="Times New Roman" w:cs="Times New Roman"/>
          <w:sz w:val="24"/>
          <w:szCs w:val="24"/>
        </w:rPr>
        <w:t xml:space="preserve">This chapter is organised in four parts. The first sets out the theoretical framework and explains why three established theories are combined rather than one applied alone. The second reviews the empirical literature variable by variable and author by author, and develops the hypotheses at the end of each variable discussion. The third consolidates the hypotheses. The fourth presents the conceptual model.</w:t>
      </w:r>
    </w:p>
    <w:p>
      <w:pPr>
        <w:pStyle w:val="Heading2"/>
        <w:outlineLvl w:val="1"/>
      </w:pPr>
      <w:r>
        <w:rPr>
          <w:rFonts w:ascii="Times New Roman" w:hAnsi="Times New Roman" w:cs="Times New Roman"/>
          <w:sz w:val="28"/>
          <w:szCs w:val="28"/>
          <w:b/>
        </w:rPr>
        <w:t xml:space="preserve">2.1 Theoretical Framework</w:t>
      </w:r>
    </w:p>
    <w:p>
      <w:pPr>
        <w:pStyle w:val="BodyTextX"/>
        <w:jc w:val="both"/>
        <w:spacing w:after="120" w:line="360" w:lineRule="auto"/>
      </w:pPr>
      <w:r>
        <w:rPr>
          <w:rFonts w:ascii="Times New Roman" w:hAnsi="Times New Roman" w:cs="Times New Roman"/>
          <w:sz w:val="24"/>
          <w:szCs w:val="24"/>
        </w:rPr>
        <w:t xml:space="preserve">The model rests on three theories, each accounting for a different path. Using one theory alone would not work, because the three independent variables are not the same kind of stimulus. Content quality is a message characteristic, influencer expertise is a source characteristic, and social influence is a characteristic of the consumer's social environment. Persuasion research has treated these as separate classes since McGuire's communication-persuasion matrix, and Lou and Yuan (2019) structure their own model on that distinction.</w:t>
      </w:r>
    </w:p>
    <w:p>
      <w:pPr>
        <w:pStyle w:val="Heading3"/>
        <w:outlineLvl w:val="2"/>
      </w:pPr>
      <w:r>
        <w:rPr>
          <w:rFonts w:ascii="Times New Roman" w:hAnsi="Times New Roman" w:cs="Times New Roman"/>
          <w:sz w:val="26"/>
          <w:szCs w:val="26"/>
          <w:b/>
        </w:rPr>
        <w:t xml:space="preserve">2.1.1 Elaboration Likelihood Model</w:t>
      </w:r>
    </w:p>
    <w:p>
      <w:pPr>
        <w:pStyle w:val="BodyTextX"/>
        <w:jc w:val="both"/>
        <w:spacing w:after="120" w:line="360" w:lineRule="auto"/>
      </w:pPr>
      <w:r>
        <w:rPr>
          <w:rFonts w:ascii="Times New Roman" w:hAnsi="Times New Roman" w:cs="Times New Roman"/>
          <w:sz w:val="24"/>
          <w:szCs w:val="24"/>
        </w:rPr>
        <w:t xml:space="preserve">The Elaboration Likelihood Model, developed by Petty and Cacioppo (1986), holds that persuasion travels along one of two routes. Under the central route the receiver processes the substance of a message carefully, and attitude change depends on argument quality. Under the peripheral route the receiver relies on cues that require little cognitive effort, such as the apparent authority or attractiveness of the source. The model provides the organising logic for this study. Content quality is the central-route input, since assessing whether an influencer's posts are accurate, useful and relevant requires the follower to engage with the content itself. Influencer expertise is the peripheral-route cue, since it allows a follower to accept a recommendation on the basis of who is making it rather than what is being said. The Elaboration Likelihood Model is the stated lens in both Bhattacharya (2026) and Muthulingam and Amirtharaj (2026), the two studies closest to the present model.</w:t>
      </w:r>
    </w:p>
    <w:p>
      <w:pPr>
        <w:pStyle w:val="Heading3"/>
        <w:outlineLvl w:val="2"/>
      </w:pPr>
      <w:r>
        <w:rPr>
          <w:rFonts w:ascii="Times New Roman" w:hAnsi="Times New Roman" w:cs="Times New Roman"/>
          <w:sz w:val="26"/>
          <w:szCs w:val="26"/>
          <w:b/>
        </w:rPr>
        <w:t xml:space="preserve">2.1.2 Source Credibility Theory</w:t>
      </w:r>
    </w:p>
    <w:p>
      <w:pPr>
        <w:pStyle w:val="BodyTextX"/>
        <w:jc w:val="both"/>
        <w:spacing w:after="120" w:line="360" w:lineRule="auto"/>
      </w:pPr>
      <w:r>
        <w:rPr>
          <w:rFonts w:ascii="Times New Roman" w:hAnsi="Times New Roman" w:cs="Times New Roman"/>
          <w:sz w:val="24"/>
          <w:szCs w:val="24"/>
        </w:rPr>
        <w:t xml:space="preserve">Source Credibility Theory originates with Hovland et al. (1953), who identified expertise and trustworthiness as the two dimensions determining whether a communicator persuades. Expertise concerns whether the source is competent to make correct assertions. Trustworthiness concerns whether the source intends to communicate honestly. Ohanian (1990) developed and validated the scale that turned these dimensions into measurable constructs for endorsement research, adding attractiveness as a third dimension. The theory supports the expertise-to-trust path in this study. Expertise and trust are treated as sequential rather than parallel, since a follower's judgement that an influencer knows the category is logically prior to the decision to rely on what that influencer says. Silitonga (2026), Chavare et al. (2025) and Nafees et al. (2021) all use this theory, and Nafees et al. (2021) found expertise and trustworthiness to matter more than goodwill in shaping brand attitude.</w:t>
      </w:r>
    </w:p>
    <w:p>
      <w:pPr>
        <w:pStyle w:val="Heading3"/>
        <w:outlineLvl w:val="2"/>
      </w:pPr>
      <w:r>
        <w:rPr>
          <w:rFonts w:ascii="Times New Roman" w:hAnsi="Times New Roman" w:cs="Times New Roman"/>
          <w:sz w:val="26"/>
          <w:szCs w:val="26"/>
          <w:b/>
        </w:rPr>
        <w:t xml:space="preserve">2.1.3 Social Influence Theory</w:t>
      </w:r>
    </w:p>
    <w:p>
      <w:pPr>
        <w:pStyle w:val="BodyTextX"/>
        <w:jc w:val="both"/>
        <w:spacing w:after="120" w:line="360" w:lineRule="auto"/>
      </w:pPr>
      <w:r>
        <w:rPr>
          <w:rFonts w:ascii="Times New Roman" w:hAnsi="Times New Roman" w:cs="Times New Roman"/>
          <w:sz w:val="24"/>
          <w:szCs w:val="24"/>
        </w:rPr>
        <w:t xml:space="preserve">Kelman (1958) proposed that social influence produces attitude change through three processes. Compliance occurs when a person adopts a behaviour to gain approval or avoid disapproval, without private acceptance. Identification occurs when a person adopts a behaviour because it maintains a valued relationship or group membership. Internalisation occurs when the behaviour is accepted as congruent with the person's own values. The first two processes do not require the consumer to evaluate the credibility of any specific information source, which is the theoretical reason for modelling social influence as a direct effect on purchase intention rather than as a trust-mediated one. Kaplan and Miller's distinction between informational and normative influence, applied to influencer marketing by Sharipudin et al. (2023), refines the same idea. Sharipudin et al. (2023) found normative influence to be the stronger of the two, at .463 against .228 for informational influence, which supports treating social influence as something other than an information-quality judgement.</w:t>
      </w:r>
    </w:p>
    <w:p>
      <w:pPr>
        <w:pStyle w:val="Heading3"/>
        <w:outlineLvl w:val="2"/>
      </w:pPr>
      <w:r>
        <w:rPr>
          <w:rFonts w:ascii="Times New Roman" w:hAnsi="Times New Roman" w:cs="Times New Roman"/>
          <w:sz w:val="26"/>
          <w:szCs w:val="26"/>
          <w:b/>
        </w:rPr>
        <w:t xml:space="preserve">2.1.4 Integration of the Three Theories</w:t>
      </w:r>
    </w:p>
    <w:p>
      <w:pPr>
        <w:pStyle w:val="BodyTextX"/>
        <w:jc w:val="both"/>
        <w:spacing w:after="120" w:line="360" w:lineRule="auto"/>
      </w:pPr>
      <w:r>
        <w:rPr>
          <w:rFonts w:ascii="Times New Roman" w:hAnsi="Times New Roman" w:cs="Times New Roman"/>
          <w:sz w:val="24"/>
          <w:szCs w:val="24"/>
        </w:rPr>
        <w:t xml:space="preserve">The three theories combine without conflict because each governs a different segment of the model. The Elaboration Likelihood Model specifies that content quality and expertise are processed by different routes but converge on the same evaluative outcome, which in this study is trust in the influencer. Source Credibility Theory specifies the content of that evaluation, namely that expertise feeds trustworthiness. Social Influence Theory specifies a parallel path that bypasses evaluation altogether, because compliance and identification operate on group belonging rather than on source assessment. The resulting structure predicts that trust mediates two of the three antecedent relationships and not the third.</w:t>
      </w:r>
    </w:p>
    <w:p>
      <w:pPr>
        <w:pStyle w:val="Heading2"/>
        <w:outlineLvl w:val="1"/>
      </w:pPr>
      <w:r>
        <w:rPr>
          <w:rFonts w:ascii="Times New Roman" w:hAnsi="Times New Roman" w:cs="Times New Roman"/>
          <w:sz w:val="28"/>
          <w:szCs w:val="28"/>
          <w:b/>
        </w:rPr>
        <w:t xml:space="preserve">2.2 Variable-wise and Author-wise Review</w:t>
      </w:r>
    </w:p>
    <w:p>
      <w:pPr>
        <w:pStyle w:val="Heading3"/>
        <w:outlineLvl w:val="2"/>
      </w:pPr>
      <w:r>
        <w:rPr>
          <w:rFonts w:ascii="Times New Roman" w:hAnsi="Times New Roman" w:cs="Times New Roman"/>
          <w:sz w:val="26"/>
          <w:szCs w:val="26"/>
          <w:b/>
        </w:rPr>
        <w:t xml:space="preserve">2.2.1 Gen Z Purchase Intention</w:t>
      </w:r>
    </w:p>
    <w:p>
      <w:pPr>
        <w:pStyle w:val="BodyTextX"/>
        <w:jc w:val="both"/>
        <w:spacing w:after="120" w:line="360" w:lineRule="auto"/>
      </w:pPr>
      <w:r>
        <w:rPr>
          <w:rFonts w:ascii="Times New Roman" w:hAnsi="Times New Roman" w:cs="Times New Roman"/>
          <w:sz w:val="24"/>
          <w:szCs w:val="24"/>
        </w:rPr>
        <w:t xml:space="preserve">Purchase intention is a consumer's conscious plan to make an effort to buy a brand, and is treated in this literature as the immediate antecedent of purchase behaviour under Ajzen's (1991) theory of planned behaviour. Its use as a dependent variable is near-universal in the studies reviewed, with Silitonga (2026) the main exception in measuring purchase decision instead.</w:t>
      </w:r>
    </w:p>
    <w:p>
      <w:pPr>
        <w:pStyle w:val="BodyTextX"/>
        <w:jc w:val="both"/>
        <w:spacing w:after="120" w:line="360" w:lineRule="auto"/>
      </w:pPr>
      <w:r>
        <w:rPr>
          <w:rFonts w:ascii="Times New Roman" w:hAnsi="Times New Roman" w:cs="Times New Roman"/>
          <w:sz w:val="24"/>
          <w:szCs w:val="24"/>
          <w:b/>
        </w:rPr>
        <w:t xml:space="preserve">Dharma et al. (2024)</w:t>
      </w:r>
      <w:r>
        <w:rPr>
          <w:rFonts w:ascii="Times New Roman" w:hAnsi="Times New Roman" w:cs="Times New Roman"/>
          <w:sz w:val="24"/>
          <w:szCs w:val="24"/>
        </w:rPr>
        <w:t xml:space="preserve"> examined influencer marketing effects on Gen Z purchasing intentions across four emerging economies, namely Indonesia, Malaysia, India and Nigeria. Data were collected through an online Google Forms survey from 150 Gen Z respondents aged 18 to 25 years, and analysed in SPSS 26 using multiple regression. Five predictors explained 78.9 per cent of the variance in purchase intention. Trustworthiness was the strongest predictor at .337, followed by perceived expertise at .285 and perceived credibility at .216. Peer reviews were not significant at -.090 and the authors interpreted this as Gen Z placing more weight on influencers than on peers. The study reports no theoretical framework and no scale sources, and its variance inflation factors reach 5.974, so it is cited here for direction rather than for precision.</w:t>
      </w:r>
    </w:p>
    <w:p>
      <w:pPr>
        <w:pStyle w:val="BodyTextX"/>
        <w:jc w:val="both"/>
        <w:spacing w:after="120" w:line="360" w:lineRule="auto"/>
      </w:pPr>
      <w:r>
        <w:rPr>
          <w:rFonts w:ascii="Times New Roman" w:hAnsi="Times New Roman" w:cs="Times New Roman"/>
          <w:sz w:val="24"/>
          <w:szCs w:val="24"/>
          <w:b/>
        </w:rPr>
        <w:t xml:space="preserve">Hossain et al. (2026)</w:t>
      </w:r>
      <w:r>
        <w:rPr>
          <w:rFonts w:ascii="Times New Roman" w:hAnsi="Times New Roman" w:cs="Times New Roman"/>
          <w:sz w:val="24"/>
          <w:szCs w:val="24"/>
        </w:rPr>
        <w:t xml:space="preserve"> studied the influence of social media influencers on Gen Z buying behaviour in Bangladesh using 160 valid responses from respondents aged 18 to 26 years, analysed by regression in SPSS 26. Content quality emerged as a significant predictor at .216 with a t-value of 2.671 and p of .008. Trust was folded inside a broader perceived credibility construct rather than modelled separately, and the authors call for cross-country replication.</w:t>
      </w:r>
    </w:p>
    <w:p>
      <w:pPr>
        <w:pStyle w:val="Heading3"/>
        <w:outlineLvl w:val="2"/>
      </w:pPr>
      <w:r>
        <w:rPr>
          <w:rFonts w:ascii="Times New Roman" w:hAnsi="Times New Roman" w:cs="Times New Roman"/>
          <w:sz w:val="26"/>
          <w:szCs w:val="26"/>
          <w:b/>
        </w:rPr>
        <w:t xml:space="preserve">2.2.2 Social Influence and Gen Z Purchase Intention</w:t>
      </w:r>
    </w:p>
    <w:p>
      <w:pPr>
        <w:pStyle w:val="BodyTextX"/>
        <w:jc w:val="both"/>
        <w:spacing w:after="120" w:line="360" w:lineRule="auto"/>
      </w:pPr>
      <w:r>
        <w:rPr>
          <w:rFonts w:ascii="Times New Roman" w:hAnsi="Times New Roman" w:cs="Times New Roman"/>
          <w:sz w:val="24"/>
          <w:szCs w:val="24"/>
          <w:b/>
        </w:rPr>
        <w:t xml:space="preserve">Liang et al. (2024)</w:t>
      </w:r>
      <w:r>
        <w:rPr>
          <w:rFonts w:ascii="Times New Roman" w:hAnsi="Times New Roman" w:cs="Times New Roman"/>
          <w:sz w:val="24"/>
          <w:szCs w:val="24"/>
        </w:rPr>
        <w:t xml:space="preserve"> provide the strongest available test of the social influence to purchase intention path. Working in China with 398 valid responses collected through the Sojump panel and analysed by covariance-based structural equation modelling in AMOS 23, they modelled social influence as a second-order construct with three reflective indicators, namely face-to-face friendship, electronic word-of-mouth readership and social media viewership. Social influence predicted brand purchase intention at .72 with p below .001, and the model explained 48 per cent of the variance in purchase intention. Their framework combines Social Influence Theory (Kelman, 1958) with trust transfer theory. Two features limit direct transfer to the present study. The sample was aged 21 to 40 years and generation is never discussed, and although the introduction describes trust as a moderating variable, trust is in fact modelled as a direct antecedent of social influence and is never tested as a moderator or a mediator.</w:t>
      </w:r>
    </w:p>
    <w:p>
      <w:pPr>
        <w:pStyle w:val="BodyTextX"/>
        <w:jc w:val="both"/>
        <w:spacing w:after="120" w:line="360" w:lineRule="auto"/>
      </w:pPr>
      <w:r>
        <w:rPr>
          <w:rFonts w:ascii="Times New Roman" w:hAnsi="Times New Roman" w:cs="Times New Roman"/>
          <w:sz w:val="24"/>
          <w:szCs w:val="24"/>
          <w:b/>
        </w:rPr>
        <w:t xml:space="preserve">Sharipudin et al. (2023)</w:t>
      </w:r>
      <w:r>
        <w:rPr>
          <w:rFonts w:ascii="Times New Roman" w:hAnsi="Times New Roman" w:cs="Times New Roman"/>
          <w:sz w:val="24"/>
          <w:szCs w:val="24"/>
        </w:rPr>
        <w:t xml:space="preserve"> examined social media influencer characteristics and social influence on purchase intention among 605 Gen Z undergraduates in Malaysia, of whom 90 per cent were aged 18 to 24 years. A self-administered online survey used seven-point Likert scales, with informational and normative influence items adopted from Yang et al. and expertise items from Khong and Wu, both as cited in that study. Two regression models were estimated. Social influence explained 39.1 per cent of the variance in purchase intention, with normative influence at .463 and informational influence at .228, both significant. The TEARS model of influencer characteristics explained 44.7 per cent, with expertise significant at .176 and respect non-significant. The authors position their contribution in a collectivist cultural setting and call for cross-generational replication. Their narrative coefficients differ from those in their own table, so figures should be quoted with care.</w:t>
      </w:r>
    </w:p>
    <w:p>
      <w:pPr>
        <w:pStyle w:val="BodyTextX"/>
        <w:jc w:val="both"/>
        <w:spacing w:after="120" w:line="360" w:lineRule="auto"/>
      </w:pPr>
      <w:r>
        <w:rPr>
          <w:rFonts w:ascii="Times New Roman" w:hAnsi="Times New Roman" w:cs="Times New Roman"/>
          <w:sz w:val="24"/>
          <w:szCs w:val="24"/>
          <w:b/>
        </w:rPr>
        <w:t xml:space="preserve">Gunawan et al. (2023)</w:t>
      </w:r>
      <w:r>
        <w:rPr>
          <w:rFonts w:ascii="Times New Roman" w:hAnsi="Times New Roman" w:cs="Times New Roman"/>
          <w:sz w:val="24"/>
          <w:szCs w:val="24"/>
        </w:rPr>
        <w:t xml:space="preserve"> tested social influence and peer influence as parallel predictors of intention to purchase in e-commerce among 338 students in Surabaya, Indonesia, using non-probability purposive sampling, a seven-point scale administered through Google Forms, and PLS-SEM. Social influence, defined following Wang and Lin, as cited in that study, as behaviour influenced by the consumer's social groups and explicitly including social media influencers, predicted attitude at .672 with a t-value of 12.985 and purchase intention at .261 with a t-value of 3.374. Peer influence was much weaker at .231 and .064 respectively. The model explained 74.6 per cent of the variance in purchase intention. This finding matters for the present study because it shows that broad social influence outperforms narrow peer influence, which is consistent with the non-significant peer effect reported by Dharma et al. (2024).</w:t>
      </w:r>
    </w:p>
    <w:p>
      <w:pPr>
        <w:pStyle w:val="BodyTextX"/>
        <w:jc w:val="both"/>
        <w:spacing w:after="120" w:line="360" w:lineRule="auto"/>
      </w:pPr>
      <w:r>
        <w:rPr>
          <w:rFonts w:ascii="Times New Roman" w:hAnsi="Times New Roman" w:cs="Times New Roman"/>
          <w:sz w:val="24"/>
          <w:szCs w:val="24"/>
          <w:b/>
        </w:rPr>
        <w:t xml:space="preserve">Hartanto (2025)</w:t>
      </w:r>
      <w:r>
        <w:rPr>
          <w:rFonts w:ascii="Times New Roman" w:hAnsi="Times New Roman" w:cs="Times New Roman"/>
          <w:sz w:val="24"/>
          <w:szCs w:val="24"/>
        </w:rPr>
        <w:t xml:space="preserve"> approached social influence through subjective norms in a study of 258 followers of a single Indonesian influencer in Greater Jakarta, selected by purposive sampling and measured on a five-point Likert scale. Subjective norms, defined as the social influence felt by individuals from the opinions and lifestyles displayed by an influencer, predicted attitude towards the influencer at .631 with a t-value of 13.00. Trust at .632 and perceived expertise at .616 produced almost identical coefficients. Attitude then predicted purchase intention at .554 and engagement predicted it at .457. The study reports no scale sources and describes its analysis inconsistently as both PLS-SEM and AMOS, so it supports the direction of the subjective-norm effect rather than a precise magnitude.</w:t>
      </w:r>
    </w:p>
    <w:p>
      <w:pPr>
        <w:pStyle w:val="BodyTextX"/>
        <w:jc w:val="both"/>
        <w:spacing w:after="120" w:line="360" w:lineRule="auto"/>
      </w:pPr>
      <w:r>
        <w:rPr>
          <w:rFonts w:ascii="Times New Roman" w:hAnsi="Times New Roman" w:cs="Times New Roman"/>
          <w:sz w:val="24"/>
          <w:szCs w:val="24"/>
          <w:b/>
        </w:rPr>
        <w:t xml:space="preserve">Muliani et al. (2026)</w:t>
      </w:r>
      <w:r>
        <w:rPr>
          <w:rFonts w:ascii="Times New Roman" w:hAnsi="Times New Roman" w:cs="Times New Roman"/>
          <w:sz w:val="24"/>
          <w:szCs w:val="24"/>
        </w:rPr>
        <w:t xml:space="preserve"> studied Gen Z purchase decisions on TikTok Shop in Indonesia with 120 respondents aged 17 to 29 years, selected by non-probability purposive sampling and analysed by PLS-SEM. Social influence is named as a theoretical foundation through Kelman (1958) but is not measured. Its nearest operational proxies, social proof at .328 and user-generated content at .340, were both significant, while influencer marketing itself was not significant at .053 and fear of missing out was not significant at -.068. Platform trust predicted purchase decisions directly at .266 but failed as a moderator on all four tested interactions. The authors read the pattern as Gen Z relying on peer-based evidence and platform credibility rather than on influencer persuasion.</w:t>
      </w:r>
    </w:p>
    <w:p>
      <w:pPr>
        <w:pStyle w:val="BodyTextX"/>
        <w:jc w:val="both"/>
        <w:spacing w:after="120" w:line="360" w:lineRule="auto"/>
      </w:pPr>
      <w:r>
        <w:rPr>
          <w:rFonts w:ascii="Times New Roman" w:hAnsi="Times New Roman" w:cs="Times New Roman"/>
          <w:sz w:val="24"/>
          <w:szCs w:val="24"/>
          <w:b/>
        </w:rPr>
        <w:t xml:space="preserve">Sunilkumar et al. (2026)</w:t>
      </w:r>
      <w:r>
        <w:rPr>
          <w:rFonts w:ascii="Times New Roman" w:hAnsi="Times New Roman" w:cs="Times New Roman"/>
          <w:sz w:val="24"/>
          <w:szCs w:val="24"/>
        </w:rPr>
        <w:t xml:space="preserve"> examined Gen Z experiences and purchase decisions in the United Arab Emirates fashion industry using 271 valid responses from respondents aged 18 to 28 years, convenience sampling through Google Forms, five-point Likert scales and covariance-based structural equation modelling in AMOS 26. Influencer credibility predicted brand credibility at .517 and brand credibility predicted purchase intention at .463, the strongest path in the model, while brand familiarity was weaker at .289. The authors conclude that trust-based brand evaluations matter more than mere brand recognition for Gen Z. Social Influence Theory is cited as the psychological mechanism but social influence is not measured, and the paper labels its own second theory inconsistently as both social identity theory and Social Influence Theory.</w:t>
      </w:r>
    </w:p>
    <w:p>
      <w:pPr>
        <w:pStyle w:val="BodyTextX"/>
        <w:jc w:val="both"/>
        <w:spacing w:after="120" w:line="360" w:lineRule="auto"/>
      </w:pPr>
      <w:r>
        <w:rPr>
          <w:rFonts w:ascii="Times New Roman" w:hAnsi="Times New Roman" w:cs="Times New Roman"/>
          <w:sz w:val="24"/>
          <w:szCs w:val="24"/>
        </w:rPr>
        <w:t xml:space="preserve">The evidence therefore supports a direct positive effect of social influence on purchase intention, established most clearly by Liang et al. (2024) and Gunawan et al. (2023) and supported through related constructs by Sharipudin et al. (2023) and Hartanto (2025). Accordingly the following hypothesis is proposed.</w:t>
      </w:r>
    </w:p>
    <w:p>
      <w:pPr>
        <w:pStyle w:val="BodyTextX"/>
        <w:jc w:val="left"/>
        <w:spacing w:after="120" w:line="360" w:lineRule="auto"/>
      </w:pPr>
      <w:r>
        <w:rPr>
          <w:rFonts w:ascii="Times New Roman" w:hAnsi="Times New Roman" w:cs="Times New Roman"/>
          <w:sz w:val="24"/>
          <w:szCs w:val="24"/>
          <w:b/>
        </w:rPr>
        <w:t xml:space="preserve">H1: Social influence has a significant positive influence on Gen Z purchase intention.</w:t>
      </w:r>
    </w:p>
    <w:p>
      <w:pPr>
        <w:pStyle w:val="Heading3"/>
        <w:outlineLvl w:val="2"/>
      </w:pPr>
      <w:r>
        <w:rPr>
          <w:rFonts w:ascii="Times New Roman" w:hAnsi="Times New Roman" w:cs="Times New Roman"/>
          <w:sz w:val="26"/>
          <w:szCs w:val="26"/>
          <w:b/>
        </w:rPr>
        <w:t xml:space="preserve">2.2.3 Content Quality and Trust in Influencers</w:t>
      </w:r>
    </w:p>
    <w:p>
      <w:pPr>
        <w:pStyle w:val="BodyTextX"/>
        <w:jc w:val="both"/>
        <w:spacing w:after="120" w:line="360" w:lineRule="auto"/>
      </w:pPr>
      <w:r>
        <w:rPr>
          <w:rFonts w:ascii="Times New Roman" w:hAnsi="Times New Roman" w:cs="Times New Roman"/>
          <w:sz w:val="24"/>
          <w:szCs w:val="24"/>
        </w:rPr>
        <w:t xml:space="preserve">Content quality refers to the follower's assessment of the informativeness, accuracy, relevance and production standard of an influencer's posts. It draws on information systems research, where Wixom and Todd (2005) established information quality as a distinct antecedent of user attitudes, and on advertising value research.</w:t>
      </w:r>
    </w:p>
    <w:p>
      <w:pPr>
        <w:pStyle w:val="BodyTextX"/>
        <w:jc w:val="both"/>
        <w:spacing w:after="120" w:line="360" w:lineRule="auto"/>
      </w:pPr>
      <w:r>
        <w:rPr>
          <w:rFonts w:ascii="Times New Roman" w:hAnsi="Times New Roman" w:cs="Times New Roman"/>
          <w:sz w:val="24"/>
          <w:szCs w:val="24"/>
          <w:b/>
        </w:rPr>
        <w:t xml:space="preserve">Perdana et al. (2023)</w:t>
      </w:r>
      <w:r>
        <w:rPr>
          <w:rFonts w:ascii="Times New Roman" w:hAnsi="Times New Roman" w:cs="Times New Roman"/>
          <w:sz w:val="24"/>
          <w:szCs w:val="24"/>
        </w:rPr>
        <w:t xml:space="preserve"> is the closest conceptual match to the present study, examining social media influencers and content quality with trust as the mediator of purchase intention. Data came from 110 active social media users in Indonesia and elsewhere, selected by non-probability convenience sampling and analysed using PLS in SmartPLS. Content quality predicted trust at .347 with a t-value of 3.253 and purchase intention at .322 with a t-value of 2.724. Social media influencer influence predicted trust at .421 and purchase intention at .394, and trust predicted purchase intention at .390. The model explained 51.9 per cent of the variance in purchase intention and 51.1 per cent in trust. Three weaknesses matter. The paper names no theory, reports no scale sources or response format, and despite its title reports only direct and total effects without ever estimating an indirect effect. It therefore establishes the plausibility of the content quality to trust path while leaving the mediation claim untested.</w:t>
      </w:r>
    </w:p>
    <w:p>
      <w:pPr>
        <w:pStyle w:val="BodyTextX"/>
        <w:jc w:val="both"/>
        <w:spacing w:after="120" w:line="360" w:lineRule="auto"/>
      </w:pPr>
      <w:r>
        <w:rPr>
          <w:rFonts w:ascii="Times New Roman" w:hAnsi="Times New Roman" w:cs="Times New Roman"/>
          <w:sz w:val="24"/>
          <w:szCs w:val="24"/>
          <w:b/>
        </w:rPr>
        <w:t xml:space="preserve">Muthulingam and Amirtharaj (2026)</w:t>
      </w:r>
      <w:r>
        <w:rPr>
          <w:rFonts w:ascii="Times New Roman" w:hAnsi="Times New Roman" w:cs="Times New Roman"/>
          <w:sz w:val="24"/>
          <w:szCs w:val="24"/>
        </w:rPr>
        <w:t xml:space="preserve"> tested influencer characteristics and content attributes on Gen Z purchase intention in Indian Tier-1 cities with 370 usable responses from respondents aged 18 to 28 years, purposive non-probability sampling, five-point Likert scales and covariance-based structural equation modelling in AMOS 24 with 5,000 bootstrap resamples. Content quality was measured with items adapted from Hwang and Zhang (2018) and Djafarova and Trofimenko (2019). In a direct-effects model content quality predicted purchase intention at .31. In the full model it predicted perception at .534 and reached purchase intention indirectly at .243 with a bootstrap confidence interval of .158 to .341. The study routes content quality through a perception construct rather than through trust, which leaves the content quality to trust path open for direct testing.</w:t>
      </w:r>
    </w:p>
    <w:p>
      <w:pPr>
        <w:pStyle w:val="BodyTextX"/>
        <w:jc w:val="both"/>
        <w:spacing w:after="120" w:line="360" w:lineRule="auto"/>
      </w:pPr>
      <w:r>
        <w:rPr>
          <w:rFonts w:ascii="Times New Roman" w:hAnsi="Times New Roman" w:cs="Times New Roman"/>
          <w:sz w:val="24"/>
          <w:szCs w:val="24"/>
          <w:b/>
        </w:rPr>
        <w:t xml:space="preserve">Bhattacharya (2026)</w:t>
      </w:r>
      <w:r>
        <w:rPr>
          <w:rFonts w:ascii="Times New Roman" w:hAnsi="Times New Roman" w:cs="Times New Roman"/>
          <w:sz w:val="24"/>
          <w:szCs w:val="24"/>
        </w:rPr>
        <w:t xml:space="preserve"> provides the strongest counter-evidence. Using 415 Indian Gen Z respondents aged 18 to 28 years, a non-probability approach combining convenience sampling with purposive eligibility screening, seven-point Likert scales administered through Google Forms and covariance-based structural equation modelling in AMOS version 30, the study found that content informativeness strongly predicted perceived content quality at .52, yet perceived content quality did not predict recommendation credibility at all, at .07 and non-significant. Trustworthiness at .48 and expertise at .41 did. The author labels this person-post decoupling and argues that followers infer credibility from the influencer's stable persona rather than from any individual post. Content quality items were adopted from Wixom and Todd (2005) and purchase intention items from Lee and Watkins, both as cited in that study.</w:t>
      </w:r>
    </w:p>
    <w:p>
      <w:pPr>
        <w:pStyle w:val="BodyTextX"/>
        <w:jc w:val="both"/>
        <w:spacing w:after="120" w:line="360" w:lineRule="auto"/>
      </w:pPr>
      <w:r>
        <w:rPr>
          <w:rFonts w:ascii="Times New Roman" w:hAnsi="Times New Roman" w:cs="Times New Roman"/>
          <w:sz w:val="24"/>
          <w:szCs w:val="24"/>
          <w:b/>
        </w:rPr>
        <w:t xml:space="preserve">Shah et al. (2023)</w:t>
      </w:r>
      <w:r>
        <w:rPr>
          <w:rFonts w:ascii="Times New Roman" w:hAnsi="Times New Roman" w:cs="Times New Roman"/>
          <w:sz w:val="24"/>
          <w:szCs w:val="24"/>
        </w:rPr>
        <w:t xml:space="preserve"> examined what drives follower-influencer intention using 298 Pakistani Instagram fashion-influencer followers, convenience sampling, five-point Likert scales and PLS-SEM in SmartPLS. Perceived quality of information, measured with four items adapted from Wang and Lin as cited in that study, predicted perceived influence at .413, and perceived influence predicted purchase intention at .578 with p of .000. Follower-influencer emotional attachment failed to predict purchase intention at .009. The mediator here is perceived influence rather than trust, but the study confirms that information quality reaches purchase intention through an intervening evaluation rather than directly.</w:t>
      </w:r>
    </w:p>
    <w:p>
      <w:pPr>
        <w:pStyle w:val="BodyTextX"/>
        <w:jc w:val="both"/>
        <w:spacing w:after="120" w:line="360" w:lineRule="auto"/>
      </w:pPr>
      <w:r>
        <w:rPr>
          <w:rFonts w:ascii="Times New Roman" w:hAnsi="Times New Roman" w:cs="Times New Roman"/>
          <w:sz w:val="24"/>
          <w:szCs w:val="24"/>
          <w:b/>
        </w:rPr>
        <w:t xml:space="preserve">Lou and Yuan (2019)</w:t>
      </w:r>
      <w:r>
        <w:rPr>
          <w:rFonts w:ascii="Times New Roman" w:hAnsi="Times New Roman" w:cs="Times New Roman"/>
          <w:sz w:val="24"/>
          <w:szCs w:val="24"/>
        </w:rPr>
        <w:t xml:space="preserve"> is the foundational study for the content-to-trust path. Using 538 United States social media users recruited through Amazon Mechanical Turk, seven-point semantic differential scales adapted from Voss et al. (2003) and PLS path modelling in SmartPLS 3 with 5,000 bootstrap subsamples, they proposed the social media influencer value model. Informative value predicted trust in influencers' branded posts at .19 with p below .01, while entertainment value was not significant at .081. Informative value also predicted purchase intention at .124. The authors conclude that social media users treat influencers as quality-information providers and build trust on informative rather than entertainment value. The sample had a mean age of 33 years and is not a Gen Z sample.</w:t>
      </w:r>
    </w:p>
    <w:p>
      <w:pPr>
        <w:pStyle w:val="BodyTextX"/>
        <w:jc w:val="both"/>
        <w:spacing w:after="120" w:line="360" w:lineRule="auto"/>
      </w:pPr>
      <w:r>
        <w:rPr>
          <w:rFonts w:ascii="Times New Roman" w:hAnsi="Times New Roman" w:cs="Times New Roman"/>
          <w:sz w:val="24"/>
          <w:szCs w:val="24"/>
          <w:b/>
        </w:rPr>
        <w:t xml:space="preserve">Al-Mu'ani et al. (2023)</w:t>
      </w:r>
      <w:r>
        <w:rPr>
          <w:rFonts w:ascii="Times New Roman" w:hAnsi="Times New Roman" w:cs="Times New Roman"/>
          <w:sz w:val="24"/>
          <w:szCs w:val="24"/>
        </w:rPr>
        <w:t xml:space="preserve"> tested trustworthiness, expertise and information quality on brand attitude and purchase intention with 309 respondents in Jordan, convenience sampling, and analysis in SPSS and AMOS, grounded in Source Credibility Theory and the theory of planned behaviour. Information quality was the weakest of the three predictors of brand attitude at .13 with p of .019. Trustworthiness predicted purchase intention at .325 and its indirect effect through brand attitude was .052 with a confidence interval of .012 to .118. The paper states neither its response format nor its instrument sources.</w:t>
      </w:r>
    </w:p>
    <w:p>
      <w:pPr>
        <w:pStyle w:val="BodyTextX"/>
        <w:jc w:val="both"/>
        <w:spacing w:after="120" w:line="360" w:lineRule="auto"/>
      </w:pPr>
      <w:r>
        <w:rPr>
          <w:rFonts w:ascii="Times New Roman" w:hAnsi="Times New Roman" w:cs="Times New Roman"/>
          <w:sz w:val="24"/>
          <w:szCs w:val="24"/>
          <w:b/>
        </w:rPr>
        <w:t xml:space="preserve">Lou and Kim (2019)</w:t>
      </w:r>
      <w:r>
        <w:rPr>
          <w:rFonts w:ascii="Times New Roman" w:hAnsi="Times New Roman" w:cs="Times New Roman"/>
          <w:sz w:val="24"/>
          <w:szCs w:val="24"/>
        </w:rPr>
        <w:t xml:space="preserve"> examined influencer content, credibility and parental mediation among 415 United States adolescents aged 10 to 19 years with a mean age of 15, recruited through a quota-based Qualtrics panel and analysed in AMOS 24. Informative value did not predict parasocial relationship strength at .04 with p of .52, while entertainment value did at .17. Trustworthiness predicted parasocial relationship at .22. The reversal of the Lou and Yuan (2019) pattern on the same two content variables, in a younger sample, indicates that the content-quality effect is sensitive to cohort and to the intervening construct chosen.</w:t>
      </w:r>
    </w:p>
    <w:p>
      <w:pPr>
        <w:pStyle w:val="BodyTextX"/>
        <w:jc w:val="both"/>
        <w:spacing w:after="120" w:line="360" w:lineRule="auto"/>
      </w:pPr>
      <w:r>
        <w:rPr>
          <w:rFonts w:ascii="Times New Roman" w:hAnsi="Times New Roman" w:cs="Times New Roman"/>
          <w:sz w:val="24"/>
          <w:szCs w:val="24"/>
        </w:rPr>
        <w:t xml:space="preserve">The literature thus splits. Perdana et al. (2023) and Lou and Yuan (2019) support a positive content quality effect on trust, while Bhattacharya (2026), Lou and Kim (2019) and Al-Mu'ani et al. (2023) find the effect absent or weak. Given that the supporting studies measure trust directly while the null findings use recommendation credibility, parasocial relationship and brand attitude as their outcomes, a direct test on trust is warranted. The following hypotheses are proposed.</w:t>
      </w:r>
    </w:p>
    <w:p>
      <w:pPr>
        <w:pStyle w:val="BodyTextX"/>
        <w:jc w:val="left"/>
        <w:spacing w:after="120" w:line="360" w:lineRule="auto"/>
      </w:pPr>
      <w:r>
        <w:rPr>
          <w:rFonts w:ascii="Times New Roman" w:hAnsi="Times New Roman" w:cs="Times New Roman"/>
          <w:sz w:val="24"/>
          <w:szCs w:val="24"/>
          <w:b/>
        </w:rPr>
        <w:t xml:space="preserve">H2: Content quality has a significant positive influence on trust in influencers.</w:t>
      </w:r>
    </w:p>
    <w:p>
      <w:pPr>
        <w:pStyle w:val="BodyTextX"/>
        <w:jc w:val="left"/>
        <w:spacing w:after="120" w:line="360" w:lineRule="auto"/>
      </w:pPr>
      <w:r>
        <w:rPr>
          <w:rFonts w:ascii="Times New Roman" w:hAnsi="Times New Roman" w:cs="Times New Roman"/>
          <w:sz w:val="24"/>
          <w:szCs w:val="24"/>
          <w:b/>
        </w:rPr>
        <w:t xml:space="preserve">H5: Content quality has a significant positive influence on Gen Z purchase intention.</w:t>
      </w:r>
    </w:p>
    <w:p>
      <w:pPr>
        <w:pStyle w:val="Heading3"/>
        <w:outlineLvl w:val="2"/>
      </w:pPr>
      <w:r>
        <w:rPr>
          <w:rFonts w:ascii="Times New Roman" w:hAnsi="Times New Roman" w:cs="Times New Roman"/>
          <w:sz w:val="26"/>
          <w:szCs w:val="26"/>
          <w:b/>
        </w:rPr>
        <w:t xml:space="preserve">2.2.4 Influencer Expertise and Trust in Influencers</w:t>
      </w:r>
    </w:p>
    <w:p>
      <w:pPr>
        <w:pStyle w:val="BodyTextX"/>
        <w:jc w:val="both"/>
        <w:spacing w:after="120" w:line="360" w:lineRule="auto"/>
      </w:pPr>
      <w:r>
        <w:rPr>
          <w:rFonts w:ascii="Times New Roman" w:hAnsi="Times New Roman" w:cs="Times New Roman"/>
          <w:sz w:val="24"/>
          <w:szCs w:val="24"/>
        </w:rPr>
        <w:t xml:space="preserve">Influencer expertise is the degree to which a follower believes the influencer is knowledgeable and competent in the relevant product category. It is one of the two original credibility dimensions of Hovland et al. (1953) and was operationalised by Ohanian (1990).</w:t>
      </w:r>
    </w:p>
    <w:p>
      <w:pPr>
        <w:pStyle w:val="BodyTextX"/>
        <w:jc w:val="both"/>
        <w:spacing w:after="120" w:line="360" w:lineRule="auto"/>
      </w:pPr>
      <w:r>
        <w:rPr>
          <w:rFonts w:ascii="Times New Roman" w:hAnsi="Times New Roman" w:cs="Times New Roman"/>
          <w:sz w:val="24"/>
          <w:szCs w:val="24"/>
          <w:b/>
        </w:rPr>
        <w:t xml:space="preserve">Muthulingam and Amirtharaj (2026)</w:t>
      </w:r>
      <w:r>
        <w:rPr>
          <w:rFonts w:ascii="Times New Roman" w:hAnsi="Times New Roman" w:cs="Times New Roman"/>
          <w:sz w:val="24"/>
          <w:szCs w:val="24"/>
        </w:rPr>
        <w:t xml:space="preserve"> found influencer expertise to be the strongest antecedent of trust in their Indian Gen Z model at .565 with p below .001, using items adapted from Ohanian (1990) and Casalo et al. (2020). Trust in turn predicted purchase intention at .426, and the indirect path from expertise through trust to purchase intention was .241 with a bias-corrected confidence interval of .156 to .334. This is the single closest empirical precedent for the expertise arm of the present model.</w:t>
      </w:r>
    </w:p>
    <w:p>
      <w:pPr>
        <w:pStyle w:val="BodyTextX"/>
        <w:jc w:val="both"/>
        <w:spacing w:after="120" w:line="360" w:lineRule="auto"/>
      </w:pPr>
      <w:r>
        <w:rPr>
          <w:rFonts w:ascii="Times New Roman" w:hAnsi="Times New Roman" w:cs="Times New Roman"/>
          <w:sz w:val="24"/>
          <w:szCs w:val="24"/>
          <w:b/>
        </w:rPr>
        <w:t xml:space="preserve">Lou and Yuan (2019)</w:t>
      </w:r>
      <w:r>
        <w:rPr>
          <w:rFonts w:ascii="Times New Roman" w:hAnsi="Times New Roman" w:cs="Times New Roman"/>
          <w:sz w:val="24"/>
          <w:szCs w:val="24"/>
        </w:rPr>
        <w:t xml:space="preserve"> found the opposite. Influencer expertise did not predict trust in influencers' branded posts at all, at -.014 and non-significant, and did not predict purchase intention at .017. Expertise did predict brand awareness at .209. The authors suggest followers may assume expertise by default, so that it does no independent persuasive work once a following relationship exists. Their credibility dimensions were measured with the four-dimension scale of Munnukka et al. (2016).</w:t>
      </w:r>
    </w:p>
    <w:p>
      <w:pPr>
        <w:pStyle w:val="BodyTextX"/>
        <w:jc w:val="both"/>
        <w:spacing w:after="120" w:line="360" w:lineRule="auto"/>
      </w:pPr>
      <w:r>
        <w:rPr>
          <w:rFonts w:ascii="Times New Roman" w:hAnsi="Times New Roman" w:cs="Times New Roman"/>
          <w:sz w:val="24"/>
          <w:szCs w:val="24"/>
          <w:b/>
        </w:rPr>
        <w:t xml:space="preserve">Nafees et al. (2021)</w:t>
      </w:r>
      <w:r>
        <w:rPr>
          <w:rFonts w:ascii="Times New Roman" w:hAnsi="Times New Roman" w:cs="Times New Roman"/>
          <w:sz w:val="24"/>
          <w:szCs w:val="24"/>
        </w:rPr>
        <w:t xml:space="preserve"> tested whether social media influencer power influences brand attitudes through perceived credibility, using 231 United States Instagram users recruited through a Qualtrics panel, with credibility dimensions adopted from McCroskey and Teven, and brand attitude from Spears and Singh, both as cited in that study. Influencer power predicted expertise at .486 and expertise predicted brand attitude at .213, both with p below .001. Power predicted trustworthiness at .430 and trustworthiness predicted brand attitude at .231. Goodwill failed at .025 with p of .662. The direct effect of power on brand attitude fell from .518 to .32 once the mediators entered, indicating partial mediation. The sample ranged from 16 to 78 years with a mean of 38, and the outcome is brand attitude rather than purchase intention.</w:t>
      </w:r>
    </w:p>
    <w:p>
      <w:pPr>
        <w:pStyle w:val="BodyTextX"/>
        <w:jc w:val="both"/>
        <w:spacing w:after="120" w:line="360" w:lineRule="auto"/>
      </w:pPr>
      <w:r>
        <w:rPr>
          <w:rFonts w:ascii="Times New Roman" w:hAnsi="Times New Roman" w:cs="Times New Roman"/>
          <w:sz w:val="24"/>
          <w:szCs w:val="24"/>
          <w:b/>
        </w:rPr>
        <w:t xml:space="preserve">Chavare et al. (2025)</w:t>
      </w:r>
      <w:r>
        <w:rPr>
          <w:rFonts w:ascii="Times New Roman" w:hAnsi="Times New Roman" w:cs="Times New Roman"/>
          <w:sz w:val="24"/>
          <w:szCs w:val="24"/>
        </w:rPr>
        <w:t xml:space="preserve"> asked whether brand attitude complements influencer credibility in shaping purchase intention among Indian Gen Z consumers, using 300 responses from an urban Indian student population and PLS-SEM in SmartPLS 4 with importance-performance map analysis. Expertise, measured with items from Spake and Megehee as cited in that study, predicted credibility at .342 with a t-value of 7.007, and trust predicted credibility at .353. Brand attitude was the mediator, carrying an indirect effect of .129 described as complementary partial mediation. Trust is positioned as an antecedent of credibility rather than as a mediator, which inverts the ordering used in the present study and reflects the unsettled state of this literature.</w:t>
      </w:r>
    </w:p>
    <w:p>
      <w:pPr>
        <w:pStyle w:val="BodyTextX"/>
        <w:jc w:val="both"/>
        <w:spacing w:after="120" w:line="360" w:lineRule="auto"/>
      </w:pPr>
      <w:r>
        <w:rPr>
          <w:rFonts w:ascii="Times New Roman" w:hAnsi="Times New Roman" w:cs="Times New Roman"/>
          <w:sz w:val="24"/>
          <w:szCs w:val="24"/>
          <w:b/>
        </w:rPr>
        <w:t xml:space="preserve">Silitonga (2026)</w:t>
      </w:r>
      <w:r>
        <w:rPr>
          <w:rFonts w:ascii="Times New Roman" w:hAnsi="Times New Roman" w:cs="Times New Roman"/>
          <w:sz w:val="24"/>
          <w:szCs w:val="24"/>
        </w:rPr>
        <w:t xml:space="preserve"> examined influencer credibility, which incorporates expertise as one of its three Ohanian (1990) dimensions, on Gen Z purchase decisions for a skincare brand in Bekasi City, Indonesia. The study used 96 respondents aged 14 to 29 years selected by purposive sampling, an online questionnaire on a five-point Likert scale, and SEM-PLS in SmartPLS 3.0. Influencer credibility had no significant direct effect on purchase decisions at .007 with p of .946, but predicted brand trust at .473 with p of .000, and brand trust predicted purchase decisions at .268 with p of .009. The specific indirect effect was .127 with a t-value of 2.523 and p of .012, which the author reports as full mediation. The conclusion that influencers build awareness rather than determine final choices, and act only through trust, is the strongest single piece of evidence for the mediating structure proposed here, though the mediator is brand trust and the outcome is purchase decision.</w:t>
      </w:r>
    </w:p>
    <w:p>
      <w:pPr>
        <w:pStyle w:val="BodyTextX"/>
        <w:jc w:val="both"/>
        <w:spacing w:after="120" w:line="360" w:lineRule="auto"/>
      </w:pPr>
      <w:r>
        <w:rPr>
          <w:rFonts w:ascii="Times New Roman" w:hAnsi="Times New Roman" w:cs="Times New Roman"/>
          <w:sz w:val="24"/>
          <w:szCs w:val="24"/>
          <w:b/>
        </w:rPr>
        <w:t xml:space="preserve">Inkesar et al. (2026)</w:t>
      </w:r>
      <w:r>
        <w:rPr>
          <w:rFonts w:ascii="Times New Roman" w:hAnsi="Times New Roman" w:cs="Times New Roman"/>
          <w:sz w:val="24"/>
          <w:szCs w:val="24"/>
        </w:rPr>
        <w:t xml:space="preserve"> examined influencer marketing and purchase intention among Millennials and Generation Z in Saudi Arabia with brand trust as the mediator. Brand trust was tested as a mediator across three antecedents, with full competitive mediation reported for expertise, no mediation for credibility, and partial or inconsistent mediation for authenticity. The published coefficients are internally contradictory, since the structural table reports values such as 1.06 and -1.77 while the conclusion presents a corrected model with values of .43 and .29, and the reported factor loadings of .37 to .49 conflict with the stated threshold of .70. The study is therefore cited for the direction of the expertise-to-trust relationship and for its Gen Z regional framing rather than for magnitudes.</w:t>
      </w:r>
    </w:p>
    <w:p>
      <w:pPr>
        <w:pStyle w:val="BodyTextX"/>
        <w:jc w:val="both"/>
        <w:spacing w:after="120" w:line="360" w:lineRule="auto"/>
      </w:pPr>
      <w:r>
        <w:rPr>
          <w:rFonts w:ascii="Times New Roman" w:hAnsi="Times New Roman" w:cs="Times New Roman"/>
          <w:sz w:val="24"/>
          <w:szCs w:val="24"/>
        </w:rPr>
        <w:t xml:space="preserve">The evidence on expertise is divided, with Muthulingam and Amirtharaj (2026), Nafees et al. (2021), Chavare et al. (2025), Silitonga (2026) and Inkesar et al. (2026) supporting a positive effect on trust or credibility, and Lou and Yuan (2019) rejecting it. Since the supporting studies are more recent and several are set in South Asian or Gulf markets with Gen Z samples, a positive relationship is hypothesised.</w:t>
      </w:r>
    </w:p>
    <w:p>
      <w:pPr>
        <w:pStyle w:val="BodyTextX"/>
        <w:jc w:val="left"/>
        <w:spacing w:after="120" w:line="360" w:lineRule="auto"/>
      </w:pPr>
      <w:r>
        <w:rPr>
          <w:rFonts w:ascii="Times New Roman" w:hAnsi="Times New Roman" w:cs="Times New Roman"/>
          <w:sz w:val="24"/>
          <w:szCs w:val="24"/>
          <w:b/>
        </w:rPr>
        <w:t xml:space="preserve">H3: Influencer expertise has a significant positive influence on trust in influencers.</w:t>
      </w:r>
    </w:p>
    <w:p>
      <w:pPr>
        <w:pStyle w:val="BodyTextX"/>
        <w:jc w:val="left"/>
        <w:spacing w:after="120" w:line="360" w:lineRule="auto"/>
      </w:pPr>
      <w:r>
        <w:rPr>
          <w:rFonts w:ascii="Times New Roman" w:hAnsi="Times New Roman" w:cs="Times New Roman"/>
          <w:sz w:val="24"/>
          <w:szCs w:val="24"/>
          <w:b/>
        </w:rPr>
        <w:t xml:space="preserve">H6: Influencer expertise has a significant positive influence on Gen Z purchase intention.</w:t>
      </w:r>
    </w:p>
    <w:p>
      <w:pPr>
        <w:pStyle w:val="Heading3"/>
        <w:outlineLvl w:val="2"/>
      </w:pPr>
      <w:r>
        <w:rPr>
          <w:rFonts w:ascii="Times New Roman" w:hAnsi="Times New Roman" w:cs="Times New Roman"/>
          <w:sz w:val="26"/>
          <w:szCs w:val="26"/>
          <w:b/>
        </w:rPr>
        <w:t xml:space="preserve">2.2.5 Trust in Influencers and Gen Z Purchase Intention</w:t>
      </w:r>
    </w:p>
    <w:p>
      <w:pPr>
        <w:pStyle w:val="BodyTextX"/>
        <w:jc w:val="both"/>
        <w:spacing w:after="120" w:line="360" w:lineRule="auto"/>
      </w:pPr>
      <w:r>
        <w:rPr>
          <w:rFonts w:ascii="Times New Roman" w:hAnsi="Times New Roman" w:cs="Times New Roman"/>
          <w:sz w:val="24"/>
          <w:szCs w:val="24"/>
        </w:rPr>
        <w:t xml:space="preserve">Trust in influencers is the follower's confidence that an influencer is honest, reliable and acting with the follower's interests in view when recommending a product. It is distinguished here from brand trust, which concerns the endorsed brand, and from platform trust, which concerns the commerce environment.</w:t>
      </w:r>
    </w:p>
    <w:p>
      <w:pPr>
        <w:pStyle w:val="BodyTextX"/>
        <w:jc w:val="both"/>
        <w:spacing w:after="120" w:line="360" w:lineRule="auto"/>
      </w:pPr>
      <w:r>
        <w:rPr>
          <w:rFonts w:ascii="Times New Roman" w:hAnsi="Times New Roman" w:cs="Times New Roman"/>
          <w:sz w:val="24"/>
          <w:szCs w:val="24"/>
          <w:b/>
        </w:rPr>
        <w:t xml:space="preserve">Lou and Yuan (2019)</w:t>
      </w:r>
      <w:r>
        <w:rPr>
          <w:rFonts w:ascii="Times New Roman" w:hAnsi="Times New Roman" w:cs="Times New Roman"/>
          <w:sz w:val="24"/>
          <w:szCs w:val="24"/>
        </w:rPr>
        <w:t xml:space="preserve"> report the benchmark result. Trust in influencers' branded posts predicted purchase intention at .41 with a t-value of 8.91 and p below .001, the strongest effect in their model and larger than any content or source variable. Trust also predicted brand awareness at .217. Their model explained 62 per cent of the variance in purchase intention. Notably, influencer trustworthiness as a source trait had negative direct effects on both brand awareness at -.168 and purchase intention at -.144, which suggests that trust in the content is a different construct from perceived trustworthiness of the person.</w:t>
      </w:r>
    </w:p>
    <w:p>
      <w:pPr>
        <w:pStyle w:val="BodyTextX"/>
        <w:jc w:val="both"/>
        <w:spacing w:after="120" w:line="360" w:lineRule="auto"/>
      </w:pPr>
      <w:r>
        <w:rPr>
          <w:rFonts w:ascii="Times New Roman" w:hAnsi="Times New Roman" w:cs="Times New Roman"/>
          <w:sz w:val="24"/>
          <w:szCs w:val="24"/>
          <w:b/>
        </w:rPr>
        <w:t xml:space="preserve">Muthulingam and Amirtharaj (2026)</w:t>
      </w:r>
      <w:r>
        <w:rPr>
          <w:rFonts w:ascii="Times New Roman" w:hAnsi="Times New Roman" w:cs="Times New Roman"/>
          <w:sz w:val="24"/>
          <w:szCs w:val="24"/>
        </w:rPr>
        <w:t xml:space="preserve"> confirm the path on a Gen Z Indian sample, with trust predicting purchase intention at .426 and p below .001, alongside perception at .454. Engagement, by contrast, was not significant at -.014, and frequency of exposure had a negative effect on perception at -.098, which the authors describe as a content fatigue effect.</w:t>
      </w:r>
    </w:p>
    <w:p>
      <w:pPr>
        <w:pStyle w:val="BodyTextX"/>
        <w:jc w:val="both"/>
        <w:spacing w:after="120" w:line="360" w:lineRule="auto"/>
      </w:pPr>
      <w:r>
        <w:rPr>
          <w:rFonts w:ascii="Times New Roman" w:hAnsi="Times New Roman" w:cs="Times New Roman"/>
          <w:sz w:val="24"/>
          <w:szCs w:val="24"/>
          <w:b/>
        </w:rPr>
        <w:t xml:space="preserve">Silitonga (2026)</w:t>
      </w:r>
      <w:r>
        <w:rPr>
          <w:rFonts w:ascii="Times New Roman" w:hAnsi="Times New Roman" w:cs="Times New Roman"/>
          <w:sz w:val="24"/>
          <w:szCs w:val="24"/>
        </w:rPr>
        <w:t xml:space="preserve"> found brand trust predicted purchase decisions at .268 with p of .009 while credibility alone did not, and </w:t>
      </w:r>
      <w:r>
        <w:rPr>
          <w:rFonts w:ascii="Times New Roman" w:hAnsi="Times New Roman" w:cs="Times New Roman"/>
          <w:sz w:val="24"/>
          <w:szCs w:val="24"/>
          <w:b/>
        </w:rPr>
        <w:t xml:space="preserve">Inkesar et al. (2026)</w:t>
      </w:r>
      <w:r>
        <w:rPr>
          <w:rFonts w:ascii="Times New Roman" w:hAnsi="Times New Roman" w:cs="Times New Roman"/>
          <w:sz w:val="24"/>
          <w:szCs w:val="24"/>
        </w:rPr>
        <w:t xml:space="preserve"> position brand trust as the operative mediator between influencer attributes and purchase intention among Millennials and Gen Z in Saudi Arabia. </w:t>
      </w:r>
      <w:r>
        <w:rPr>
          <w:rFonts w:ascii="Times New Roman" w:hAnsi="Times New Roman" w:cs="Times New Roman"/>
          <w:sz w:val="24"/>
          <w:szCs w:val="24"/>
          <w:b/>
        </w:rPr>
        <w:t xml:space="preserve">Hartanto (2025)</w:t>
      </w:r>
      <w:r>
        <w:rPr>
          <w:rFonts w:ascii="Times New Roman" w:hAnsi="Times New Roman" w:cs="Times New Roman"/>
          <w:sz w:val="24"/>
          <w:szCs w:val="24"/>
        </w:rPr>
        <w:t xml:space="preserve"> found trust predicted attitude towards the influencer at .632 with a t-value of 13.04, the second largest of six antecedents. </w:t>
      </w:r>
      <w:r>
        <w:rPr>
          <w:rFonts w:ascii="Times New Roman" w:hAnsi="Times New Roman" w:cs="Times New Roman"/>
          <w:sz w:val="24"/>
          <w:szCs w:val="24"/>
          <w:b/>
        </w:rPr>
        <w:t xml:space="preserve">Perdana et al. (2023)</w:t>
      </w:r>
      <w:r>
        <w:rPr>
          <w:rFonts w:ascii="Times New Roman" w:hAnsi="Times New Roman" w:cs="Times New Roman"/>
          <w:sz w:val="24"/>
          <w:szCs w:val="24"/>
        </w:rPr>
        <w:t xml:space="preserve"> found trust predicted purchase intention at .390 with a t-value of 4.053. </w:t>
      </w:r>
      <w:r>
        <w:rPr>
          <w:rFonts w:ascii="Times New Roman" w:hAnsi="Times New Roman" w:cs="Times New Roman"/>
          <w:sz w:val="24"/>
          <w:szCs w:val="24"/>
          <w:b/>
        </w:rPr>
        <w:t xml:space="preserve">Sunilkumar et al. (2026)</w:t>
      </w:r>
      <w:r>
        <w:rPr>
          <w:rFonts w:ascii="Times New Roman" w:hAnsi="Times New Roman" w:cs="Times New Roman"/>
          <w:sz w:val="24"/>
          <w:szCs w:val="24"/>
        </w:rPr>
        <w:t xml:space="preserve"> reached the same conclusion through brand credibility, defined in trust terms, which predicted purchase intention at .463 and outperformed brand familiarity.</w:t>
      </w:r>
    </w:p>
    <w:p>
      <w:pPr>
        <w:pStyle w:val="BodyTextX"/>
        <w:jc w:val="both"/>
        <w:spacing w:after="120" w:line="360" w:lineRule="auto"/>
      </w:pPr>
      <w:r>
        <w:rPr>
          <w:rFonts w:ascii="Times New Roman" w:hAnsi="Times New Roman" w:cs="Times New Roman"/>
          <w:sz w:val="24"/>
          <w:szCs w:val="24"/>
          <w:b/>
        </w:rPr>
        <w:t xml:space="preserve">Jimenez-Castillo and Sanchez-Fernandez (2019)</w:t>
      </w:r>
      <w:r>
        <w:rPr>
          <w:rFonts w:ascii="Times New Roman" w:hAnsi="Times New Roman" w:cs="Times New Roman"/>
          <w:sz w:val="24"/>
          <w:szCs w:val="24"/>
        </w:rPr>
        <w:t xml:space="preserve"> examined digital influencers in brand recommendation with 280 Spanish respondents, of whom 91.43 per cent were aged 18 to 38 years with a mean of 23.86, using non-probabilistic convenience sampling with a snowball element, seven-point Likert scales and covariance-based structural equation modelling in LISREL 8.8. Perceived influence predicted intention to purchase recommended brands at .53, brand engagement in self-concept at .63 and brand expected value at .57, together explaining 68 per cent of the variance in purchase intention. Trust is not modelled. The authors explicitly name influencer trustworthiness and the perceived quality of the information provided by influencers as untested antecedents that future models should include, which is a direct endorsement of the variables selected for this study.</w:t>
      </w:r>
    </w:p>
    <w:p>
      <w:pPr>
        <w:pStyle w:val="BodyTextX"/>
        <w:jc w:val="both"/>
        <w:spacing w:after="120" w:line="360" w:lineRule="auto"/>
      </w:pPr>
      <w:r>
        <w:rPr>
          <w:rFonts w:ascii="Times New Roman" w:hAnsi="Times New Roman" w:cs="Times New Roman"/>
          <w:sz w:val="24"/>
          <w:szCs w:val="24"/>
        </w:rPr>
        <w:t xml:space="preserve">Across the set, trust is consistently the proximate driver of purchase intention wherever it is measured. The following hypothesis is proposed.</w:t>
      </w:r>
    </w:p>
    <w:p>
      <w:pPr>
        <w:pStyle w:val="BodyTextX"/>
        <w:jc w:val="left"/>
        <w:spacing w:after="120" w:line="360" w:lineRule="auto"/>
      </w:pPr>
      <w:r>
        <w:rPr>
          <w:rFonts w:ascii="Times New Roman" w:hAnsi="Times New Roman" w:cs="Times New Roman"/>
          <w:sz w:val="24"/>
          <w:szCs w:val="24"/>
          <w:b/>
        </w:rPr>
        <w:t xml:space="preserve">H4: Trust in influencers has a significant positive influence on Gen Z purchase intention.</w:t>
      </w:r>
    </w:p>
    <w:p>
      <w:pPr>
        <w:pStyle w:val="Heading3"/>
        <w:outlineLvl w:val="2"/>
      </w:pPr>
      <w:r>
        <w:rPr>
          <w:rFonts w:ascii="Times New Roman" w:hAnsi="Times New Roman" w:cs="Times New Roman"/>
          <w:sz w:val="26"/>
          <w:szCs w:val="26"/>
          <w:b/>
        </w:rPr>
        <w:t xml:space="preserve">2.2.6 The Mediating Role of Trust in Influencers</w:t>
      </w:r>
    </w:p>
    <w:p>
      <w:pPr>
        <w:pStyle w:val="BodyTextX"/>
        <w:jc w:val="both"/>
        <w:spacing w:after="120" w:line="360" w:lineRule="auto"/>
      </w:pPr>
      <w:r>
        <w:rPr>
          <w:rFonts w:ascii="Times New Roman" w:hAnsi="Times New Roman" w:cs="Times New Roman"/>
          <w:sz w:val="24"/>
          <w:szCs w:val="24"/>
        </w:rPr>
        <w:t xml:space="preserve">Mediation occurs when an independent variable affects a dependent variable through an intervening variable rather than only directly (Baron &amp; Kenny, 1986). Three findings support specifying trust as the mediator for content quality and expertise. Silitonga (2026) reports full mediation, with the direct credibility effect falling to non-significance at .007 once brand trust is included and the indirect effect significant at .127. Muthulingam and Amirtharaj (2026) report significant partial mediation for expertise through trust at .241 with a confidence interval excluding zero. Nafees et al. (2021) report partial mediation through trustworthiness, with the direct path falling from .518 to .32.</w:t>
      </w:r>
    </w:p>
    <w:p>
      <w:pPr>
        <w:pStyle w:val="BodyTextX"/>
        <w:jc w:val="both"/>
        <w:spacing w:after="120" w:line="360" w:lineRule="auto"/>
      </w:pPr>
      <w:r>
        <w:rPr>
          <w:rFonts w:ascii="Times New Roman" w:hAnsi="Times New Roman" w:cs="Times New Roman"/>
          <w:sz w:val="24"/>
          <w:szCs w:val="24"/>
        </w:rPr>
        <w:t xml:space="preserve">The gap is equally clear. No study in the set tests trust as the mediator between content quality and purchase intention. Muthulingam and Amirtharaj (2026) route content quality through perception instead, Bhattacharya (2026) routes it through recommendation credibility and parasocial interaction and finds the first link fails, and Shah et al. (2023) route information quality through perceived influence. Perdana et al. (2023) proposes exactly the mediation tested here but never estimates it. Chavare et al. (2025) reverses the ordering by treating trust as an antecedent of credibility. Muliani et al. (2026) tests platform trust as a moderator and finds all four moderating effects non-significant, while the direct effect holds, which is further evidence that trust operates as a mechanism in the causal chain rather than as a contingency.</w:t>
      </w:r>
    </w:p>
    <w:p>
      <w:pPr>
        <w:pStyle w:val="BodyTextX"/>
        <w:jc w:val="both"/>
        <w:spacing w:after="120" w:line="360" w:lineRule="auto"/>
      </w:pPr>
      <w:r>
        <w:rPr>
          <w:rFonts w:ascii="Times New Roman" w:hAnsi="Times New Roman" w:cs="Times New Roman"/>
          <w:sz w:val="24"/>
          <w:szCs w:val="24"/>
        </w:rPr>
        <w:t xml:space="preserve">Social influence is deliberately excluded from the mediated structure. Under Kelman (1958) compliance and identification change behaviour through group belonging and anticipated approval, neither of which requires a prior evaluation of an information source. The finding of Sharipudin et al. (2023) that normative influence outperformed informational influence, and of Gunawan et al. (2023) that social influence acted strongly on both attitude and intention, is consistent with a direct path. The following hypotheses complete the model.</w:t>
      </w:r>
    </w:p>
    <w:p>
      <w:pPr>
        <w:pStyle w:val="BodyTextX"/>
        <w:jc w:val="left"/>
        <w:spacing w:after="120" w:line="360" w:lineRule="auto"/>
      </w:pPr>
      <w:r>
        <w:rPr>
          <w:rFonts w:ascii="Times New Roman" w:hAnsi="Times New Roman" w:cs="Times New Roman"/>
          <w:sz w:val="24"/>
          <w:szCs w:val="24"/>
          <w:b/>
        </w:rPr>
        <w:t xml:space="preserve">H7a: Trust in influencers mediates the relationship between content quality and Gen Z purchase intention.</w:t>
      </w:r>
    </w:p>
    <w:p>
      <w:pPr>
        <w:pStyle w:val="BodyTextX"/>
        <w:jc w:val="left"/>
        <w:spacing w:after="120" w:line="360" w:lineRule="auto"/>
      </w:pPr>
      <w:r>
        <w:rPr>
          <w:rFonts w:ascii="Times New Roman" w:hAnsi="Times New Roman" w:cs="Times New Roman"/>
          <w:sz w:val="24"/>
          <w:szCs w:val="24"/>
          <w:b/>
        </w:rPr>
        <w:t xml:space="preserve">H7b: Trust in influencers mediates the relationship between influencer expertise and Gen Z purchase intention.</w:t>
      </w:r>
    </w:p>
    <w:p>
      <w:pPr>
        <w:pStyle w:val="Heading3"/>
        <w:outlineLvl w:val="2"/>
      </w:pPr>
      <w:r>
        <w:rPr>
          <w:rFonts w:ascii="Times New Roman" w:hAnsi="Times New Roman" w:cs="Times New Roman"/>
          <w:sz w:val="26"/>
          <w:szCs w:val="26"/>
          <w:b/>
        </w:rPr>
        <w:t xml:space="preserve">2.2.7 Summary of Reviewed Studies</w:t>
      </w:r>
    </w:p>
    <w:p>
      <w:pPr>
        <w:pStyle w:val="BodyTextX"/>
        <w:jc w:val="both"/>
        <w:spacing w:after="120" w:line="360" w:lineRule="auto"/>
      </w:pPr>
      <w:r>
        <w:rPr>
          <w:rFonts w:ascii="Times New Roman" w:hAnsi="Times New Roman" w:cs="Times New Roman"/>
          <w:sz w:val="24"/>
          <w:szCs w:val="24"/>
        </w:rPr>
        <w:t xml:space="preserve">Table 2.1 summarises the twenty studies reviewed, showing the setting, sample, method and the finding most relevant to the present model.</w:t>
      </w:r>
    </w:p>
    <w:p>
      <w:pPr>
        <w:pStyle w:val="BodyTextX"/>
        <w:jc w:val="left"/>
        <w:spacing w:after="60" w:line="360" w:lineRule="auto"/>
      </w:pPr>
      <w:r>
        <w:rPr>
          <w:rFonts w:ascii="Times New Roman" w:hAnsi="Times New Roman" w:cs="Times New Roman"/>
          <w:sz w:val="24"/>
          <w:szCs w:val="24"/>
          <w:b/>
        </w:rPr>
        <w:t xml:space="preserve">Table 2.1: Summary of the Twenty Reviewed Studies</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805"/>
        <w:gridCol w:w="1353"/>
        <w:gridCol w:w="1263"/>
        <w:gridCol w:w="4603"/>
      </w:tblGrid>
      <w:tr>
        <w:trPr>
          <w:tblHeader/>
        </w:trPr>
        <w:tc>
          <w:tcPr>
            <w:tcW w:w="1805" w:type="dxa"/>
            <w:shd w:val="clear" w:color="auto" w:fill="E8E8E8"/>
            <w:vAlign w:val="center"/>
          </w:tcPr>
          <w:p>
            <w:pPr>
              <w:jc w:val="center"/>
              <w:spacing w:before="40" w:after="40" w:line="240" w:lineRule="auto"/>
            </w:pPr>
            <w:r>
              <w:rPr>
                <w:rFonts w:ascii="Times New Roman" w:hAnsi="Times New Roman" w:cs="Times New Roman"/>
                <w:sz w:val="20"/>
                <w:szCs w:val="20"/>
                <w:b/>
              </w:rPr>
              <w:t xml:space="preserve">Author (Year)</w:t>
            </w:r>
          </w:p>
        </w:tc>
        <w:tc>
          <w:tcPr>
            <w:tcW w:w="1353" w:type="dxa"/>
            <w:shd w:val="clear" w:color="auto" w:fill="E8E8E8"/>
            <w:vAlign w:val="center"/>
          </w:tcPr>
          <w:p>
            <w:pPr>
              <w:jc w:val="center"/>
              <w:spacing w:before="40" w:after="40" w:line="240" w:lineRule="auto"/>
            </w:pPr>
            <w:r>
              <w:rPr>
                <w:rFonts w:ascii="Times New Roman" w:hAnsi="Times New Roman" w:cs="Times New Roman"/>
                <w:sz w:val="20"/>
                <w:szCs w:val="20"/>
                <w:b/>
              </w:rPr>
              <w:t xml:space="preserve">Country / N</w:t>
            </w:r>
          </w:p>
        </w:tc>
        <w:tc>
          <w:tcPr>
            <w:tcW w:w="1263" w:type="dxa"/>
            <w:shd w:val="clear" w:color="auto" w:fill="E8E8E8"/>
            <w:vAlign w:val="center"/>
          </w:tcPr>
          <w:p>
            <w:pPr>
              <w:jc w:val="center"/>
              <w:spacing w:before="40" w:after="40" w:line="240" w:lineRule="auto"/>
            </w:pPr>
            <w:r>
              <w:rPr>
                <w:rFonts w:ascii="Times New Roman" w:hAnsi="Times New Roman" w:cs="Times New Roman"/>
                <w:sz w:val="20"/>
                <w:szCs w:val="20"/>
                <w:b/>
              </w:rPr>
              <w:t xml:space="preserve">Method</w:t>
            </w:r>
          </w:p>
        </w:tc>
        <w:tc>
          <w:tcPr>
            <w:tcW w:w="4603" w:type="dxa"/>
            <w:shd w:val="clear" w:color="auto" w:fill="E8E8E8"/>
            <w:vAlign w:val="center"/>
          </w:tcPr>
          <w:p>
            <w:pPr>
              <w:jc w:val="center"/>
              <w:spacing w:before="40" w:after="40" w:line="240" w:lineRule="auto"/>
            </w:pPr>
            <w:r>
              <w:rPr>
                <w:rFonts w:ascii="Times New Roman" w:hAnsi="Times New Roman" w:cs="Times New Roman"/>
                <w:sz w:val="20"/>
                <w:szCs w:val="20"/>
                <w:b/>
              </w:rPr>
              <w:t xml:space="preserve">Finding relevant to this study</w:t>
            </w:r>
          </w:p>
        </w:tc>
      </w:tr>
      <w:tr>
        <w:tc>
          <w:tcPr>
            <w:tcW w:w="1805" w:type="dxa"/>
            <w:vAlign w:val="center"/>
          </w:tcPr>
          <w:p>
            <w:pPr>
              <w:jc w:val="left"/>
              <w:spacing w:before="40" w:after="40" w:line="240" w:lineRule="auto"/>
            </w:pPr>
            <w:r>
              <w:rPr>
                <w:rFonts w:ascii="Times New Roman" w:hAnsi="Times New Roman" w:cs="Times New Roman"/>
                <w:sz w:val="20"/>
                <w:szCs w:val="20"/>
              </w:rPr>
              <w:t xml:space="preserve">Dharma et al. (2024)</w:t>
            </w:r>
          </w:p>
        </w:tc>
        <w:tc>
          <w:tcPr>
            <w:tcW w:w="1353" w:type="dxa"/>
            <w:vAlign w:val="center"/>
          </w:tcPr>
          <w:p>
            <w:pPr>
              <w:jc w:val="left"/>
              <w:spacing w:before="40" w:after="40" w:line="240" w:lineRule="auto"/>
            </w:pPr>
            <w:r>
              <w:rPr>
                <w:rFonts w:ascii="Times New Roman" w:hAnsi="Times New Roman" w:cs="Times New Roman"/>
                <w:sz w:val="20"/>
                <w:szCs w:val="20"/>
              </w:rPr>
              <w:t xml:space="preserve">Indonesia, Malaysia, India, Nigeria; N = 150</w:t>
            </w:r>
          </w:p>
        </w:tc>
        <w:tc>
          <w:tcPr>
            <w:tcW w:w="1263" w:type="dxa"/>
            <w:vAlign w:val="center"/>
          </w:tcPr>
          <w:p>
            <w:pPr>
              <w:jc w:val="left"/>
              <w:spacing w:before="40" w:after="40" w:line="240" w:lineRule="auto"/>
            </w:pPr>
            <w:r>
              <w:rPr>
                <w:rFonts w:ascii="Times New Roman" w:hAnsi="Times New Roman" w:cs="Times New Roman"/>
                <w:sz w:val="20"/>
                <w:szCs w:val="20"/>
              </w:rPr>
              <w:t xml:space="preserve">SPSS 26 regression</w:t>
            </w:r>
          </w:p>
        </w:tc>
        <w:tc>
          <w:tcPr>
            <w:tcW w:w="4603" w:type="dxa"/>
            <w:vAlign w:val="center"/>
          </w:tcPr>
          <w:p>
            <w:pPr>
              <w:jc w:val="left"/>
              <w:spacing w:before="40" w:after="40" w:line="240" w:lineRule="auto"/>
            </w:pPr>
            <w:r>
              <w:rPr>
                <w:rFonts w:ascii="Times New Roman" w:hAnsi="Times New Roman" w:cs="Times New Roman"/>
                <w:sz w:val="20"/>
                <w:szCs w:val="20"/>
              </w:rPr>
              <w:t xml:space="preserve">Trustworthiness .337 and expertise .285 predict purchase intention; peer reviews non-significant</w:t>
            </w:r>
          </w:p>
        </w:tc>
      </w:tr>
      <w:tr>
        <w:tc>
          <w:tcPr>
            <w:tcW w:w="1805" w:type="dxa"/>
            <w:vAlign w:val="center"/>
          </w:tcPr>
          <w:p>
            <w:pPr>
              <w:jc w:val="left"/>
              <w:spacing w:before="40" w:after="40" w:line="240" w:lineRule="auto"/>
            </w:pPr>
            <w:r>
              <w:rPr>
                <w:rFonts w:ascii="Times New Roman" w:hAnsi="Times New Roman" w:cs="Times New Roman"/>
                <w:sz w:val="20"/>
                <w:szCs w:val="20"/>
              </w:rPr>
              <w:t xml:space="preserve">Liang et al. (2024)</w:t>
            </w:r>
          </w:p>
        </w:tc>
        <w:tc>
          <w:tcPr>
            <w:tcW w:w="1353" w:type="dxa"/>
            <w:vAlign w:val="center"/>
          </w:tcPr>
          <w:p>
            <w:pPr>
              <w:jc w:val="left"/>
              <w:spacing w:before="40" w:after="40" w:line="240" w:lineRule="auto"/>
            </w:pPr>
            <w:r>
              <w:rPr>
                <w:rFonts w:ascii="Times New Roman" w:hAnsi="Times New Roman" w:cs="Times New Roman"/>
                <w:sz w:val="20"/>
                <w:szCs w:val="20"/>
              </w:rPr>
              <w:t xml:space="preserve">China; N = 398</w:t>
            </w:r>
          </w:p>
        </w:tc>
        <w:tc>
          <w:tcPr>
            <w:tcW w:w="1263" w:type="dxa"/>
            <w:vAlign w:val="center"/>
          </w:tcPr>
          <w:p>
            <w:pPr>
              <w:jc w:val="left"/>
              <w:spacing w:before="40" w:after="40" w:line="240" w:lineRule="auto"/>
            </w:pPr>
            <w:r>
              <w:rPr>
                <w:rFonts w:ascii="Times New Roman" w:hAnsi="Times New Roman" w:cs="Times New Roman"/>
                <w:sz w:val="20"/>
                <w:szCs w:val="20"/>
              </w:rPr>
              <w:t xml:space="preserve">AMOS 23 CB-SEM</w:t>
            </w:r>
          </w:p>
        </w:tc>
        <w:tc>
          <w:tcPr>
            <w:tcW w:w="4603" w:type="dxa"/>
            <w:vAlign w:val="center"/>
          </w:tcPr>
          <w:p>
            <w:pPr>
              <w:jc w:val="left"/>
              <w:spacing w:before="40" w:after="40" w:line="240" w:lineRule="auto"/>
            </w:pPr>
            <w:r>
              <w:rPr>
                <w:rFonts w:ascii="Times New Roman" w:hAnsi="Times New Roman" w:cs="Times New Roman"/>
                <w:sz w:val="20"/>
                <w:szCs w:val="20"/>
              </w:rPr>
              <w:t xml:space="preserve">Social influence predicts purchase intention at .72; trust modelled as antecedent of social influence, not as mediator</w:t>
            </w:r>
          </w:p>
        </w:tc>
      </w:tr>
      <w:tr>
        <w:tc>
          <w:tcPr>
            <w:tcW w:w="1805" w:type="dxa"/>
            <w:vAlign w:val="center"/>
          </w:tcPr>
          <w:p>
            <w:pPr>
              <w:jc w:val="left"/>
              <w:spacing w:before="40" w:after="40" w:line="240" w:lineRule="auto"/>
            </w:pPr>
            <w:r>
              <w:rPr>
                <w:rFonts w:ascii="Times New Roman" w:hAnsi="Times New Roman" w:cs="Times New Roman"/>
                <w:sz w:val="20"/>
                <w:szCs w:val="20"/>
              </w:rPr>
              <w:t xml:space="preserve">Muthulingam &amp; Amirtharaj (2026)</w:t>
            </w:r>
          </w:p>
        </w:tc>
        <w:tc>
          <w:tcPr>
            <w:tcW w:w="1353" w:type="dxa"/>
            <w:vAlign w:val="center"/>
          </w:tcPr>
          <w:p>
            <w:pPr>
              <w:jc w:val="left"/>
              <w:spacing w:before="40" w:after="40" w:line="240" w:lineRule="auto"/>
            </w:pPr>
            <w:r>
              <w:rPr>
                <w:rFonts w:ascii="Times New Roman" w:hAnsi="Times New Roman" w:cs="Times New Roman"/>
                <w:sz w:val="20"/>
                <w:szCs w:val="20"/>
              </w:rPr>
              <w:t xml:space="preserve">India, Tier-1 metros; N = 370</w:t>
            </w:r>
          </w:p>
        </w:tc>
        <w:tc>
          <w:tcPr>
            <w:tcW w:w="1263" w:type="dxa"/>
            <w:vAlign w:val="center"/>
          </w:tcPr>
          <w:p>
            <w:pPr>
              <w:jc w:val="left"/>
              <w:spacing w:before="40" w:after="40" w:line="240" w:lineRule="auto"/>
            </w:pPr>
            <w:r>
              <w:rPr>
                <w:rFonts w:ascii="Times New Roman" w:hAnsi="Times New Roman" w:cs="Times New Roman"/>
                <w:sz w:val="20"/>
                <w:szCs w:val="20"/>
              </w:rPr>
              <w:t xml:space="preserve">AMOS 24 SEM, 5,000 bootstraps</w:t>
            </w:r>
          </w:p>
        </w:tc>
        <w:tc>
          <w:tcPr>
            <w:tcW w:w="4603" w:type="dxa"/>
            <w:vAlign w:val="center"/>
          </w:tcPr>
          <w:p>
            <w:pPr>
              <w:jc w:val="left"/>
              <w:spacing w:before="40" w:after="40" w:line="240" w:lineRule="auto"/>
            </w:pPr>
            <w:r>
              <w:rPr>
                <w:rFonts w:ascii="Times New Roman" w:hAnsi="Times New Roman" w:cs="Times New Roman"/>
                <w:sz w:val="20"/>
                <w:szCs w:val="20"/>
              </w:rPr>
              <w:t xml:space="preserve">Expertise to trust .565; trust to purchase intention .426; indirect effect .241; content quality routed through perception</w:t>
            </w:r>
          </w:p>
        </w:tc>
      </w:tr>
      <w:tr>
        <w:tc>
          <w:tcPr>
            <w:tcW w:w="1805" w:type="dxa"/>
            <w:vAlign w:val="center"/>
          </w:tcPr>
          <w:p>
            <w:pPr>
              <w:jc w:val="left"/>
              <w:spacing w:before="40" w:after="40" w:line="240" w:lineRule="auto"/>
            </w:pPr>
            <w:r>
              <w:rPr>
                <w:rFonts w:ascii="Times New Roman" w:hAnsi="Times New Roman" w:cs="Times New Roman"/>
                <w:sz w:val="20"/>
                <w:szCs w:val="20"/>
              </w:rPr>
              <w:t xml:space="preserve">Hossain et al. (2026)</w:t>
            </w:r>
          </w:p>
        </w:tc>
        <w:tc>
          <w:tcPr>
            <w:tcW w:w="1353" w:type="dxa"/>
            <w:vAlign w:val="center"/>
          </w:tcPr>
          <w:p>
            <w:pPr>
              <w:jc w:val="left"/>
              <w:spacing w:before="40" w:after="40" w:line="240" w:lineRule="auto"/>
            </w:pPr>
            <w:r>
              <w:rPr>
                <w:rFonts w:ascii="Times New Roman" w:hAnsi="Times New Roman" w:cs="Times New Roman"/>
                <w:sz w:val="20"/>
                <w:szCs w:val="20"/>
              </w:rPr>
              <w:t xml:space="preserve">Bangladesh; N = 160</w:t>
            </w:r>
          </w:p>
        </w:tc>
        <w:tc>
          <w:tcPr>
            <w:tcW w:w="1263" w:type="dxa"/>
            <w:vAlign w:val="center"/>
          </w:tcPr>
          <w:p>
            <w:pPr>
              <w:jc w:val="left"/>
              <w:spacing w:before="40" w:after="40" w:line="240" w:lineRule="auto"/>
            </w:pPr>
            <w:r>
              <w:rPr>
                <w:rFonts w:ascii="Times New Roman" w:hAnsi="Times New Roman" w:cs="Times New Roman"/>
                <w:sz w:val="20"/>
                <w:szCs w:val="20"/>
              </w:rPr>
              <w:t xml:space="preserve">SPSS 26 regression</w:t>
            </w:r>
          </w:p>
        </w:tc>
        <w:tc>
          <w:tcPr>
            <w:tcW w:w="4603" w:type="dxa"/>
            <w:vAlign w:val="center"/>
          </w:tcPr>
          <w:p>
            <w:pPr>
              <w:jc w:val="left"/>
              <w:spacing w:before="40" w:after="40" w:line="240" w:lineRule="auto"/>
            </w:pPr>
            <w:r>
              <w:rPr>
                <w:rFonts w:ascii="Times New Roman" w:hAnsi="Times New Roman" w:cs="Times New Roman"/>
                <w:sz w:val="20"/>
                <w:szCs w:val="20"/>
              </w:rPr>
              <w:t xml:space="preserve">Content quality predicts buying behaviour at .216; trust folded inside credibility</w:t>
            </w:r>
          </w:p>
        </w:tc>
      </w:tr>
      <w:tr>
        <w:tc>
          <w:tcPr>
            <w:tcW w:w="1805" w:type="dxa"/>
            <w:vAlign w:val="center"/>
          </w:tcPr>
          <w:p>
            <w:pPr>
              <w:jc w:val="left"/>
              <w:spacing w:before="40" w:after="40" w:line="240" w:lineRule="auto"/>
            </w:pPr>
            <w:r>
              <w:rPr>
                <w:rFonts w:ascii="Times New Roman" w:hAnsi="Times New Roman" w:cs="Times New Roman"/>
                <w:sz w:val="20"/>
                <w:szCs w:val="20"/>
              </w:rPr>
              <w:t xml:space="preserve">Chavare et al. (2025)</w:t>
            </w:r>
          </w:p>
        </w:tc>
        <w:tc>
          <w:tcPr>
            <w:tcW w:w="1353" w:type="dxa"/>
            <w:vAlign w:val="center"/>
          </w:tcPr>
          <w:p>
            <w:pPr>
              <w:jc w:val="left"/>
              <w:spacing w:before="40" w:after="40" w:line="240" w:lineRule="auto"/>
            </w:pPr>
            <w:r>
              <w:rPr>
                <w:rFonts w:ascii="Times New Roman" w:hAnsi="Times New Roman" w:cs="Times New Roman"/>
                <w:sz w:val="20"/>
                <w:szCs w:val="20"/>
              </w:rPr>
              <w:t xml:space="preserve">Urban India; N = 300</w:t>
            </w:r>
          </w:p>
        </w:tc>
        <w:tc>
          <w:tcPr>
            <w:tcW w:w="1263" w:type="dxa"/>
            <w:vAlign w:val="center"/>
          </w:tcPr>
          <w:p>
            <w:pPr>
              <w:jc w:val="left"/>
              <w:spacing w:before="40" w:after="40" w:line="240" w:lineRule="auto"/>
            </w:pPr>
            <w:r>
              <w:rPr>
                <w:rFonts w:ascii="Times New Roman" w:hAnsi="Times New Roman" w:cs="Times New Roman"/>
                <w:sz w:val="20"/>
                <w:szCs w:val="20"/>
              </w:rPr>
              <w:t xml:space="preserve">SmartPLS 4 PLS-SEM</w:t>
            </w:r>
          </w:p>
        </w:tc>
        <w:tc>
          <w:tcPr>
            <w:tcW w:w="4603" w:type="dxa"/>
            <w:vAlign w:val="center"/>
          </w:tcPr>
          <w:p>
            <w:pPr>
              <w:jc w:val="left"/>
              <w:spacing w:before="40" w:after="40" w:line="240" w:lineRule="auto"/>
            </w:pPr>
            <w:r>
              <w:rPr>
                <w:rFonts w:ascii="Times New Roman" w:hAnsi="Times New Roman" w:cs="Times New Roman"/>
                <w:sz w:val="20"/>
                <w:szCs w:val="20"/>
              </w:rPr>
              <w:t xml:space="preserve">Expertise to credibility .342; trust treated as antecedent of credibility; brand attitude is the mediator</w:t>
            </w:r>
          </w:p>
        </w:tc>
      </w:tr>
      <w:tr>
        <w:tc>
          <w:tcPr>
            <w:tcW w:w="1805" w:type="dxa"/>
            <w:vAlign w:val="center"/>
          </w:tcPr>
          <w:p>
            <w:pPr>
              <w:jc w:val="left"/>
              <w:spacing w:before="40" w:after="40" w:line="240" w:lineRule="auto"/>
            </w:pPr>
            <w:r>
              <w:rPr>
                <w:rFonts w:ascii="Times New Roman" w:hAnsi="Times New Roman" w:cs="Times New Roman"/>
                <w:sz w:val="20"/>
                <w:szCs w:val="20"/>
              </w:rPr>
              <w:t xml:space="preserve">Sharipudin et al. (2023)</w:t>
            </w:r>
          </w:p>
        </w:tc>
        <w:tc>
          <w:tcPr>
            <w:tcW w:w="1353" w:type="dxa"/>
            <w:vAlign w:val="center"/>
          </w:tcPr>
          <w:p>
            <w:pPr>
              <w:jc w:val="left"/>
              <w:spacing w:before="40" w:after="40" w:line="240" w:lineRule="auto"/>
            </w:pPr>
            <w:r>
              <w:rPr>
                <w:rFonts w:ascii="Times New Roman" w:hAnsi="Times New Roman" w:cs="Times New Roman"/>
                <w:sz w:val="20"/>
                <w:szCs w:val="20"/>
              </w:rPr>
              <w:t xml:space="preserve">Malaysia; N = 605</w:t>
            </w:r>
          </w:p>
        </w:tc>
        <w:tc>
          <w:tcPr>
            <w:tcW w:w="1263" w:type="dxa"/>
            <w:vAlign w:val="center"/>
          </w:tcPr>
          <w:p>
            <w:pPr>
              <w:jc w:val="left"/>
              <w:spacing w:before="40" w:after="40" w:line="240" w:lineRule="auto"/>
            </w:pPr>
            <w:r>
              <w:rPr>
                <w:rFonts w:ascii="Times New Roman" w:hAnsi="Times New Roman" w:cs="Times New Roman"/>
                <w:sz w:val="20"/>
                <w:szCs w:val="20"/>
              </w:rPr>
              <w:t xml:space="preserve">Multiple regression</w:t>
            </w:r>
          </w:p>
        </w:tc>
        <w:tc>
          <w:tcPr>
            <w:tcW w:w="4603" w:type="dxa"/>
            <w:vAlign w:val="center"/>
          </w:tcPr>
          <w:p>
            <w:pPr>
              <w:jc w:val="left"/>
              <w:spacing w:before="40" w:after="40" w:line="240" w:lineRule="auto"/>
            </w:pPr>
            <w:r>
              <w:rPr>
                <w:rFonts w:ascii="Times New Roman" w:hAnsi="Times New Roman" w:cs="Times New Roman"/>
                <w:sz w:val="20"/>
                <w:szCs w:val="20"/>
              </w:rPr>
              <w:t xml:space="preserve">Normative influence .463 and informational influence .228 predict purchase intention; expertise .176</w:t>
            </w:r>
          </w:p>
        </w:tc>
      </w:tr>
      <w:tr>
        <w:tc>
          <w:tcPr>
            <w:tcW w:w="1805" w:type="dxa"/>
            <w:vAlign w:val="center"/>
          </w:tcPr>
          <w:p>
            <w:pPr>
              <w:jc w:val="left"/>
              <w:spacing w:before="40" w:after="40" w:line="240" w:lineRule="auto"/>
            </w:pPr>
            <w:r>
              <w:rPr>
                <w:rFonts w:ascii="Times New Roman" w:hAnsi="Times New Roman" w:cs="Times New Roman"/>
                <w:sz w:val="20"/>
                <w:szCs w:val="20"/>
              </w:rPr>
              <w:t xml:space="preserve">Bhattacharya (2026)</w:t>
            </w:r>
          </w:p>
        </w:tc>
        <w:tc>
          <w:tcPr>
            <w:tcW w:w="1353" w:type="dxa"/>
            <w:vAlign w:val="center"/>
          </w:tcPr>
          <w:p>
            <w:pPr>
              <w:jc w:val="left"/>
              <w:spacing w:before="40" w:after="40" w:line="240" w:lineRule="auto"/>
            </w:pPr>
            <w:r>
              <w:rPr>
                <w:rFonts w:ascii="Times New Roman" w:hAnsi="Times New Roman" w:cs="Times New Roman"/>
                <w:sz w:val="20"/>
                <w:szCs w:val="20"/>
              </w:rPr>
              <w:t xml:space="preserve">India; N = 415</w:t>
            </w:r>
          </w:p>
        </w:tc>
        <w:tc>
          <w:tcPr>
            <w:tcW w:w="1263" w:type="dxa"/>
            <w:vAlign w:val="center"/>
          </w:tcPr>
          <w:p>
            <w:pPr>
              <w:jc w:val="left"/>
              <w:spacing w:before="40" w:after="40" w:line="240" w:lineRule="auto"/>
            </w:pPr>
            <w:r>
              <w:rPr>
                <w:rFonts w:ascii="Times New Roman" w:hAnsi="Times New Roman" w:cs="Times New Roman"/>
                <w:sz w:val="20"/>
                <w:szCs w:val="20"/>
              </w:rPr>
              <w:t xml:space="preserve">AMOS 30 CB-SEM</w:t>
            </w:r>
          </w:p>
        </w:tc>
        <w:tc>
          <w:tcPr>
            <w:tcW w:w="4603" w:type="dxa"/>
            <w:vAlign w:val="center"/>
          </w:tcPr>
          <w:p>
            <w:pPr>
              <w:jc w:val="left"/>
              <w:spacing w:before="40" w:after="40" w:line="240" w:lineRule="auto"/>
            </w:pPr>
            <w:r>
              <w:rPr>
                <w:rFonts w:ascii="Times New Roman" w:hAnsi="Times New Roman" w:cs="Times New Roman"/>
                <w:sz w:val="20"/>
                <w:szCs w:val="20"/>
              </w:rPr>
              <w:t xml:space="preserve">Content quality does NOT predict recommendation credibility (.07 ns); trustworthiness .48 and expertise .41 do</w:t>
            </w:r>
          </w:p>
        </w:tc>
      </w:tr>
      <w:tr>
        <w:tc>
          <w:tcPr>
            <w:tcW w:w="1805" w:type="dxa"/>
            <w:vAlign w:val="center"/>
          </w:tcPr>
          <w:p>
            <w:pPr>
              <w:jc w:val="left"/>
              <w:spacing w:before="40" w:after="40" w:line="240" w:lineRule="auto"/>
            </w:pPr>
            <w:r>
              <w:rPr>
                <w:rFonts w:ascii="Times New Roman" w:hAnsi="Times New Roman" w:cs="Times New Roman"/>
                <w:sz w:val="20"/>
                <w:szCs w:val="20"/>
              </w:rPr>
              <w:t xml:space="preserve">Hartanto (2025)</w:t>
            </w:r>
          </w:p>
        </w:tc>
        <w:tc>
          <w:tcPr>
            <w:tcW w:w="1353" w:type="dxa"/>
            <w:vAlign w:val="center"/>
          </w:tcPr>
          <w:p>
            <w:pPr>
              <w:jc w:val="left"/>
              <w:spacing w:before="40" w:after="40" w:line="240" w:lineRule="auto"/>
            </w:pPr>
            <w:r>
              <w:rPr>
                <w:rFonts w:ascii="Times New Roman" w:hAnsi="Times New Roman" w:cs="Times New Roman"/>
                <w:sz w:val="20"/>
                <w:szCs w:val="20"/>
              </w:rPr>
              <w:t xml:space="preserve">Indonesia, Greater Jakarta; N = 258</w:t>
            </w:r>
          </w:p>
        </w:tc>
        <w:tc>
          <w:tcPr>
            <w:tcW w:w="1263" w:type="dxa"/>
            <w:vAlign w:val="center"/>
          </w:tcPr>
          <w:p>
            <w:pPr>
              <w:jc w:val="left"/>
              <w:spacing w:before="40" w:after="40" w:line="240" w:lineRule="auto"/>
            </w:pPr>
            <w:r>
              <w:rPr>
                <w:rFonts w:ascii="Times New Roman" w:hAnsi="Times New Roman" w:cs="Times New Roman"/>
                <w:sz w:val="20"/>
                <w:szCs w:val="20"/>
              </w:rPr>
              <w:t xml:space="preserve">SEM</w:t>
            </w:r>
          </w:p>
        </w:tc>
        <w:tc>
          <w:tcPr>
            <w:tcW w:w="4603" w:type="dxa"/>
            <w:vAlign w:val="center"/>
          </w:tcPr>
          <w:p>
            <w:pPr>
              <w:jc w:val="left"/>
              <w:spacing w:before="40" w:after="40" w:line="240" w:lineRule="auto"/>
            </w:pPr>
            <w:r>
              <w:rPr>
                <w:rFonts w:ascii="Times New Roman" w:hAnsi="Times New Roman" w:cs="Times New Roman"/>
                <w:sz w:val="20"/>
                <w:szCs w:val="20"/>
              </w:rPr>
              <w:t xml:space="preserve">Subjective norms .631, trust .632 and expertise .616 predict attitude; attitude to purchase intention .554</w:t>
            </w:r>
          </w:p>
        </w:tc>
      </w:tr>
      <w:tr>
        <w:tc>
          <w:tcPr>
            <w:tcW w:w="1805" w:type="dxa"/>
            <w:vAlign w:val="center"/>
          </w:tcPr>
          <w:p>
            <w:pPr>
              <w:jc w:val="left"/>
              <w:spacing w:before="40" w:after="40" w:line="240" w:lineRule="auto"/>
            </w:pPr>
            <w:r>
              <w:rPr>
                <w:rFonts w:ascii="Times New Roman" w:hAnsi="Times New Roman" w:cs="Times New Roman"/>
                <w:sz w:val="20"/>
                <w:szCs w:val="20"/>
              </w:rPr>
              <w:t xml:space="preserve">Perdana et al. (2023)</w:t>
            </w:r>
          </w:p>
        </w:tc>
        <w:tc>
          <w:tcPr>
            <w:tcW w:w="1353" w:type="dxa"/>
            <w:vAlign w:val="center"/>
          </w:tcPr>
          <w:p>
            <w:pPr>
              <w:jc w:val="left"/>
              <w:spacing w:before="40" w:after="40" w:line="240" w:lineRule="auto"/>
            </w:pPr>
            <w:r>
              <w:rPr>
                <w:rFonts w:ascii="Times New Roman" w:hAnsi="Times New Roman" w:cs="Times New Roman"/>
                <w:sz w:val="20"/>
                <w:szCs w:val="20"/>
              </w:rPr>
              <w:t xml:space="preserve">Indonesia and elsewhere; N = 110</w:t>
            </w:r>
          </w:p>
        </w:tc>
        <w:tc>
          <w:tcPr>
            <w:tcW w:w="1263" w:type="dxa"/>
            <w:vAlign w:val="center"/>
          </w:tcPr>
          <w:p>
            <w:pPr>
              <w:jc w:val="left"/>
              <w:spacing w:before="40" w:after="40" w:line="240" w:lineRule="auto"/>
            </w:pPr>
            <w:r>
              <w:rPr>
                <w:rFonts w:ascii="Times New Roman" w:hAnsi="Times New Roman" w:cs="Times New Roman"/>
                <w:sz w:val="20"/>
                <w:szCs w:val="20"/>
              </w:rPr>
              <w:t xml:space="preserve">SmartPLS PLS</w:t>
            </w:r>
          </w:p>
        </w:tc>
        <w:tc>
          <w:tcPr>
            <w:tcW w:w="4603" w:type="dxa"/>
            <w:vAlign w:val="center"/>
          </w:tcPr>
          <w:p>
            <w:pPr>
              <w:jc w:val="left"/>
              <w:spacing w:before="40" w:after="40" w:line="240" w:lineRule="auto"/>
            </w:pPr>
            <w:r>
              <w:rPr>
                <w:rFonts w:ascii="Times New Roman" w:hAnsi="Times New Roman" w:cs="Times New Roman"/>
                <w:sz w:val="20"/>
                <w:szCs w:val="20"/>
              </w:rPr>
              <w:t xml:space="preserve">Content quality to trust .347; trust to purchase intention .390; mediation claimed but never tested</w:t>
            </w:r>
          </w:p>
        </w:tc>
      </w:tr>
      <w:tr>
        <w:tc>
          <w:tcPr>
            <w:tcW w:w="1805" w:type="dxa"/>
            <w:vAlign w:val="center"/>
          </w:tcPr>
          <w:p>
            <w:pPr>
              <w:jc w:val="left"/>
              <w:spacing w:before="40" w:after="40" w:line="240" w:lineRule="auto"/>
            </w:pPr>
            <w:r>
              <w:rPr>
                <w:rFonts w:ascii="Times New Roman" w:hAnsi="Times New Roman" w:cs="Times New Roman"/>
                <w:sz w:val="20"/>
                <w:szCs w:val="20"/>
              </w:rPr>
              <w:t xml:space="preserve">Silitonga (2026)</w:t>
            </w:r>
          </w:p>
        </w:tc>
        <w:tc>
          <w:tcPr>
            <w:tcW w:w="1353" w:type="dxa"/>
            <w:vAlign w:val="center"/>
          </w:tcPr>
          <w:p>
            <w:pPr>
              <w:jc w:val="left"/>
              <w:spacing w:before="40" w:after="40" w:line="240" w:lineRule="auto"/>
            </w:pPr>
            <w:r>
              <w:rPr>
                <w:rFonts w:ascii="Times New Roman" w:hAnsi="Times New Roman" w:cs="Times New Roman"/>
                <w:sz w:val="20"/>
                <w:szCs w:val="20"/>
              </w:rPr>
              <w:t xml:space="preserve">Indonesia, Bekasi City; N = 96</w:t>
            </w:r>
          </w:p>
        </w:tc>
        <w:tc>
          <w:tcPr>
            <w:tcW w:w="1263" w:type="dxa"/>
            <w:vAlign w:val="center"/>
          </w:tcPr>
          <w:p>
            <w:pPr>
              <w:jc w:val="left"/>
              <w:spacing w:before="40" w:after="40" w:line="240" w:lineRule="auto"/>
            </w:pPr>
            <w:r>
              <w:rPr>
                <w:rFonts w:ascii="Times New Roman" w:hAnsi="Times New Roman" w:cs="Times New Roman"/>
                <w:sz w:val="20"/>
                <w:szCs w:val="20"/>
              </w:rPr>
              <w:t xml:space="preserve">SmartPLS 3.0 SEM-PLS</w:t>
            </w:r>
          </w:p>
        </w:tc>
        <w:tc>
          <w:tcPr>
            <w:tcW w:w="4603" w:type="dxa"/>
            <w:vAlign w:val="center"/>
          </w:tcPr>
          <w:p>
            <w:pPr>
              <w:jc w:val="left"/>
              <w:spacing w:before="40" w:after="40" w:line="240" w:lineRule="auto"/>
            </w:pPr>
            <w:r>
              <w:rPr>
                <w:rFonts w:ascii="Times New Roman" w:hAnsi="Times New Roman" w:cs="Times New Roman"/>
                <w:sz w:val="20"/>
                <w:szCs w:val="20"/>
              </w:rPr>
              <w:t xml:space="preserve">Credibility to purchase decision non-significant; full mediation through brand trust, indirect effect .127</w:t>
            </w:r>
          </w:p>
        </w:tc>
      </w:tr>
      <w:tr>
        <w:tc>
          <w:tcPr>
            <w:tcW w:w="1805" w:type="dxa"/>
            <w:vAlign w:val="center"/>
          </w:tcPr>
          <w:p>
            <w:pPr>
              <w:jc w:val="left"/>
              <w:spacing w:before="40" w:after="40" w:line="240" w:lineRule="auto"/>
            </w:pPr>
            <w:r>
              <w:rPr>
                <w:rFonts w:ascii="Times New Roman" w:hAnsi="Times New Roman" w:cs="Times New Roman"/>
                <w:sz w:val="20"/>
                <w:szCs w:val="20"/>
              </w:rPr>
              <w:t xml:space="preserve">Sunilkumar et al. (2026)</w:t>
            </w:r>
          </w:p>
        </w:tc>
        <w:tc>
          <w:tcPr>
            <w:tcW w:w="1353" w:type="dxa"/>
            <w:vAlign w:val="center"/>
          </w:tcPr>
          <w:p>
            <w:pPr>
              <w:jc w:val="left"/>
              <w:spacing w:before="40" w:after="40" w:line="240" w:lineRule="auto"/>
            </w:pPr>
            <w:r>
              <w:rPr>
                <w:rFonts w:ascii="Times New Roman" w:hAnsi="Times New Roman" w:cs="Times New Roman"/>
                <w:sz w:val="20"/>
                <w:szCs w:val="20"/>
              </w:rPr>
              <w:t xml:space="preserve">United Arab Emirates; N = 271</w:t>
            </w:r>
          </w:p>
        </w:tc>
        <w:tc>
          <w:tcPr>
            <w:tcW w:w="1263" w:type="dxa"/>
            <w:vAlign w:val="center"/>
          </w:tcPr>
          <w:p>
            <w:pPr>
              <w:jc w:val="left"/>
              <w:spacing w:before="40" w:after="40" w:line="240" w:lineRule="auto"/>
            </w:pPr>
            <w:r>
              <w:rPr>
                <w:rFonts w:ascii="Times New Roman" w:hAnsi="Times New Roman" w:cs="Times New Roman"/>
                <w:sz w:val="20"/>
                <w:szCs w:val="20"/>
              </w:rPr>
              <w:t xml:space="preserve">AMOS 26 CB-SEM</w:t>
            </w:r>
          </w:p>
        </w:tc>
        <w:tc>
          <w:tcPr>
            <w:tcW w:w="4603" w:type="dxa"/>
            <w:vAlign w:val="center"/>
          </w:tcPr>
          <w:p>
            <w:pPr>
              <w:jc w:val="left"/>
              <w:spacing w:before="40" w:after="40" w:line="240" w:lineRule="auto"/>
            </w:pPr>
            <w:r>
              <w:rPr>
                <w:rFonts w:ascii="Times New Roman" w:hAnsi="Times New Roman" w:cs="Times New Roman"/>
                <w:sz w:val="20"/>
                <w:szCs w:val="20"/>
              </w:rPr>
              <w:t xml:space="preserve">Brand credibility to purchase intention .463; Social Influence Theory cited but social influence not measured</w:t>
            </w:r>
          </w:p>
        </w:tc>
      </w:tr>
      <w:tr>
        <w:tc>
          <w:tcPr>
            <w:tcW w:w="1805" w:type="dxa"/>
            <w:vAlign w:val="center"/>
          </w:tcPr>
          <w:p>
            <w:pPr>
              <w:jc w:val="left"/>
              <w:spacing w:before="40" w:after="40" w:line="240" w:lineRule="auto"/>
            </w:pPr>
            <w:r>
              <w:rPr>
                <w:rFonts w:ascii="Times New Roman" w:hAnsi="Times New Roman" w:cs="Times New Roman"/>
                <w:sz w:val="20"/>
                <w:szCs w:val="20"/>
              </w:rPr>
              <w:t xml:space="preserve">Muliani et al. (2026)</w:t>
            </w:r>
          </w:p>
        </w:tc>
        <w:tc>
          <w:tcPr>
            <w:tcW w:w="1353" w:type="dxa"/>
            <w:vAlign w:val="center"/>
          </w:tcPr>
          <w:p>
            <w:pPr>
              <w:jc w:val="left"/>
              <w:spacing w:before="40" w:after="40" w:line="240" w:lineRule="auto"/>
            </w:pPr>
            <w:r>
              <w:rPr>
                <w:rFonts w:ascii="Times New Roman" w:hAnsi="Times New Roman" w:cs="Times New Roman"/>
                <w:sz w:val="20"/>
                <w:szCs w:val="20"/>
              </w:rPr>
              <w:t xml:space="preserve">Indonesia; N = 120</w:t>
            </w:r>
          </w:p>
        </w:tc>
        <w:tc>
          <w:tcPr>
            <w:tcW w:w="1263" w:type="dxa"/>
            <w:vAlign w:val="center"/>
          </w:tcPr>
          <w:p>
            <w:pPr>
              <w:jc w:val="left"/>
              <w:spacing w:before="40" w:after="40" w:line="240" w:lineRule="auto"/>
            </w:pPr>
            <w:r>
              <w:rPr>
                <w:rFonts w:ascii="Times New Roman" w:hAnsi="Times New Roman" w:cs="Times New Roman"/>
                <w:sz w:val="20"/>
                <w:szCs w:val="20"/>
              </w:rPr>
              <w:t xml:space="preserve">PLS-SEM</w:t>
            </w:r>
          </w:p>
        </w:tc>
        <w:tc>
          <w:tcPr>
            <w:tcW w:w="4603" w:type="dxa"/>
            <w:vAlign w:val="center"/>
          </w:tcPr>
          <w:p>
            <w:pPr>
              <w:jc w:val="left"/>
              <w:spacing w:before="40" w:after="40" w:line="240" w:lineRule="auto"/>
            </w:pPr>
            <w:r>
              <w:rPr>
                <w:rFonts w:ascii="Times New Roman" w:hAnsi="Times New Roman" w:cs="Times New Roman"/>
                <w:sz w:val="20"/>
                <w:szCs w:val="20"/>
              </w:rPr>
              <w:t xml:space="preserve">Influencer marketing non-significant; social proof .328 and user-generated content .340 significant; platform trust fails as moderator</w:t>
            </w:r>
          </w:p>
        </w:tc>
      </w:tr>
      <w:tr>
        <w:tc>
          <w:tcPr>
            <w:tcW w:w="1805" w:type="dxa"/>
            <w:vAlign w:val="center"/>
          </w:tcPr>
          <w:p>
            <w:pPr>
              <w:jc w:val="left"/>
              <w:spacing w:before="40" w:after="40" w:line="240" w:lineRule="auto"/>
            </w:pPr>
            <w:r>
              <w:rPr>
                <w:rFonts w:ascii="Times New Roman" w:hAnsi="Times New Roman" w:cs="Times New Roman"/>
                <w:sz w:val="20"/>
                <w:szCs w:val="20"/>
              </w:rPr>
              <w:t xml:space="preserve">Lou &amp; Yuan (2019)</w:t>
            </w:r>
          </w:p>
        </w:tc>
        <w:tc>
          <w:tcPr>
            <w:tcW w:w="1353" w:type="dxa"/>
            <w:vAlign w:val="center"/>
          </w:tcPr>
          <w:p>
            <w:pPr>
              <w:jc w:val="left"/>
              <w:spacing w:before="40" w:after="40" w:line="240" w:lineRule="auto"/>
            </w:pPr>
            <w:r>
              <w:rPr>
                <w:rFonts w:ascii="Times New Roman" w:hAnsi="Times New Roman" w:cs="Times New Roman"/>
                <w:sz w:val="20"/>
                <w:szCs w:val="20"/>
              </w:rPr>
              <w:t xml:space="preserve">United States; N = 538</w:t>
            </w:r>
          </w:p>
        </w:tc>
        <w:tc>
          <w:tcPr>
            <w:tcW w:w="1263" w:type="dxa"/>
            <w:vAlign w:val="center"/>
          </w:tcPr>
          <w:p>
            <w:pPr>
              <w:jc w:val="left"/>
              <w:spacing w:before="40" w:after="40" w:line="240" w:lineRule="auto"/>
            </w:pPr>
            <w:r>
              <w:rPr>
                <w:rFonts w:ascii="Times New Roman" w:hAnsi="Times New Roman" w:cs="Times New Roman"/>
                <w:sz w:val="20"/>
                <w:szCs w:val="20"/>
              </w:rPr>
              <w:t xml:space="preserve">SmartPLS 3 PLS</w:t>
            </w:r>
          </w:p>
        </w:tc>
        <w:tc>
          <w:tcPr>
            <w:tcW w:w="4603" w:type="dxa"/>
            <w:vAlign w:val="center"/>
          </w:tcPr>
          <w:p>
            <w:pPr>
              <w:jc w:val="left"/>
              <w:spacing w:before="40" w:after="40" w:line="240" w:lineRule="auto"/>
            </w:pPr>
            <w:r>
              <w:rPr>
                <w:rFonts w:ascii="Times New Roman" w:hAnsi="Times New Roman" w:cs="Times New Roman"/>
                <w:sz w:val="20"/>
                <w:szCs w:val="20"/>
              </w:rPr>
              <w:t xml:space="preserve">Trust to purchase intention .41, strongest path; informative value to trust .19; expertise to trust NON-significant</w:t>
            </w:r>
          </w:p>
        </w:tc>
      </w:tr>
      <w:tr>
        <w:tc>
          <w:tcPr>
            <w:tcW w:w="1805" w:type="dxa"/>
            <w:vAlign w:val="center"/>
          </w:tcPr>
          <w:p>
            <w:pPr>
              <w:jc w:val="left"/>
              <w:spacing w:before="40" w:after="40" w:line="240" w:lineRule="auto"/>
            </w:pPr>
            <w:r>
              <w:rPr>
                <w:rFonts w:ascii="Times New Roman" w:hAnsi="Times New Roman" w:cs="Times New Roman"/>
                <w:sz w:val="20"/>
                <w:szCs w:val="20"/>
              </w:rPr>
              <w:t xml:space="preserve">Inkesar et al. (2026)</w:t>
            </w:r>
          </w:p>
        </w:tc>
        <w:tc>
          <w:tcPr>
            <w:tcW w:w="1353" w:type="dxa"/>
            <w:vAlign w:val="center"/>
          </w:tcPr>
          <w:p>
            <w:pPr>
              <w:jc w:val="left"/>
              <w:spacing w:before="40" w:after="40" w:line="240" w:lineRule="auto"/>
            </w:pPr>
            <w:r>
              <w:rPr>
                <w:rFonts w:ascii="Times New Roman" w:hAnsi="Times New Roman" w:cs="Times New Roman"/>
                <w:sz w:val="20"/>
                <w:szCs w:val="20"/>
              </w:rPr>
              <w:t xml:space="preserve">Saudi Arabia</w:t>
            </w:r>
          </w:p>
        </w:tc>
        <w:tc>
          <w:tcPr>
            <w:tcW w:w="1263" w:type="dxa"/>
            <w:vAlign w:val="center"/>
          </w:tcPr>
          <w:p>
            <w:pPr>
              <w:jc w:val="left"/>
              <w:spacing w:before="40" w:after="40" w:line="240" w:lineRule="auto"/>
            </w:pPr>
            <w:r>
              <w:rPr>
                <w:rFonts w:ascii="Times New Roman" w:hAnsi="Times New Roman" w:cs="Times New Roman"/>
                <w:sz w:val="20"/>
                <w:szCs w:val="20"/>
              </w:rPr>
              <w:t xml:space="preserve">SEM</w:t>
            </w:r>
          </w:p>
        </w:tc>
        <w:tc>
          <w:tcPr>
            <w:tcW w:w="4603" w:type="dxa"/>
            <w:vAlign w:val="center"/>
          </w:tcPr>
          <w:p>
            <w:pPr>
              <w:jc w:val="left"/>
              <w:spacing w:before="40" w:after="40" w:line="240" w:lineRule="auto"/>
            </w:pPr>
            <w:r>
              <w:rPr>
                <w:rFonts w:ascii="Times New Roman" w:hAnsi="Times New Roman" w:cs="Times New Roman"/>
                <w:sz w:val="20"/>
                <w:szCs w:val="20"/>
              </w:rPr>
              <w:t xml:space="preserve">Brand trust mediates expertise to purchase intention; reported coefficients internally inconsistent</w:t>
            </w:r>
          </w:p>
        </w:tc>
      </w:tr>
      <w:tr>
        <w:tc>
          <w:tcPr>
            <w:tcW w:w="1805" w:type="dxa"/>
            <w:vAlign w:val="center"/>
          </w:tcPr>
          <w:p>
            <w:pPr>
              <w:jc w:val="left"/>
              <w:spacing w:before="40" w:after="40" w:line="240" w:lineRule="auto"/>
            </w:pPr>
            <w:r>
              <w:rPr>
                <w:rFonts w:ascii="Times New Roman" w:hAnsi="Times New Roman" w:cs="Times New Roman"/>
                <w:sz w:val="20"/>
                <w:szCs w:val="20"/>
              </w:rPr>
              <w:t xml:space="preserve">Shah et al. (2023)</w:t>
            </w:r>
          </w:p>
        </w:tc>
        <w:tc>
          <w:tcPr>
            <w:tcW w:w="1353" w:type="dxa"/>
            <w:vAlign w:val="center"/>
          </w:tcPr>
          <w:p>
            <w:pPr>
              <w:jc w:val="left"/>
              <w:spacing w:before="40" w:after="40" w:line="240" w:lineRule="auto"/>
            </w:pPr>
            <w:r>
              <w:rPr>
                <w:rFonts w:ascii="Times New Roman" w:hAnsi="Times New Roman" w:cs="Times New Roman"/>
                <w:sz w:val="20"/>
                <w:szCs w:val="20"/>
              </w:rPr>
              <w:t xml:space="preserve">Pakistan; N = 298</w:t>
            </w:r>
          </w:p>
        </w:tc>
        <w:tc>
          <w:tcPr>
            <w:tcW w:w="1263" w:type="dxa"/>
            <w:vAlign w:val="center"/>
          </w:tcPr>
          <w:p>
            <w:pPr>
              <w:jc w:val="left"/>
              <w:spacing w:before="40" w:after="40" w:line="240" w:lineRule="auto"/>
            </w:pPr>
            <w:r>
              <w:rPr>
                <w:rFonts w:ascii="Times New Roman" w:hAnsi="Times New Roman" w:cs="Times New Roman"/>
                <w:sz w:val="20"/>
                <w:szCs w:val="20"/>
              </w:rPr>
              <w:t xml:space="preserve">SmartPLS PLS-SEM</w:t>
            </w:r>
          </w:p>
        </w:tc>
        <w:tc>
          <w:tcPr>
            <w:tcW w:w="4603" w:type="dxa"/>
            <w:vAlign w:val="center"/>
          </w:tcPr>
          <w:p>
            <w:pPr>
              <w:jc w:val="left"/>
              <w:spacing w:before="40" w:after="40" w:line="240" w:lineRule="auto"/>
            </w:pPr>
            <w:r>
              <w:rPr>
                <w:rFonts w:ascii="Times New Roman" w:hAnsi="Times New Roman" w:cs="Times New Roman"/>
                <w:sz w:val="20"/>
                <w:szCs w:val="20"/>
              </w:rPr>
              <w:t xml:space="preserve">Perceived quality of information to perceived influence .413; perceived influence to purchase intention .578</w:t>
            </w:r>
          </w:p>
        </w:tc>
      </w:tr>
      <w:tr>
        <w:tc>
          <w:tcPr>
            <w:tcW w:w="1805" w:type="dxa"/>
            <w:vAlign w:val="center"/>
          </w:tcPr>
          <w:p>
            <w:pPr>
              <w:jc w:val="left"/>
              <w:spacing w:before="40" w:after="40" w:line="240" w:lineRule="auto"/>
            </w:pPr>
            <w:r>
              <w:rPr>
                <w:rFonts w:ascii="Times New Roman" w:hAnsi="Times New Roman" w:cs="Times New Roman"/>
                <w:sz w:val="20"/>
                <w:szCs w:val="20"/>
              </w:rPr>
              <w:t xml:space="preserve">Jimenez-Castillo &amp; Sanchez-Fernandez (2019)</w:t>
            </w:r>
          </w:p>
        </w:tc>
        <w:tc>
          <w:tcPr>
            <w:tcW w:w="1353" w:type="dxa"/>
            <w:vAlign w:val="center"/>
          </w:tcPr>
          <w:p>
            <w:pPr>
              <w:jc w:val="left"/>
              <w:spacing w:before="40" w:after="40" w:line="240" w:lineRule="auto"/>
            </w:pPr>
            <w:r>
              <w:rPr>
                <w:rFonts w:ascii="Times New Roman" w:hAnsi="Times New Roman" w:cs="Times New Roman"/>
                <w:sz w:val="20"/>
                <w:szCs w:val="20"/>
              </w:rPr>
              <w:t xml:space="preserve">Spain; N = 280</w:t>
            </w:r>
          </w:p>
        </w:tc>
        <w:tc>
          <w:tcPr>
            <w:tcW w:w="1263" w:type="dxa"/>
            <w:vAlign w:val="center"/>
          </w:tcPr>
          <w:p>
            <w:pPr>
              <w:jc w:val="left"/>
              <w:spacing w:before="40" w:after="40" w:line="240" w:lineRule="auto"/>
            </w:pPr>
            <w:r>
              <w:rPr>
                <w:rFonts w:ascii="Times New Roman" w:hAnsi="Times New Roman" w:cs="Times New Roman"/>
                <w:sz w:val="20"/>
                <w:szCs w:val="20"/>
              </w:rPr>
              <w:t xml:space="preserve">LISREL 8.8 CB-SEM</w:t>
            </w:r>
          </w:p>
        </w:tc>
        <w:tc>
          <w:tcPr>
            <w:tcW w:w="4603" w:type="dxa"/>
            <w:vAlign w:val="center"/>
          </w:tcPr>
          <w:p>
            <w:pPr>
              <w:jc w:val="left"/>
              <w:spacing w:before="40" w:after="40" w:line="240" w:lineRule="auto"/>
            </w:pPr>
            <w:r>
              <w:rPr>
                <w:rFonts w:ascii="Times New Roman" w:hAnsi="Times New Roman" w:cs="Times New Roman"/>
                <w:sz w:val="20"/>
                <w:szCs w:val="20"/>
              </w:rPr>
              <w:t xml:space="preserve">Perceived influence to purchase intention .53; names trust and information quality as untested future variables</w:t>
            </w:r>
          </w:p>
        </w:tc>
      </w:tr>
      <w:tr>
        <w:tc>
          <w:tcPr>
            <w:tcW w:w="1805" w:type="dxa"/>
            <w:vAlign w:val="center"/>
          </w:tcPr>
          <w:p>
            <w:pPr>
              <w:jc w:val="left"/>
              <w:spacing w:before="40" w:after="40" w:line="240" w:lineRule="auto"/>
            </w:pPr>
            <w:r>
              <w:rPr>
                <w:rFonts w:ascii="Times New Roman" w:hAnsi="Times New Roman" w:cs="Times New Roman"/>
                <w:sz w:val="20"/>
                <w:szCs w:val="20"/>
              </w:rPr>
              <w:t xml:space="preserve">Nafees et al. (2021)</w:t>
            </w:r>
          </w:p>
        </w:tc>
        <w:tc>
          <w:tcPr>
            <w:tcW w:w="1353" w:type="dxa"/>
            <w:vAlign w:val="center"/>
          </w:tcPr>
          <w:p>
            <w:pPr>
              <w:jc w:val="left"/>
              <w:spacing w:before="40" w:after="40" w:line="240" w:lineRule="auto"/>
            </w:pPr>
            <w:r>
              <w:rPr>
                <w:rFonts w:ascii="Times New Roman" w:hAnsi="Times New Roman" w:cs="Times New Roman"/>
                <w:sz w:val="20"/>
                <w:szCs w:val="20"/>
              </w:rPr>
              <w:t xml:space="preserve">United States; N = 231</w:t>
            </w:r>
          </w:p>
        </w:tc>
        <w:tc>
          <w:tcPr>
            <w:tcW w:w="1263" w:type="dxa"/>
            <w:vAlign w:val="center"/>
          </w:tcPr>
          <w:p>
            <w:pPr>
              <w:jc w:val="left"/>
              <w:spacing w:before="40" w:after="40" w:line="240" w:lineRule="auto"/>
            </w:pPr>
            <w:r>
              <w:rPr>
                <w:rFonts w:ascii="Times New Roman" w:hAnsi="Times New Roman" w:cs="Times New Roman"/>
                <w:sz w:val="20"/>
                <w:szCs w:val="20"/>
              </w:rPr>
              <w:t xml:space="preserve">CFA and path analysis</w:t>
            </w:r>
          </w:p>
        </w:tc>
        <w:tc>
          <w:tcPr>
            <w:tcW w:w="4603" w:type="dxa"/>
            <w:vAlign w:val="center"/>
          </w:tcPr>
          <w:p>
            <w:pPr>
              <w:jc w:val="left"/>
              <w:spacing w:before="40" w:after="40" w:line="240" w:lineRule="auto"/>
            </w:pPr>
            <w:r>
              <w:rPr>
                <w:rFonts w:ascii="Times New Roman" w:hAnsi="Times New Roman" w:cs="Times New Roman"/>
                <w:sz w:val="20"/>
                <w:szCs w:val="20"/>
              </w:rPr>
              <w:t xml:space="preserve">Trustworthiness and expertise partially mediate influencer power to brand attitude; goodwill fails</w:t>
            </w:r>
          </w:p>
        </w:tc>
      </w:tr>
      <w:tr>
        <w:tc>
          <w:tcPr>
            <w:tcW w:w="1805" w:type="dxa"/>
            <w:vAlign w:val="center"/>
          </w:tcPr>
          <w:p>
            <w:pPr>
              <w:jc w:val="left"/>
              <w:spacing w:before="40" w:after="40" w:line="240" w:lineRule="auto"/>
            </w:pPr>
            <w:r>
              <w:rPr>
                <w:rFonts w:ascii="Times New Roman" w:hAnsi="Times New Roman" w:cs="Times New Roman"/>
                <w:sz w:val="20"/>
                <w:szCs w:val="20"/>
              </w:rPr>
              <w:t xml:space="preserve">Lou &amp; Kim (2019)</w:t>
            </w:r>
          </w:p>
        </w:tc>
        <w:tc>
          <w:tcPr>
            <w:tcW w:w="1353" w:type="dxa"/>
            <w:vAlign w:val="center"/>
          </w:tcPr>
          <w:p>
            <w:pPr>
              <w:jc w:val="left"/>
              <w:spacing w:before="40" w:after="40" w:line="240" w:lineRule="auto"/>
            </w:pPr>
            <w:r>
              <w:rPr>
                <w:rFonts w:ascii="Times New Roman" w:hAnsi="Times New Roman" w:cs="Times New Roman"/>
                <w:sz w:val="20"/>
                <w:szCs w:val="20"/>
              </w:rPr>
              <w:t xml:space="preserve">United States; N = 415, ages 10-19</w:t>
            </w:r>
          </w:p>
        </w:tc>
        <w:tc>
          <w:tcPr>
            <w:tcW w:w="1263" w:type="dxa"/>
            <w:vAlign w:val="center"/>
          </w:tcPr>
          <w:p>
            <w:pPr>
              <w:jc w:val="left"/>
              <w:spacing w:before="40" w:after="40" w:line="240" w:lineRule="auto"/>
            </w:pPr>
            <w:r>
              <w:rPr>
                <w:rFonts w:ascii="Times New Roman" w:hAnsi="Times New Roman" w:cs="Times New Roman"/>
                <w:sz w:val="20"/>
                <w:szCs w:val="20"/>
              </w:rPr>
              <w:t xml:space="preserve">AMOS 24 SEM</w:t>
            </w:r>
          </w:p>
        </w:tc>
        <w:tc>
          <w:tcPr>
            <w:tcW w:w="4603" w:type="dxa"/>
            <w:vAlign w:val="center"/>
          </w:tcPr>
          <w:p>
            <w:pPr>
              <w:jc w:val="left"/>
              <w:spacing w:before="40" w:after="40" w:line="240" w:lineRule="auto"/>
            </w:pPr>
            <w:r>
              <w:rPr>
                <w:rFonts w:ascii="Times New Roman" w:hAnsi="Times New Roman" w:cs="Times New Roman"/>
                <w:sz w:val="20"/>
                <w:szCs w:val="20"/>
              </w:rPr>
              <w:t xml:space="preserve">Informative value does NOT predict parasocial relationship; trustworthiness .22 does</w:t>
            </w:r>
          </w:p>
        </w:tc>
      </w:tr>
      <w:tr>
        <w:tc>
          <w:tcPr>
            <w:tcW w:w="1805" w:type="dxa"/>
            <w:vAlign w:val="center"/>
          </w:tcPr>
          <w:p>
            <w:pPr>
              <w:jc w:val="left"/>
              <w:spacing w:before="40" w:after="40" w:line="240" w:lineRule="auto"/>
            </w:pPr>
            <w:r>
              <w:rPr>
                <w:rFonts w:ascii="Times New Roman" w:hAnsi="Times New Roman" w:cs="Times New Roman"/>
                <w:sz w:val="20"/>
                <w:szCs w:val="20"/>
              </w:rPr>
              <w:t xml:space="preserve">Al-Mu'ani et al. (2023)</w:t>
            </w:r>
          </w:p>
        </w:tc>
        <w:tc>
          <w:tcPr>
            <w:tcW w:w="1353" w:type="dxa"/>
            <w:vAlign w:val="center"/>
          </w:tcPr>
          <w:p>
            <w:pPr>
              <w:jc w:val="left"/>
              <w:spacing w:before="40" w:after="40" w:line="240" w:lineRule="auto"/>
            </w:pPr>
            <w:r>
              <w:rPr>
                <w:rFonts w:ascii="Times New Roman" w:hAnsi="Times New Roman" w:cs="Times New Roman"/>
                <w:sz w:val="20"/>
                <w:szCs w:val="20"/>
              </w:rPr>
              <w:t xml:space="preserve">Jordan; N = 309</w:t>
            </w:r>
          </w:p>
        </w:tc>
        <w:tc>
          <w:tcPr>
            <w:tcW w:w="1263" w:type="dxa"/>
            <w:vAlign w:val="center"/>
          </w:tcPr>
          <w:p>
            <w:pPr>
              <w:jc w:val="left"/>
              <w:spacing w:before="40" w:after="40" w:line="240" w:lineRule="auto"/>
            </w:pPr>
            <w:r>
              <w:rPr>
                <w:rFonts w:ascii="Times New Roman" w:hAnsi="Times New Roman" w:cs="Times New Roman"/>
                <w:sz w:val="20"/>
                <w:szCs w:val="20"/>
              </w:rPr>
              <w:t xml:space="preserve">SPSS and AMOS</w:t>
            </w:r>
          </w:p>
        </w:tc>
        <w:tc>
          <w:tcPr>
            <w:tcW w:w="4603" w:type="dxa"/>
            <w:vAlign w:val="center"/>
          </w:tcPr>
          <w:p>
            <w:pPr>
              <w:jc w:val="left"/>
              <w:spacing w:before="40" w:after="40" w:line="240" w:lineRule="auto"/>
            </w:pPr>
            <w:r>
              <w:rPr>
                <w:rFonts w:ascii="Times New Roman" w:hAnsi="Times New Roman" w:cs="Times New Roman"/>
                <w:sz w:val="20"/>
                <w:szCs w:val="20"/>
              </w:rPr>
              <w:t xml:space="preserve">Information quality weakest predictor at .13; trustworthiness to purchase intention .325 via brand attitude</w:t>
            </w:r>
          </w:p>
        </w:tc>
      </w:tr>
      <w:tr>
        <w:tc>
          <w:tcPr>
            <w:tcW w:w="1805" w:type="dxa"/>
            <w:vAlign w:val="center"/>
          </w:tcPr>
          <w:p>
            <w:pPr>
              <w:jc w:val="left"/>
              <w:spacing w:before="40" w:after="40" w:line="240" w:lineRule="auto"/>
            </w:pPr>
            <w:r>
              <w:rPr>
                <w:rFonts w:ascii="Times New Roman" w:hAnsi="Times New Roman" w:cs="Times New Roman"/>
                <w:sz w:val="20"/>
                <w:szCs w:val="20"/>
              </w:rPr>
              <w:t xml:space="preserve">Gunawan et al. (2023)</w:t>
            </w:r>
          </w:p>
        </w:tc>
        <w:tc>
          <w:tcPr>
            <w:tcW w:w="1353" w:type="dxa"/>
            <w:vAlign w:val="center"/>
          </w:tcPr>
          <w:p>
            <w:pPr>
              <w:jc w:val="left"/>
              <w:spacing w:before="40" w:after="40" w:line="240" w:lineRule="auto"/>
            </w:pPr>
            <w:r>
              <w:rPr>
                <w:rFonts w:ascii="Times New Roman" w:hAnsi="Times New Roman" w:cs="Times New Roman"/>
                <w:sz w:val="20"/>
                <w:szCs w:val="20"/>
              </w:rPr>
              <w:t xml:space="preserve">Indonesia, Surabaya; N = 338</w:t>
            </w:r>
          </w:p>
        </w:tc>
        <w:tc>
          <w:tcPr>
            <w:tcW w:w="1263" w:type="dxa"/>
            <w:vAlign w:val="center"/>
          </w:tcPr>
          <w:p>
            <w:pPr>
              <w:jc w:val="left"/>
              <w:spacing w:before="40" w:after="40" w:line="240" w:lineRule="auto"/>
            </w:pPr>
            <w:r>
              <w:rPr>
                <w:rFonts w:ascii="Times New Roman" w:hAnsi="Times New Roman" w:cs="Times New Roman"/>
                <w:sz w:val="20"/>
                <w:szCs w:val="20"/>
              </w:rPr>
              <w:t xml:space="preserve">PLS-SEM</w:t>
            </w:r>
          </w:p>
        </w:tc>
        <w:tc>
          <w:tcPr>
            <w:tcW w:w="4603" w:type="dxa"/>
            <w:vAlign w:val="center"/>
          </w:tcPr>
          <w:p>
            <w:pPr>
              <w:jc w:val="left"/>
              <w:spacing w:before="40" w:after="40" w:line="240" w:lineRule="auto"/>
            </w:pPr>
            <w:r>
              <w:rPr>
                <w:rFonts w:ascii="Times New Roman" w:hAnsi="Times New Roman" w:cs="Times New Roman"/>
                <w:sz w:val="20"/>
                <w:szCs w:val="20"/>
              </w:rPr>
              <w:t xml:space="preserve">Social influence to attitude .672 and to purchase intention .261, both far stronger than peer influence</w:t>
            </w:r>
          </w:p>
        </w:tc>
      </w:tr>
    </w:tbl>
    <w:p>
      <w:pPr>
        <w:spacing w:after="0"/>
        <w:rPr>
          <w:sz w:val="12"/>
        </w:rPr>
      </w:pPr>
    </w:p>
    <w:p>
      <w:pPr>
        <w:pStyle w:val="Heading2"/>
        <w:outlineLvl w:val="1"/>
      </w:pPr>
      <w:r>
        <w:rPr>
          <w:rFonts w:ascii="Times New Roman" w:hAnsi="Times New Roman" w:cs="Times New Roman"/>
          <w:sz w:val="28"/>
          <w:szCs w:val="28"/>
          <w:b/>
        </w:rPr>
        <w:t xml:space="preserve">2.3 Hypotheses of the Study</w:t>
      </w:r>
    </w:p>
    <w:p>
      <w:pPr>
        <w:pStyle w:val="BodyTextX"/>
        <w:jc w:val="both"/>
        <w:spacing w:after="120" w:line="360" w:lineRule="auto"/>
      </w:pPr>
      <w:r>
        <w:rPr>
          <w:rFonts w:ascii="Times New Roman" w:hAnsi="Times New Roman" w:cs="Times New Roman"/>
          <w:sz w:val="24"/>
          <w:szCs w:val="24"/>
        </w:rPr>
        <w:t xml:space="preserve">Eight hypotheses follow from the review. H1 to H4 test the paths shown in the conceptual model. H5 and H6 test the direct effects of content quality and influencer expertise on purchase intention, which are required in order to establish whether any mediation found is full or partial (Baron &amp; Kenny, 1986). H7a and H7b test the indirect effects.</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083"/>
        <w:gridCol w:w="7942"/>
      </w:tblGrid>
      <w:tr>
        <w:trPr>
          <w:tblHeader/>
        </w:trPr>
        <w:tc>
          <w:tcPr>
            <w:tcW w:w="1083" w:type="dxa"/>
            <w:shd w:val="clear" w:color="auto" w:fill="E8E8E8"/>
            <w:vAlign w:val="center"/>
          </w:tcPr>
          <w:p>
            <w:pPr>
              <w:jc w:val="center"/>
              <w:spacing w:before="40" w:after="40" w:line="240" w:lineRule="auto"/>
            </w:pPr>
            <w:r>
              <w:rPr>
                <w:rFonts w:ascii="Times New Roman" w:hAnsi="Times New Roman" w:cs="Times New Roman"/>
                <w:sz w:val="24"/>
                <w:szCs w:val="24"/>
                <w:b/>
              </w:rPr>
              <w:t xml:space="preserve">Hypothesis</w:t>
            </w:r>
          </w:p>
        </w:tc>
        <w:tc>
          <w:tcPr>
            <w:tcW w:w="7942" w:type="dxa"/>
            <w:shd w:val="clear" w:color="auto" w:fill="E8E8E8"/>
            <w:vAlign w:val="center"/>
          </w:tcPr>
          <w:p>
            <w:pPr>
              <w:jc w:val="center"/>
              <w:spacing w:before="40" w:after="40" w:line="240" w:lineRule="auto"/>
            </w:pPr>
            <w:r>
              <w:rPr>
                <w:rFonts w:ascii="Times New Roman" w:hAnsi="Times New Roman" w:cs="Times New Roman"/>
                <w:sz w:val="24"/>
                <w:szCs w:val="24"/>
                <w:b/>
              </w:rPr>
              <w:t xml:space="preserve">Statement</w:t>
            </w:r>
          </w:p>
        </w:tc>
      </w:tr>
      <w:tr>
        <w:tc>
          <w:tcPr>
            <w:tcW w:w="1083" w:type="dxa"/>
            <w:vAlign w:val="center"/>
          </w:tcPr>
          <w:p>
            <w:pPr>
              <w:jc w:val="left"/>
              <w:spacing w:before="40" w:after="40" w:line="240" w:lineRule="auto"/>
            </w:pPr>
            <w:r>
              <w:rPr>
                <w:rFonts w:ascii="Times New Roman" w:hAnsi="Times New Roman" w:cs="Times New Roman"/>
                <w:sz w:val="24"/>
                <w:szCs w:val="24"/>
              </w:rPr>
              <w:t xml:space="preserve">H1</w:t>
            </w:r>
          </w:p>
        </w:tc>
        <w:tc>
          <w:tcPr>
            <w:tcW w:w="7942" w:type="dxa"/>
            <w:vAlign w:val="center"/>
          </w:tcPr>
          <w:p>
            <w:pPr>
              <w:jc w:val="left"/>
              <w:spacing w:before="40" w:after="40" w:line="240" w:lineRule="auto"/>
            </w:pPr>
            <w:r>
              <w:rPr>
                <w:rFonts w:ascii="Times New Roman" w:hAnsi="Times New Roman" w:cs="Times New Roman"/>
                <w:sz w:val="24"/>
                <w:szCs w:val="24"/>
              </w:rPr>
              <w:t xml:space="preserve">Social influence has a significant positive influence on Gen Z purchase intention.</w:t>
            </w:r>
          </w:p>
        </w:tc>
      </w:tr>
      <w:tr>
        <w:tc>
          <w:tcPr>
            <w:tcW w:w="1083" w:type="dxa"/>
            <w:vAlign w:val="center"/>
          </w:tcPr>
          <w:p>
            <w:pPr>
              <w:jc w:val="left"/>
              <w:spacing w:before="40" w:after="40" w:line="240" w:lineRule="auto"/>
            </w:pPr>
            <w:r>
              <w:rPr>
                <w:rFonts w:ascii="Times New Roman" w:hAnsi="Times New Roman" w:cs="Times New Roman"/>
                <w:sz w:val="24"/>
                <w:szCs w:val="24"/>
              </w:rPr>
              <w:t xml:space="preserve">H2</w:t>
            </w:r>
          </w:p>
        </w:tc>
        <w:tc>
          <w:tcPr>
            <w:tcW w:w="7942" w:type="dxa"/>
            <w:vAlign w:val="center"/>
          </w:tcPr>
          <w:p>
            <w:pPr>
              <w:jc w:val="left"/>
              <w:spacing w:before="40" w:after="40" w:line="240" w:lineRule="auto"/>
            </w:pPr>
            <w:r>
              <w:rPr>
                <w:rFonts w:ascii="Times New Roman" w:hAnsi="Times New Roman" w:cs="Times New Roman"/>
                <w:sz w:val="24"/>
                <w:szCs w:val="24"/>
              </w:rPr>
              <w:t xml:space="preserve">Content quality has a significant positive influence on trust in influencers.</w:t>
            </w:r>
          </w:p>
        </w:tc>
      </w:tr>
      <w:tr>
        <w:tc>
          <w:tcPr>
            <w:tcW w:w="1083" w:type="dxa"/>
            <w:vAlign w:val="center"/>
          </w:tcPr>
          <w:p>
            <w:pPr>
              <w:jc w:val="left"/>
              <w:spacing w:before="40" w:after="40" w:line="240" w:lineRule="auto"/>
            </w:pPr>
            <w:r>
              <w:rPr>
                <w:rFonts w:ascii="Times New Roman" w:hAnsi="Times New Roman" w:cs="Times New Roman"/>
                <w:sz w:val="24"/>
                <w:szCs w:val="24"/>
              </w:rPr>
              <w:t xml:space="preserve">H3</w:t>
            </w:r>
          </w:p>
        </w:tc>
        <w:tc>
          <w:tcPr>
            <w:tcW w:w="7942" w:type="dxa"/>
            <w:vAlign w:val="center"/>
          </w:tcPr>
          <w:p>
            <w:pPr>
              <w:jc w:val="left"/>
              <w:spacing w:before="40" w:after="40" w:line="240" w:lineRule="auto"/>
            </w:pPr>
            <w:r>
              <w:rPr>
                <w:rFonts w:ascii="Times New Roman" w:hAnsi="Times New Roman" w:cs="Times New Roman"/>
                <w:sz w:val="24"/>
                <w:szCs w:val="24"/>
              </w:rPr>
              <w:t xml:space="preserve">Influencer expertise has a significant positive influence on trust in influencers.</w:t>
            </w:r>
          </w:p>
        </w:tc>
      </w:tr>
      <w:tr>
        <w:tc>
          <w:tcPr>
            <w:tcW w:w="1083" w:type="dxa"/>
            <w:vAlign w:val="center"/>
          </w:tcPr>
          <w:p>
            <w:pPr>
              <w:jc w:val="left"/>
              <w:spacing w:before="40" w:after="40" w:line="240" w:lineRule="auto"/>
            </w:pPr>
            <w:r>
              <w:rPr>
                <w:rFonts w:ascii="Times New Roman" w:hAnsi="Times New Roman" w:cs="Times New Roman"/>
                <w:sz w:val="24"/>
                <w:szCs w:val="24"/>
              </w:rPr>
              <w:t xml:space="preserve">H4</w:t>
            </w:r>
          </w:p>
        </w:tc>
        <w:tc>
          <w:tcPr>
            <w:tcW w:w="7942" w:type="dxa"/>
            <w:vAlign w:val="center"/>
          </w:tcPr>
          <w:p>
            <w:pPr>
              <w:jc w:val="left"/>
              <w:spacing w:before="40" w:after="40" w:line="240" w:lineRule="auto"/>
            </w:pPr>
            <w:r>
              <w:rPr>
                <w:rFonts w:ascii="Times New Roman" w:hAnsi="Times New Roman" w:cs="Times New Roman"/>
                <w:sz w:val="24"/>
                <w:szCs w:val="24"/>
              </w:rPr>
              <w:t xml:space="preserve">Trust in influencers has a significant positive influence on Gen Z purchase intention.</w:t>
            </w:r>
          </w:p>
        </w:tc>
      </w:tr>
      <w:tr>
        <w:tc>
          <w:tcPr>
            <w:tcW w:w="1083" w:type="dxa"/>
            <w:vAlign w:val="center"/>
          </w:tcPr>
          <w:p>
            <w:pPr>
              <w:jc w:val="left"/>
              <w:spacing w:before="40" w:after="40" w:line="240" w:lineRule="auto"/>
            </w:pPr>
            <w:r>
              <w:rPr>
                <w:rFonts w:ascii="Times New Roman" w:hAnsi="Times New Roman" w:cs="Times New Roman"/>
                <w:sz w:val="24"/>
                <w:szCs w:val="24"/>
              </w:rPr>
              <w:t xml:space="preserve">H5</w:t>
            </w:r>
          </w:p>
        </w:tc>
        <w:tc>
          <w:tcPr>
            <w:tcW w:w="7942" w:type="dxa"/>
            <w:vAlign w:val="center"/>
          </w:tcPr>
          <w:p>
            <w:pPr>
              <w:jc w:val="left"/>
              <w:spacing w:before="40" w:after="40" w:line="240" w:lineRule="auto"/>
            </w:pPr>
            <w:r>
              <w:rPr>
                <w:rFonts w:ascii="Times New Roman" w:hAnsi="Times New Roman" w:cs="Times New Roman"/>
                <w:sz w:val="24"/>
                <w:szCs w:val="24"/>
              </w:rPr>
              <w:t xml:space="preserve">Content quality has a significant positive influence on Gen Z purchase intention.</w:t>
            </w:r>
          </w:p>
        </w:tc>
      </w:tr>
      <w:tr>
        <w:tc>
          <w:tcPr>
            <w:tcW w:w="1083" w:type="dxa"/>
            <w:vAlign w:val="center"/>
          </w:tcPr>
          <w:p>
            <w:pPr>
              <w:jc w:val="left"/>
              <w:spacing w:before="40" w:after="40" w:line="240" w:lineRule="auto"/>
            </w:pPr>
            <w:r>
              <w:rPr>
                <w:rFonts w:ascii="Times New Roman" w:hAnsi="Times New Roman" w:cs="Times New Roman"/>
                <w:sz w:val="24"/>
                <w:szCs w:val="24"/>
              </w:rPr>
              <w:t xml:space="preserve">H6</w:t>
            </w:r>
          </w:p>
        </w:tc>
        <w:tc>
          <w:tcPr>
            <w:tcW w:w="7942" w:type="dxa"/>
            <w:vAlign w:val="center"/>
          </w:tcPr>
          <w:p>
            <w:pPr>
              <w:jc w:val="left"/>
              <w:spacing w:before="40" w:after="40" w:line="240" w:lineRule="auto"/>
            </w:pPr>
            <w:r>
              <w:rPr>
                <w:rFonts w:ascii="Times New Roman" w:hAnsi="Times New Roman" w:cs="Times New Roman"/>
                <w:sz w:val="24"/>
                <w:szCs w:val="24"/>
              </w:rPr>
              <w:t xml:space="preserve">Influencer expertise has a significant positive influence on Gen Z purchase intention.</w:t>
            </w:r>
          </w:p>
        </w:tc>
      </w:tr>
      <w:tr>
        <w:tc>
          <w:tcPr>
            <w:tcW w:w="1083" w:type="dxa"/>
            <w:vAlign w:val="center"/>
          </w:tcPr>
          <w:p>
            <w:pPr>
              <w:jc w:val="left"/>
              <w:spacing w:before="40" w:after="40" w:line="240" w:lineRule="auto"/>
            </w:pPr>
            <w:r>
              <w:rPr>
                <w:rFonts w:ascii="Times New Roman" w:hAnsi="Times New Roman" w:cs="Times New Roman"/>
                <w:sz w:val="24"/>
                <w:szCs w:val="24"/>
              </w:rPr>
              <w:t xml:space="preserve">H7a</w:t>
            </w:r>
          </w:p>
        </w:tc>
        <w:tc>
          <w:tcPr>
            <w:tcW w:w="7942" w:type="dxa"/>
            <w:vAlign w:val="center"/>
          </w:tcPr>
          <w:p>
            <w:pPr>
              <w:jc w:val="left"/>
              <w:spacing w:before="40" w:after="40" w:line="240" w:lineRule="auto"/>
            </w:pPr>
            <w:r>
              <w:rPr>
                <w:rFonts w:ascii="Times New Roman" w:hAnsi="Times New Roman" w:cs="Times New Roman"/>
                <w:sz w:val="24"/>
                <w:szCs w:val="24"/>
              </w:rPr>
              <w:t xml:space="preserve">Trust in influencers mediates the relationship between content quality and Gen Z purchase intention.</w:t>
            </w:r>
          </w:p>
        </w:tc>
      </w:tr>
      <w:tr>
        <w:tc>
          <w:tcPr>
            <w:tcW w:w="1083" w:type="dxa"/>
            <w:vAlign w:val="center"/>
          </w:tcPr>
          <w:p>
            <w:pPr>
              <w:jc w:val="left"/>
              <w:spacing w:before="40" w:after="40" w:line="240" w:lineRule="auto"/>
            </w:pPr>
            <w:r>
              <w:rPr>
                <w:rFonts w:ascii="Times New Roman" w:hAnsi="Times New Roman" w:cs="Times New Roman"/>
                <w:sz w:val="24"/>
                <w:szCs w:val="24"/>
              </w:rPr>
              <w:t xml:space="preserve">H7b</w:t>
            </w:r>
          </w:p>
        </w:tc>
        <w:tc>
          <w:tcPr>
            <w:tcW w:w="7942" w:type="dxa"/>
            <w:vAlign w:val="center"/>
          </w:tcPr>
          <w:p>
            <w:pPr>
              <w:jc w:val="left"/>
              <w:spacing w:before="40" w:after="40" w:line="240" w:lineRule="auto"/>
            </w:pPr>
            <w:r>
              <w:rPr>
                <w:rFonts w:ascii="Times New Roman" w:hAnsi="Times New Roman" w:cs="Times New Roman"/>
                <w:sz w:val="24"/>
                <w:szCs w:val="24"/>
              </w:rPr>
              <w:t xml:space="preserve">Trust in influencers mediates the relationship between influencer expertise and Gen Z purchase intention.</w:t>
            </w:r>
          </w:p>
        </w:tc>
      </w:tr>
    </w:tbl>
    <w:p>
      <w:pPr>
        <w:spacing w:after="0"/>
        <w:rPr>
          <w:sz w:val="12"/>
        </w:rPr>
      </w:pPr>
    </w:p>
    <w:p>
      <w:pPr>
        <w:jc w:val="center"/>
        <w:spacing w:before="60" w:after="240"/>
      </w:pPr>
      <w:r>
        <w:rPr>
          <w:rFonts w:ascii="Times New Roman" w:hAnsi="Times New Roman" w:cs="Times New Roman"/>
          <w:sz w:val="22"/>
          <w:szCs w:val="22"/>
        </w:rPr>
        <w:t xml:space="preserve">Table 2.2: Hypotheses of the Study</w:t>
      </w:r>
    </w:p>
    <w:p>
      <w:pPr>
        <w:pStyle w:val="Heading2"/>
        <w:outlineLvl w:val="1"/>
      </w:pPr>
      <w:r>
        <w:rPr>
          <w:rFonts w:ascii="Times New Roman" w:hAnsi="Times New Roman" w:cs="Times New Roman"/>
          <w:sz w:val="28"/>
          <w:szCs w:val="28"/>
          <w:b/>
        </w:rPr>
        <w:t xml:space="preserve">2.4 Proposed Conceptual Model</w:t>
      </w:r>
    </w:p>
    <w:p>
      <w:pPr>
        <w:pStyle w:val="BodyTextX"/>
        <w:jc w:val="both"/>
        <w:spacing w:after="120" w:line="360" w:lineRule="auto"/>
      </w:pPr>
      <w:r>
        <w:rPr>
          <w:rFonts w:ascii="Times New Roman" w:hAnsi="Times New Roman" w:cs="Times New Roman"/>
          <w:sz w:val="24"/>
          <w:szCs w:val="24"/>
        </w:rPr>
        <w:t xml:space="preserve">The conceptual model in Figure 2.1 shows the hypothesised structure. Social influence acts directly on Gen Z purchase intention without passing through the mediator, since normative and identification processes do not depend on evaluating an information source (Kelman, 1958). Content quality and influencer expertise act on trust in influencers, which then acts on purchase intention, so their effects are hypothesised to be transmitted through trust. The direct paths from content quality and influencer expertise to purchase intention, corresponding to H5 and H6, are estimated during mediation testing to determine whether mediation is full or partial, and are omitted from the figure to keep the mediating structure legible.</w:t>
      </w:r>
    </w:p>
    <w:p>
      <w:pPr>
        <w:jc w:val="center"/>
        <w:spacing w:before="120" w:after="60"/>
      </w:pPr>
      <w:r>
        <w:drawing>
          <wp:inline distT="0" distB="0" distL="0" distR="0">
            <wp:extent cx="5669280" cy="3040795"/>
            <wp:docPr id="1" name="Picture 1"/>
            <a:graphic>
              <a:graphicData uri="http://schemas.openxmlformats.org/drawingml/2006/picture">
                <pic:pic>
                  <pic:nvPicPr>
                    <pic:cNvPr id="1" name="image1.png"/>
                    <pic:cNvPicPr/>
                  </pic:nvPicPr>
                  <pic:blipFill>
                    <a:blip r:embed="rIdImg1"/>
                    <a:stretch>
                      <a:fillRect/>
                    </a:stretch>
                  </pic:blipFill>
                  <pic:spPr>
                    <a:xfrm>
                      <a:off x="0" y="0"/>
                      <a:ext cx="5669280" cy="3040795"/>
                    </a:xfrm>
                    <a:prstGeom prst="rect">
                      <a:avLst/>
                    </a:prstGeom>
                  </pic:spPr>
                </pic:pic>
              </a:graphicData>
            </a:graphic>
          </wp:inline>
        </w:drawing>
      </w:r>
    </w:p>
    <w:p>
      <w:pPr>
        <w:jc w:val="center"/>
        <w:spacing w:before="60" w:after="240"/>
      </w:pPr>
      <w:r>
        <w:rPr>
          <w:rFonts w:ascii="Times New Roman" w:hAnsi="Times New Roman" w:cs="Times New Roman"/>
          <w:sz w:val="22"/>
          <w:szCs w:val="22"/>
        </w:rPr>
        <w:t xml:space="preserve">Figure 2.1: Proposed Conceptual Model</w:t>
      </w:r>
    </w:p>
    <w:p>
      <w:pPr>
        <w:pStyle w:val="Heading1"/>
        <w:pageBreakBefore/>
        <w:outlineLvl w:val="0"/>
      </w:pPr>
      <w:r>
        <w:rPr>
          <w:rFonts w:ascii="Times New Roman" w:hAnsi="Times New Roman" w:cs="Times New Roman"/>
          <w:sz w:val="32"/>
          <w:szCs w:val="32"/>
          <w:b/>
        </w:rPr>
        <w:t xml:space="preserve">3. RESEARCH METHODOLOGY</w:t>
      </w:r>
    </w:p>
    <w:p>
      <w:pPr>
        <w:pStyle w:val="Heading2"/>
        <w:outlineLvl w:val="1"/>
      </w:pPr>
      <w:r>
        <w:rPr>
          <w:rFonts w:ascii="Times New Roman" w:hAnsi="Times New Roman" w:cs="Times New Roman"/>
          <w:sz w:val="28"/>
          <w:szCs w:val="28"/>
          <w:b/>
        </w:rPr>
        <w:t xml:space="preserve">3.1 Research Approach</w:t>
      </w:r>
    </w:p>
    <w:p>
      <w:pPr>
        <w:pStyle w:val="BodyTextX"/>
        <w:jc w:val="both"/>
        <w:spacing w:after="120" w:line="360" w:lineRule="auto"/>
      </w:pPr>
      <w:r>
        <w:rPr>
          <w:rFonts w:ascii="Times New Roman" w:hAnsi="Times New Roman" w:cs="Times New Roman"/>
          <w:sz w:val="24"/>
          <w:szCs w:val="24"/>
        </w:rPr>
        <w:t xml:space="preserve">The study adopts a quantitative research approach. A quantitative approach involves testing objective theories by examining the relationship among variables that are measured numerically and analysed using statistical procedures (Creswell &amp; Creswell, 2018). The approach suits this study for three reasons. The objectives are stated as relationships between defined variables rather than as open questions about meaning. The constructs involved, namely social influence, content quality, influencer expertise, trust and purchase intention, all have validated multi-item scales available from prior research. Testing mediation requires the estimation of indirect effects, which is a statistical operation. Nineteen of the twenty studies reviewed for this synopsis used a quantitative survey approach, including Lou and Yuan (2019), Muthulingam and Amirtharaj (2026) and Bhattacharya (2026), which makes the findings comparable with the existing body of work.</w:t>
      </w:r>
    </w:p>
    <w:p>
      <w:pPr>
        <w:pStyle w:val="Heading2"/>
        <w:outlineLvl w:val="1"/>
      </w:pPr>
      <w:r>
        <w:rPr>
          <w:rFonts w:ascii="Times New Roman" w:hAnsi="Times New Roman" w:cs="Times New Roman"/>
          <w:sz w:val="28"/>
          <w:szCs w:val="28"/>
          <w:b/>
        </w:rPr>
        <w:t xml:space="preserve">3.2 Research Design</w:t>
      </w:r>
    </w:p>
    <w:p>
      <w:pPr>
        <w:pStyle w:val="BodyTextX"/>
        <w:jc w:val="both"/>
        <w:spacing w:after="120" w:line="360" w:lineRule="auto"/>
      </w:pPr>
      <w:r>
        <w:rPr>
          <w:rFonts w:ascii="Times New Roman" w:hAnsi="Times New Roman" w:cs="Times New Roman"/>
          <w:sz w:val="24"/>
          <w:szCs w:val="24"/>
        </w:rPr>
        <w:t xml:space="preserve">A descriptive research design will be used. A research design is the blueprint for conducting a study, specifying the procedures for collecting, measuring and analysing the data needed to address the research problem (Malhotra &amp; Dash, 2016). Descriptive research design is a type of conclusive research whose objective is to describe the characteristics of a population or phenomenon and the relationships between variables, and which is preceded by the formulation of specific hypotheses (Malhotra &amp; Dash, 2016). Kothari (2004) describes descriptive research as comprising surveys and fact-finding enquiries of different kinds whose major purpose is the description of the state of affairs as it exists at present, and notes that the researcher has no control over the variables and can only report what has happened or is happening.</w:t>
      </w:r>
    </w:p>
    <w:p>
      <w:pPr>
        <w:pStyle w:val="BodyTextX"/>
        <w:jc w:val="both"/>
        <w:spacing w:after="120" w:line="360" w:lineRule="auto"/>
      </w:pPr>
      <w:r>
        <w:rPr>
          <w:rFonts w:ascii="Times New Roman" w:hAnsi="Times New Roman" w:cs="Times New Roman"/>
          <w:sz w:val="24"/>
          <w:szCs w:val="24"/>
        </w:rPr>
        <w:t xml:space="preserve">The design is appropriate because the hypotheses are stated in advance and the study measures naturally occurring perceptions rather than manipulating any variable experimentally. The design is also cross-sectional, meaning that information is collected from the sample once (Malhotra &amp; Dash, 2016). Muthulingam and Amirtharaj (2026), Bhattacharya (2026), Sunilkumar et al. (2026) and Muliani et al. (2026) all use cross-sectional descriptive designs for the same class of research question.</w:t>
      </w:r>
    </w:p>
    <w:p>
      <w:pPr>
        <w:pStyle w:val="Heading2"/>
        <w:outlineLvl w:val="1"/>
      </w:pPr>
      <w:r>
        <w:rPr>
          <w:rFonts w:ascii="Times New Roman" w:hAnsi="Times New Roman" w:cs="Times New Roman"/>
          <w:sz w:val="28"/>
          <w:szCs w:val="28"/>
          <w:b/>
        </w:rPr>
        <w:t xml:space="preserve">3.3 Target Population</w:t>
      </w:r>
    </w:p>
    <w:p>
      <w:pPr>
        <w:pStyle w:val="BodyTextX"/>
        <w:jc w:val="both"/>
        <w:spacing w:after="120" w:line="360" w:lineRule="auto"/>
      </w:pPr>
      <w:r>
        <w:rPr>
          <w:rFonts w:ascii="Times New Roman" w:hAnsi="Times New Roman" w:cs="Times New Roman"/>
          <w:sz w:val="24"/>
          <w:szCs w:val="24"/>
        </w:rPr>
        <w:t xml:space="preserve">The target population consists of Generation Z consumers residing in the Tricity region of Chandigarh, Mohali and Panchkula, and in Punjab, who use social media and follow at least one social media influencer. Generation Z is defined as the cohort born between 1997 and 2012 (Dimock, 2019). For this study the operational age band is 18 to 28 years. The lower bound of 18 years excludes minors, which avoids the parental consent requirements that Silitonga (2026) had to manage for respondents aged 14 to 17 and that Lou and Kim (2019) managed through a parental consent route. The upper bound of 28 years keeps the sample within Generation Z as defined above. The same 18 to 28 band is used by Bhattacharya (2026), Muthulingam and Amirtharaj (2026) and Sunilkumar et al. (2026), which supports comparability.</w:t>
      </w:r>
    </w:p>
    <w:p>
      <w:pPr>
        <w:pStyle w:val="BodyTextX"/>
        <w:jc w:val="both"/>
        <w:spacing w:after="120" w:line="360" w:lineRule="auto"/>
      </w:pPr>
      <w:r>
        <w:rPr>
          <w:rFonts w:ascii="Times New Roman" w:hAnsi="Times New Roman" w:cs="Times New Roman"/>
          <w:sz w:val="24"/>
          <w:szCs w:val="24"/>
        </w:rPr>
        <w:t xml:space="preserve">Two screening criteria apply. A respondent must follow at least one social media influencer on any platform, and must have viewed influencer content promoting a product within the preceding three months. Respondents who follow no influencers cannot meaningfully answer items about influencer expertise or trust, and Bhattacharya (2026) eliminated 72 ineligible responses on exactly this basis.</w:t>
      </w:r>
    </w:p>
    <w:p>
      <w:pPr>
        <w:pStyle w:val="Heading2"/>
        <w:outlineLvl w:val="1"/>
      </w:pPr>
      <w:r>
        <w:rPr>
          <w:rFonts w:ascii="Times New Roman" w:hAnsi="Times New Roman" w:cs="Times New Roman"/>
          <w:sz w:val="28"/>
          <w:szCs w:val="28"/>
          <w:b/>
        </w:rPr>
        <w:t xml:space="preserve">3.4 Sampling Technique</w:t>
      </w:r>
    </w:p>
    <w:p>
      <w:pPr>
        <w:pStyle w:val="BodyTextX"/>
        <w:jc w:val="both"/>
        <w:spacing w:after="120" w:line="360" w:lineRule="auto"/>
      </w:pPr>
      <w:r>
        <w:rPr>
          <w:rFonts w:ascii="Times New Roman" w:hAnsi="Times New Roman" w:cs="Times New Roman"/>
          <w:sz w:val="24"/>
          <w:szCs w:val="24"/>
        </w:rPr>
        <w:t xml:space="preserve">A non-probability approach combining purposive and convenience sampling will be used. Non-probability sampling does not give every element of the population a known chance of selection and relies instead on the researcher's judgement (Malhotra &amp; Dash, 2016). In purposive sampling the researcher deliberately selects respondents who possess characteristics required by the study, while convenience sampling draws on respondents who are accessible and willing to participate (Etikan et al., 2016).</w:t>
      </w:r>
    </w:p>
    <w:p>
      <w:pPr>
        <w:pStyle w:val="BodyTextX"/>
        <w:jc w:val="both"/>
        <w:spacing w:after="120" w:line="360" w:lineRule="auto"/>
      </w:pPr>
      <w:r>
        <w:rPr>
          <w:rFonts w:ascii="Times New Roman" w:hAnsi="Times New Roman" w:cs="Times New Roman"/>
          <w:sz w:val="24"/>
          <w:szCs w:val="24"/>
        </w:rPr>
        <w:t xml:space="preserve">The two techniques serve different functions here. The purposive element enforces the eligibility criteria described in Section 3.3, namely age band, geography and influencer-following status. The convenience element reaches respondents through online consumer groups and social media channels, consistent with the approach adopted in similar studies. Bhattacharya (2026) adopted a non-probability approach combining convenience sampling with purposive eligibility screening and distributed the survey through professional networks, social media groups and student forums. Sunilkumar et al. (2026) used convenience sampling through an online Google Forms survey and then selected the eligible Gen Z age range from the responses received. Shah et al. (2023) and Al-Mu'ani et al. (2023) both used convenience sampling for the same type of Instagram-follower population, and Muthulingam and Amirtharaj (2026) used purposive non-probability sampling to select respondents who actively engage with influencer content.</w:t>
      </w:r>
    </w:p>
    <w:p>
      <w:pPr>
        <w:pStyle w:val="BodyTextX"/>
        <w:jc w:val="both"/>
        <w:spacing w:after="120" w:line="360" w:lineRule="auto"/>
      </w:pPr>
      <w:r>
        <w:rPr>
          <w:rFonts w:ascii="Times New Roman" w:hAnsi="Times New Roman" w:cs="Times New Roman"/>
          <w:sz w:val="24"/>
          <w:szCs w:val="24"/>
        </w:rPr>
        <w:t xml:space="preserve">A probability sample is not feasible because no sampling frame exists. There is no list of Gen Z influencer followers in the Tricity region and Punjab from which a random selection could be drawn, and Muliani et al. (2026) give the same justification for their purposive design. The limitation this creates for generalisability is acknowledged in Section 5.3.</w:t>
      </w:r>
    </w:p>
    <w:p>
      <w:pPr>
        <w:pStyle w:val="Heading2"/>
        <w:outlineLvl w:val="1"/>
      </w:pPr>
      <w:r>
        <w:rPr>
          <w:rFonts w:ascii="Times New Roman" w:hAnsi="Times New Roman" w:cs="Times New Roman"/>
          <w:sz w:val="28"/>
          <w:szCs w:val="28"/>
          <w:b/>
        </w:rPr>
        <w:t xml:space="preserve">3.5 Sample Size</w:t>
      </w:r>
    </w:p>
    <w:p>
      <w:pPr>
        <w:pStyle w:val="BodyTextX"/>
        <w:jc w:val="both"/>
        <w:spacing w:after="120" w:line="360" w:lineRule="auto"/>
      </w:pPr>
      <w:r>
        <w:rPr>
          <w:rFonts w:ascii="Times New Roman" w:hAnsi="Times New Roman" w:cs="Times New Roman"/>
          <w:sz w:val="24"/>
          <w:szCs w:val="24"/>
        </w:rPr>
        <w:t xml:space="preserve">The intended sample size is 150 to 180 valid responses. Four considerations support this range.</w:t>
      </w:r>
    </w:p>
    <w:p>
      <w:pPr>
        <w:pStyle w:val="BodyTextX"/>
        <w:jc w:val="both"/>
        <w:spacing w:after="120" w:line="360" w:lineRule="auto"/>
      </w:pPr>
      <w:r>
        <w:rPr>
          <w:rFonts w:ascii="Times New Roman" w:hAnsi="Times New Roman" w:cs="Times New Roman"/>
          <w:sz w:val="24"/>
          <w:szCs w:val="24"/>
        </w:rPr>
        <w:t xml:space="preserve">First, the respondent-to-item ratio. A commonly applied rule requires at least five respondents per measurement item, with ten preferred (Hair et al., 2019). The proposed instrument contains 19 construct items, which sets a minimum of 95 responses on the five-to-one rule and 190 on the ten-to-one rule. A target of 150 to 180 sits comfortably above the former and approaches the latter. Muliani et al. (2026) and Silitonga (2026) both justified their samples of 120 and 96 respectively on the five-times rule, and Hartanto (2025) computed a minimum of 125 on the same basis.</w:t>
      </w:r>
    </w:p>
    <w:p>
      <w:pPr>
        <w:pStyle w:val="BodyTextX"/>
        <w:jc w:val="both"/>
        <w:spacing w:after="120" w:line="360" w:lineRule="auto"/>
      </w:pPr>
      <w:r>
        <w:rPr>
          <w:rFonts w:ascii="Times New Roman" w:hAnsi="Times New Roman" w:cs="Times New Roman"/>
          <w:sz w:val="24"/>
          <w:szCs w:val="24"/>
        </w:rPr>
        <w:t xml:space="preserve">Second, the requirements of regression analysis. Green (1991) proposes a minimum of 50 plus 8 multiplied by the number of predictors for testing a multiple correlation, which yields 74 for the three predictors in this model. Cohen (1988) provides the power-analysis basis for the same conclusion, and for three predictors at a medium effect size, a power of .80 and a significance level of .05, the required sample is well below 150. Mediation analysis using bootstrapped confidence intervals performs adequately at these sample sizes (Preacher &amp; Hayes, 2008).</w:t>
      </w:r>
    </w:p>
    <w:p>
      <w:pPr>
        <w:pStyle w:val="BodyTextX"/>
        <w:jc w:val="both"/>
        <w:spacing w:after="120" w:line="360" w:lineRule="auto"/>
      </w:pPr>
      <w:r>
        <w:rPr>
          <w:rFonts w:ascii="Times New Roman" w:hAnsi="Times New Roman" w:cs="Times New Roman"/>
          <w:sz w:val="24"/>
          <w:szCs w:val="24"/>
        </w:rPr>
        <w:t xml:space="preserve">Third, the precedent in comparable studies. Dharma et al. (2024) drew conclusions about Gen Z purchase intention from 150 respondents, Muliani et al. (2026) from 120, Perdana et al. (2023) from 110 and Silitonga (2026) from 96. The proposed range therefore matches or exceeds the samples used in several published studies on this topic.</w:t>
      </w:r>
    </w:p>
    <w:p>
      <w:pPr>
        <w:pStyle w:val="BodyTextX"/>
        <w:jc w:val="both"/>
        <w:spacing w:after="120" w:line="360" w:lineRule="auto"/>
      </w:pPr>
      <w:r>
        <w:rPr>
          <w:rFonts w:ascii="Times New Roman" w:hAnsi="Times New Roman" w:cs="Times New Roman"/>
          <w:sz w:val="24"/>
          <w:szCs w:val="24"/>
        </w:rPr>
        <w:t xml:space="preserve">Fourth, practical constraints. The study is conducted within the time frame of an MBA research project, and a target of 150 to 180 responses is achievable while allowing for the removal of incomplete or ineligible submissions. Approximately 220 to 250 responses will be sought so that the target is met after screening.</w:t>
      </w:r>
    </w:p>
    <w:p>
      <w:pPr>
        <w:pStyle w:val="Heading2"/>
        <w:outlineLvl w:val="1"/>
      </w:pPr>
      <w:r>
        <w:rPr>
          <w:rFonts w:ascii="Times New Roman" w:hAnsi="Times New Roman" w:cs="Times New Roman"/>
          <w:sz w:val="28"/>
          <w:szCs w:val="28"/>
          <w:b/>
        </w:rPr>
        <w:t xml:space="preserve">3.6 Data Collection Procedure</w:t>
      </w:r>
    </w:p>
    <w:p>
      <w:pPr>
        <w:pStyle w:val="BodyTextX"/>
        <w:jc w:val="both"/>
        <w:spacing w:after="120" w:line="360" w:lineRule="auto"/>
      </w:pPr>
      <w:r>
        <w:rPr>
          <w:rFonts w:ascii="Times New Roman" w:hAnsi="Times New Roman" w:cs="Times New Roman"/>
          <w:sz w:val="24"/>
          <w:szCs w:val="24"/>
        </w:rPr>
        <w:t xml:space="preserve">Primary data will be collected through a structured, self-administered questionnaire distributed online using Google Forms. The online mode is appropriate because the population is defined by its social media use and is therefore reachable through the same channels. Google Forms administration is used by Bhattacharya (2026), Sunilkumar et al. (2026), Muliani et al. (2026), Gunawan et al. (2023) and Dharma et al. (2024).</w:t>
      </w:r>
    </w:p>
    <w:p>
      <w:pPr>
        <w:pStyle w:val="BodyTextX"/>
        <w:jc w:val="both"/>
        <w:spacing w:after="120" w:line="360" w:lineRule="auto"/>
      </w:pPr>
      <w:r>
        <w:rPr>
          <w:rFonts w:ascii="Times New Roman" w:hAnsi="Times New Roman" w:cs="Times New Roman"/>
          <w:sz w:val="24"/>
          <w:szCs w:val="24"/>
        </w:rPr>
        <w:t xml:space="preserve">The questionnaire link will be circulated through college and university groups in Chandigarh, Mohali, Panchkula and Punjab, through online consumer and shopping communities, and through social media channels including Instagram, WhatsApp and LinkedIn. Two screening questions will appear at the start. The first confirms age within the 18 to 28 band, and the second confirms that the respondent follows at least one social media influencer. Respondents failing either screen will exit without completing the instrument.</w:t>
      </w:r>
    </w:p>
    <w:p>
      <w:pPr>
        <w:pStyle w:val="BodyTextX"/>
        <w:jc w:val="both"/>
        <w:spacing w:after="120" w:line="360" w:lineRule="auto"/>
      </w:pPr>
      <w:r>
        <w:rPr>
          <w:rFonts w:ascii="Times New Roman" w:hAnsi="Times New Roman" w:cs="Times New Roman"/>
          <w:sz w:val="24"/>
          <w:szCs w:val="24"/>
        </w:rPr>
        <w:t xml:space="preserve">Respondents will be asked to answer the construct items with reference to one influencer they currently follow, which they name or bring to mind at the start of the relevant section. This focal-influencer procedure prevents respondents from averaging across dissimilar influencers and is used by Lou and Yuan (2019), Lou and Kim (2019), Bhattacharya (2026) and Nafees et al. (2021).</w:t>
      </w:r>
    </w:p>
    <w:p>
      <w:pPr>
        <w:pStyle w:val="BodyTextX"/>
        <w:jc w:val="both"/>
        <w:spacing w:after="120" w:line="360" w:lineRule="auto"/>
      </w:pPr>
      <w:r>
        <w:rPr>
          <w:rFonts w:ascii="Times New Roman" w:hAnsi="Times New Roman" w:cs="Times New Roman"/>
          <w:sz w:val="24"/>
          <w:szCs w:val="24"/>
        </w:rPr>
        <w:t xml:space="preserve">Participation will be voluntary, anonymous and unpaid. No personally identifying information will be collected, the purpose of the study will be stated on the first screen, and informed consent will be obtained before the first item. A pilot study will be conducted on approximately 30 respondents drawn from the target population to check item clarity and reliability before full distribution, following the pilot procedures of Bhattacharya (2026), who piloted on 30 members of the target demographic, and Liang et al. (2024), who piloted on 30 respondents. Items showing poor item-total correlation at the pilot stage will be rephrased, as Muthulingam and Amirtharaj (2026) did for three items following their pilot of 87 respondents.</w:t>
      </w:r>
    </w:p>
    <w:p>
      <w:pPr>
        <w:pStyle w:val="BodyTextX"/>
        <w:jc w:val="both"/>
        <w:spacing w:after="120" w:line="360" w:lineRule="auto"/>
      </w:pPr>
      <w:r>
        <w:rPr>
          <w:rFonts w:ascii="Times New Roman" w:hAnsi="Times New Roman" w:cs="Times New Roman"/>
          <w:sz w:val="24"/>
          <w:szCs w:val="24"/>
        </w:rPr>
        <w:t xml:space="preserve">Secondary data will be used only for the review of literature and for contextual information, and will be drawn from peer-reviewed journal articles, published industry reports and institutional publications.</w:t>
      </w:r>
    </w:p>
    <w:p>
      <w:pPr>
        <w:pStyle w:val="Heading2"/>
        <w:outlineLvl w:val="1"/>
      </w:pPr>
      <w:r>
        <w:rPr>
          <w:rFonts w:ascii="Times New Roman" w:hAnsi="Times New Roman" w:cs="Times New Roman"/>
          <w:sz w:val="28"/>
          <w:szCs w:val="28"/>
          <w:b/>
        </w:rPr>
        <w:t xml:space="preserve">3.7 Measurement and Instrument</w:t>
      </w:r>
    </w:p>
    <w:p>
      <w:pPr>
        <w:pStyle w:val="BodyTextX"/>
        <w:jc w:val="both"/>
        <w:spacing w:after="120" w:line="360" w:lineRule="auto"/>
      </w:pPr>
      <w:r>
        <w:rPr>
          <w:rFonts w:ascii="Times New Roman" w:hAnsi="Times New Roman" w:cs="Times New Roman"/>
          <w:sz w:val="24"/>
          <w:szCs w:val="24"/>
        </w:rPr>
        <w:t xml:space="preserve">The questionnaire has two parts. Section A collects demographic and usage information, covering age, gender, city or district, occupation, education, monthly personal spending, primary social media platform, daily social media usage, number of influencers followed and whether the respondent has previously purchased on an influencer's recommendation. Section B contains the construct items.</w:t>
      </w:r>
    </w:p>
    <w:p>
      <w:pPr>
        <w:pStyle w:val="BodyTextX"/>
        <w:jc w:val="both"/>
        <w:spacing w:after="120" w:line="360" w:lineRule="auto"/>
      </w:pPr>
      <w:r>
        <w:rPr>
          <w:rFonts w:ascii="Times New Roman" w:hAnsi="Times New Roman" w:cs="Times New Roman"/>
          <w:sz w:val="24"/>
          <w:szCs w:val="24"/>
        </w:rPr>
        <w:t xml:space="preserve">All construct items are measured on a five-point Likert scale, where 1 denotes strongly disagree and 5 denotes strongly agree. The Likert scale is a summated rating scale on which respondents indicate their degree of agreement with a series of statements (Likert, 1932). A five-point version is used because it is the format applied by the majority of comparable studies, including Muthulingam and Amirtharaj (2026), Silitonga (2026), Sunilkumar et al. (2026), Hartanto (2025), Shah et al. (2023) and Liang et al. (2024), which keeps results comparable and reduces respondent fatigue relative to seven-point alternatives.</w:t>
      </w:r>
    </w:p>
    <w:p>
      <w:pPr>
        <w:pStyle w:val="BodyTextX"/>
        <w:jc w:val="both"/>
        <w:spacing w:after="120" w:line="360" w:lineRule="auto"/>
      </w:pPr>
      <w:r>
        <w:rPr>
          <w:rFonts w:ascii="Times New Roman" w:hAnsi="Times New Roman" w:cs="Times New Roman"/>
          <w:sz w:val="24"/>
          <w:szCs w:val="24"/>
        </w:rPr>
        <w:t xml:space="preserve">Items for each construct are adapted from validated scales in prior research, as set out in Table 3.1. Adaptation is limited to wording changes needed to fit the Indian Gen Z context and the influencer setting, following the practice of Muthulingam and Amirtharaj (2026).</w:t>
      </w:r>
    </w:p>
    <w:p>
      <w:pPr>
        <w:pStyle w:val="BodyTextX"/>
        <w:jc w:val="left"/>
        <w:spacing w:after="60" w:line="360" w:lineRule="auto"/>
      </w:pPr>
      <w:r>
        <w:rPr>
          <w:rFonts w:ascii="Times New Roman" w:hAnsi="Times New Roman" w:cs="Times New Roman"/>
          <w:sz w:val="24"/>
          <w:szCs w:val="24"/>
          <w:b/>
        </w:rPr>
        <w:t xml:space="preserve">Table 3.1: Constructs, Items and Scale Sources</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1714"/>
        <w:gridCol w:w="1083"/>
        <w:gridCol w:w="722"/>
        <w:gridCol w:w="5505"/>
      </w:tblGrid>
      <w:tr>
        <w:trPr>
          <w:tblHeader/>
        </w:trPr>
        <w:tc>
          <w:tcPr>
            <w:tcW w:w="1714" w:type="dxa"/>
            <w:shd w:val="clear" w:color="auto" w:fill="E8E8E8"/>
            <w:vAlign w:val="center"/>
          </w:tcPr>
          <w:p>
            <w:pPr>
              <w:jc w:val="center"/>
              <w:spacing w:before="40" w:after="40" w:line="240" w:lineRule="auto"/>
            </w:pPr>
            <w:r>
              <w:rPr>
                <w:rFonts w:ascii="Times New Roman" w:hAnsi="Times New Roman" w:cs="Times New Roman"/>
                <w:sz w:val="20"/>
                <w:szCs w:val="20"/>
                <w:b/>
              </w:rPr>
              <w:t xml:space="preserve">Construct</w:t>
            </w:r>
          </w:p>
        </w:tc>
        <w:tc>
          <w:tcPr>
            <w:tcW w:w="1083" w:type="dxa"/>
            <w:shd w:val="clear" w:color="auto" w:fill="E8E8E8"/>
            <w:vAlign w:val="center"/>
          </w:tcPr>
          <w:p>
            <w:pPr>
              <w:jc w:val="center"/>
              <w:spacing w:before="40" w:after="40" w:line="240" w:lineRule="auto"/>
            </w:pPr>
            <w:r>
              <w:rPr>
                <w:rFonts w:ascii="Times New Roman" w:hAnsi="Times New Roman" w:cs="Times New Roman"/>
                <w:sz w:val="20"/>
                <w:szCs w:val="20"/>
                <w:b/>
              </w:rPr>
              <w:t xml:space="preserve">Type</w:t>
            </w:r>
          </w:p>
        </w:tc>
        <w:tc>
          <w:tcPr>
            <w:tcW w:w="722" w:type="dxa"/>
            <w:shd w:val="clear" w:color="auto" w:fill="E8E8E8"/>
            <w:vAlign w:val="center"/>
          </w:tcPr>
          <w:p>
            <w:pPr>
              <w:jc w:val="center"/>
              <w:spacing w:before="40" w:after="40" w:line="240" w:lineRule="auto"/>
            </w:pPr>
            <w:r>
              <w:rPr>
                <w:rFonts w:ascii="Times New Roman" w:hAnsi="Times New Roman" w:cs="Times New Roman"/>
                <w:sz w:val="20"/>
                <w:szCs w:val="20"/>
                <w:b/>
              </w:rPr>
              <w:t xml:space="preserve">Items</w:t>
            </w:r>
          </w:p>
        </w:tc>
        <w:tc>
          <w:tcPr>
            <w:tcW w:w="5505" w:type="dxa"/>
            <w:shd w:val="clear" w:color="auto" w:fill="E8E8E8"/>
            <w:vAlign w:val="center"/>
          </w:tcPr>
          <w:p>
            <w:pPr>
              <w:jc w:val="center"/>
              <w:spacing w:before="40" w:after="40" w:line="240" w:lineRule="auto"/>
            </w:pPr>
            <w:r>
              <w:rPr>
                <w:rFonts w:ascii="Times New Roman" w:hAnsi="Times New Roman" w:cs="Times New Roman"/>
                <w:sz w:val="20"/>
                <w:szCs w:val="20"/>
                <w:b/>
              </w:rPr>
              <w:t xml:space="preserve">Adapted from</w:t>
            </w:r>
          </w:p>
        </w:tc>
      </w:tr>
      <w:tr>
        <w:tc>
          <w:tcPr>
            <w:tcW w:w="1714" w:type="dxa"/>
            <w:vAlign w:val="center"/>
          </w:tcPr>
          <w:p>
            <w:pPr>
              <w:jc w:val="left"/>
              <w:spacing w:before="40" w:after="40" w:line="240" w:lineRule="auto"/>
            </w:pPr>
            <w:r>
              <w:rPr>
                <w:rFonts w:ascii="Times New Roman" w:hAnsi="Times New Roman" w:cs="Times New Roman"/>
                <w:sz w:val="20"/>
                <w:szCs w:val="20"/>
              </w:rPr>
              <w:t xml:space="preserve">Social Influence</w:t>
            </w:r>
          </w:p>
        </w:tc>
        <w:tc>
          <w:tcPr>
            <w:tcW w:w="1083" w:type="dxa"/>
            <w:vAlign w:val="center"/>
          </w:tcPr>
          <w:p>
            <w:pPr>
              <w:jc w:val="left"/>
              <w:spacing w:before="40" w:after="40" w:line="240" w:lineRule="auto"/>
            </w:pPr>
            <w:r>
              <w:rPr>
                <w:rFonts w:ascii="Times New Roman" w:hAnsi="Times New Roman" w:cs="Times New Roman"/>
                <w:sz w:val="20"/>
                <w:szCs w:val="20"/>
              </w:rPr>
              <w:t xml:space="preserve">Independent</w:t>
            </w:r>
          </w:p>
        </w:tc>
        <w:tc>
          <w:tcPr>
            <w:tcW w:w="722" w:type="dxa"/>
            <w:vAlign w:val="center"/>
          </w:tcPr>
          <w:p>
            <w:pPr>
              <w:jc w:val="left"/>
              <w:spacing w:before="40" w:after="40" w:line="240" w:lineRule="auto"/>
            </w:pPr>
            <w:r>
              <w:rPr>
                <w:rFonts w:ascii="Times New Roman" w:hAnsi="Times New Roman" w:cs="Times New Roman"/>
                <w:sz w:val="20"/>
                <w:szCs w:val="20"/>
              </w:rPr>
              <w:t xml:space="preserve">4</w:t>
            </w:r>
          </w:p>
        </w:tc>
        <w:tc>
          <w:tcPr>
            <w:tcW w:w="5505" w:type="dxa"/>
            <w:vAlign w:val="center"/>
          </w:tcPr>
          <w:p>
            <w:pPr>
              <w:jc w:val="left"/>
              <w:spacing w:before="40" w:after="40" w:line="240" w:lineRule="auto"/>
            </w:pPr>
            <w:r>
              <w:rPr>
                <w:rFonts w:ascii="Times New Roman" w:hAnsi="Times New Roman" w:cs="Times New Roman"/>
                <w:sz w:val="20"/>
                <w:szCs w:val="20"/>
              </w:rPr>
              <w:t xml:space="preserve">Informational and normative influence items of Yang et al. (as cited in Sharipudin et al., 2023); social influence items of Wang and Lin (as cited in Gunawan et al., 2023) and of Bian and Forsythe (as cited in Liang et al., 2024)</w:t>
            </w:r>
          </w:p>
        </w:tc>
      </w:tr>
      <w:tr>
        <w:tc>
          <w:tcPr>
            <w:tcW w:w="1714" w:type="dxa"/>
            <w:vAlign w:val="center"/>
          </w:tcPr>
          <w:p>
            <w:pPr>
              <w:jc w:val="left"/>
              <w:spacing w:before="40" w:after="40" w:line="240" w:lineRule="auto"/>
            </w:pPr>
            <w:r>
              <w:rPr>
                <w:rFonts w:ascii="Times New Roman" w:hAnsi="Times New Roman" w:cs="Times New Roman"/>
                <w:sz w:val="20"/>
                <w:szCs w:val="20"/>
              </w:rPr>
              <w:t xml:space="preserve">Content Quality</w:t>
            </w:r>
          </w:p>
        </w:tc>
        <w:tc>
          <w:tcPr>
            <w:tcW w:w="1083" w:type="dxa"/>
            <w:vAlign w:val="center"/>
          </w:tcPr>
          <w:p>
            <w:pPr>
              <w:jc w:val="left"/>
              <w:spacing w:before="40" w:after="40" w:line="240" w:lineRule="auto"/>
            </w:pPr>
            <w:r>
              <w:rPr>
                <w:rFonts w:ascii="Times New Roman" w:hAnsi="Times New Roman" w:cs="Times New Roman"/>
                <w:sz w:val="20"/>
                <w:szCs w:val="20"/>
              </w:rPr>
              <w:t xml:space="preserve">Independent</w:t>
            </w:r>
          </w:p>
        </w:tc>
        <w:tc>
          <w:tcPr>
            <w:tcW w:w="722" w:type="dxa"/>
            <w:vAlign w:val="center"/>
          </w:tcPr>
          <w:p>
            <w:pPr>
              <w:jc w:val="left"/>
              <w:spacing w:before="40" w:after="40" w:line="240" w:lineRule="auto"/>
            </w:pPr>
            <w:r>
              <w:rPr>
                <w:rFonts w:ascii="Times New Roman" w:hAnsi="Times New Roman" w:cs="Times New Roman"/>
                <w:sz w:val="20"/>
                <w:szCs w:val="20"/>
              </w:rPr>
              <w:t xml:space="preserve">4</w:t>
            </w:r>
          </w:p>
        </w:tc>
        <w:tc>
          <w:tcPr>
            <w:tcW w:w="5505" w:type="dxa"/>
            <w:vAlign w:val="center"/>
          </w:tcPr>
          <w:p>
            <w:pPr>
              <w:jc w:val="left"/>
              <w:spacing w:before="40" w:after="40" w:line="240" w:lineRule="auto"/>
            </w:pPr>
            <w:r>
              <w:rPr>
                <w:rFonts w:ascii="Times New Roman" w:hAnsi="Times New Roman" w:cs="Times New Roman"/>
                <w:sz w:val="20"/>
                <w:szCs w:val="20"/>
              </w:rPr>
              <w:t xml:space="preserve">Wixom and Todd (2005), as used by Bhattacharya (2026); Hwang and Zhang (2018) and Djafarova and Trofimenko (2019), as used by Muthulingam and Amirtharaj (2026); perceived quality of information items of Wang and Lin (as cited in Shah et al., 2023)</w:t>
            </w:r>
          </w:p>
        </w:tc>
      </w:tr>
      <w:tr>
        <w:tc>
          <w:tcPr>
            <w:tcW w:w="1714" w:type="dxa"/>
            <w:vAlign w:val="center"/>
          </w:tcPr>
          <w:p>
            <w:pPr>
              <w:jc w:val="left"/>
              <w:spacing w:before="40" w:after="40" w:line="240" w:lineRule="auto"/>
            </w:pPr>
            <w:r>
              <w:rPr>
                <w:rFonts w:ascii="Times New Roman" w:hAnsi="Times New Roman" w:cs="Times New Roman"/>
                <w:sz w:val="20"/>
                <w:szCs w:val="20"/>
              </w:rPr>
              <w:t xml:space="preserve">Influencer Expertise</w:t>
            </w:r>
          </w:p>
        </w:tc>
        <w:tc>
          <w:tcPr>
            <w:tcW w:w="1083" w:type="dxa"/>
            <w:vAlign w:val="center"/>
          </w:tcPr>
          <w:p>
            <w:pPr>
              <w:jc w:val="left"/>
              <w:spacing w:before="40" w:after="40" w:line="240" w:lineRule="auto"/>
            </w:pPr>
            <w:r>
              <w:rPr>
                <w:rFonts w:ascii="Times New Roman" w:hAnsi="Times New Roman" w:cs="Times New Roman"/>
                <w:sz w:val="20"/>
                <w:szCs w:val="20"/>
              </w:rPr>
              <w:t xml:space="preserve">Independent</w:t>
            </w:r>
          </w:p>
        </w:tc>
        <w:tc>
          <w:tcPr>
            <w:tcW w:w="722" w:type="dxa"/>
            <w:vAlign w:val="center"/>
          </w:tcPr>
          <w:p>
            <w:pPr>
              <w:jc w:val="left"/>
              <w:spacing w:before="40" w:after="40" w:line="240" w:lineRule="auto"/>
            </w:pPr>
            <w:r>
              <w:rPr>
                <w:rFonts w:ascii="Times New Roman" w:hAnsi="Times New Roman" w:cs="Times New Roman"/>
                <w:sz w:val="20"/>
                <w:szCs w:val="20"/>
              </w:rPr>
              <w:t xml:space="preserve">4</w:t>
            </w:r>
          </w:p>
        </w:tc>
        <w:tc>
          <w:tcPr>
            <w:tcW w:w="5505" w:type="dxa"/>
            <w:vAlign w:val="center"/>
          </w:tcPr>
          <w:p>
            <w:pPr>
              <w:jc w:val="left"/>
              <w:spacing w:before="40" w:after="40" w:line="240" w:lineRule="auto"/>
            </w:pPr>
            <w:r>
              <w:rPr>
                <w:rFonts w:ascii="Times New Roman" w:hAnsi="Times New Roman" w:cs="Times New Roman"/>
                <w:sz w:val="20"/>
                <w:szCs w:val="20"/>
              </w:rPr>
              <w:t xml:space="preserve">Ohanian (1990) and Casalo et al. (2020), as used by Muthulingam and Amirtharaj (2026); Munnukka et al. (2016), as used by Lou and Yuan (2019) and Lou and Kim (2019)</w:t>
            </w:r>
          </w:p>
        </w:tc>
      </w:tr>
      <w:tr>
        <w:tc>
          <w:tcPr>
            <w:tcW w:w="1714" w:type="dxa"/>
            <w:vAlign w:val="center"/>
          </w:tcPr>
          <w:p>
            <w:pPr>
              <w:jc w:val="left"/>
              <w:spacing w:before="40" w:after="40" w:line="240" w:lineRule="auto"/>
            </w:pPr>
            <w:r>
              <w:rPr>
                <w:rFonts w:ascii="Times New Roman" w:hAnsi="Times New Roman" w:cs="Times New Roman"/>
                <w:sz w:val="20"/>
                <w:szCs w:val="20"/>
              </w:rPr>
              <w:t xml:space="preserve">Trust in Influencers</w:t>
            </w:r>
          </w:p>
        </w:tc>
        <w:tc>
          <w:tcPr>
            <w:tcW w:w="1083" w:type="dxa"/>
            <w:vAlign w:val="center"/>
          </w:tcPr>
          <w:p>
            <w:pPr>
              <w:jc w:val="left"/>
              <w:spacing w:before="40" w:after="40" w:line="240" w:lineRule="auto"/>
            </w:pPr>
            <w:r>
              <w:rPr>
                <w:rFonts w:ascii="Times New Roman" w:hAnsi="Times New Roman" w:cs="Times New Roman"/>
                <w:sz w:val="20"/>
                <w:szCs w:val="20"/>
              </w:rPr>
              <w:t xml:space="preserve">Mediating</w:t>
            </w:r>
          </w:p>
        </w:tc>
        <w:tc>
          <w:tcPr>
            <w:tcW w:w="722" w:type="dxa"/>
            <w:vAlign w:val="center"/>
          </w:tcPr>
          <w:p>
            <w:pPr>
              <w:jc w:val="left"/>
              <w:spacing w:before="40" w:after="40" w:line="240" w:lineRule="auto"/>
            </w:pPr>
            <w:r>
              <w:rPr>
                <w:rFonts w:ascii="Times New Roman" w:hAnsi="Times New Roman" w:cs="Times New Roman"/>
                <w:sz w:val="20"/>
                <w:szCs w:val="20"/>
              </w:rPr>
              <w:t xml:space="preserve">4</w:t>
            </w:r>
          </w:p>
        </w:tc>
        <w:tc>
          <w:tcPr>
            <w:tcW w:w="5505" w:type="dxa"/>
            <w:vAlign w:val="center"/>
          </w:tcPr>
          <w:p>
            <w:pPr>
              <w:jc w:val="left"/>
              <w:spacing w:before="40" w:after="40" w:line="240" w:lineRule="auto"/>
            </w:pPr>
            <w:r>
              <w:rPr>
                <w:rFonts w:ascii="Times New Roman" w:hAnsi="Times New Roman" w:cs="Times New Roman"/>
                <w:sz w:val="20"/>
                <w:szCs w:val="20"/>
              </w:rPr>
              <w:t xml:space="preserve">Ohanian (1990) and Sokolova and Kefi (2020), as used by Muthulingam and Amirtharaj (2026); trust in branded posts items used by Lou and Yuan (2019)</w:t>
            </w:r>
          </w:p>
        </w:tc>
      </w:tr>
      <w:tr>
        <w:tc>
          <w:tcPr>
            <w:tcW w:w="1714" w:type="dxa"/>
            <w:vAlign w:val="center"/>
          </w:tcPr>
          <w:p>
            <w:pPr>
              <w:jc w:val="left"/>
              <w:spacing w:before="40" w:after="40" w:line="240" w:lineRule="auto"/>
            </w:pPr>
            <w:r>
              <w:rPr>
                <w:rFonts w:ascii="Times New Roman" w:hAnsi="Times New Roman" w:cs="Times New Roman"/>
                <w:sz w:val="20"/>
                <w:szCs w:val="20"/>
              </w:rPr>
              <w:t xml:space="preserve">Gen Z Purchase Intention</w:t>
            </w:r>
          </w:p>
        </w:tc>
        <w:tc>
          <w:tcPr>
            <w:tcW w:w="1083" w:type="dxa"/>
            <w:vAlign w:val="center"/>
          </w:tcPr>
          <w:p>
            <w:pPr>
              <w:jc w:val="left"/>
              <w:spacing w:before="40" w:after="40" w:line="240" w:lineRule="auto"/>
            </w:pPr>
            <w:r>
              <w:rPr>
                <w:rFonts w:ascii="Times New Roman" w:hAnsi="Times New Roman" w:cs="Times New Roman"/>
                <w:sz w:val="20"/>
                <w:szCs w:val="20"/>
              </w:rPr>
              <w:t xml:space="preserve">Dependent</w:t>
            </w:r>
          </w:p>
        </w:tc>
        <w:tc>
          <w:tcPr>
            <w:tcW w:w="722" w:type="dxa"/>
            <w:vAlign w:val="center"/>
          </w:tcPr>
          <w:p>
            <w:pPr>
              <w:jc w:val="left"/>
              <w:spacing w:before="40" w:after="40" w:line="240" w:lineRule="auto"/>
            </w:pPr>
            <w:r>
              <w:rPr>
                <w:rFonts w:ascii="Times New Roman" w:hAnsi="Times New Roman" w:cs="Times New Roman"/>
                <w:sz w:val="20"/>
                <w:szCs w:val="20"/>
              </w:rPr>
              <w:t xml:space="preserve">3</w:t>
            </w:r>
          </w:p>
        </w:tc>
        <w:tc>
          <w:tcPr>
            <w:tcW w:w="5505" w:type="dxa"/>
            <w:vAlign w:val="center"/>
          </w:tcPr>
          <w:p>
            <w:pPr>
              <w:jc w:val="left"/>
              <w:spacing w:before="40" w:after="40" w:line="240" w:lineRule="auto"/>
            </w:pPr>
            <w:r>
              <w:rPr>
                <w:rFonts w:ascii="Times New Roman" w:hAnsi="Times New Roman" w:cs="Times New Roman"/>
                <w:sz w:val="20"/>
                <w:szCs w:val="20"/>
              </w:rPr>
              <w:t xml:space="preserve">Sokolova and Kefi (2020), as used by Muthulingam and Amirtharaj (2026); purchase intention items of Lee and Watkins (as cited in Bhattacharya, 2026); Jimenez-Castillo and Sanchez-Fernandez (2019)</w:t>
            </w:r>
          </w:p>
        </w:tc>
      </w:tr>
    </w:tbl>
    <w:p>
      <w:pPr>
        <w:spacing w:after="0"/>
        <w:rPr>
          <w:sz w:val="12"/>
        </w:rPr>
      </w:pPr>
    </w:p>
    <w:p>
      <w:pPr>
        <w:pStyle w:val="BodyTextX"/>
        <w:jc w:val="both"/>
        <w:spacing w:after="120" w:line="360" w:lineRule="auto"/>
      </w:pPr>
      <w:r>
        <w:rPr>
          <w:rFonts w:ascii="Times New Roman" w:hAnsi="Times New Roman" w:cs="Times New Roman"/>
          <w:sz w:val="24"/>
          <w:szCs w:val="24"/>
        </w:rPr>
        <w:t xml:space="preserve">The full draft instrument appears in the Annexure. Reliability will be assessed using Cronbach's alpha, with a threshold of .70 (Cronbach, 1951; Nunnally &amp; Bernstein, 1994). Content validity is supported by the use of previously validated items and by expert review of the draft instrument before piloting.</w:t>
      </w:r>
    </w:p>
    <w:p>
      <w:pPr>
        <w:pStyle w:val="Heading1"/>
        <w:pageBreakBefore/>
        <w:outlineLvl w:val="0"/>
      </w:pPr>
      <w:r>
        <w:rPr>
          <w:rFonts w:ascii="Times New Roman" w:hAnsi="Times New Roman" w:cs="Times New Roman"/>
          <w:sz w:val="32"/>
          <w:szCs w:val="32"/>
          <w:b/>
        </w:rPr>
        <w:t xml:space="preserve">4. ANALYSIS</w:t>
      </w:r>
    </w:p>
    <w:p>
      <w:pPr>
        <w:pStyle w:val="BodyTextX"/>
        <w:jc w:val="both"/>
        <w:spacing w:after="120" w:line="360" w:lineRule="auto"/>
      </w:pPr>
      <w:r>
        <w:rPr>
          <w:rFonts w:ascii="Times New Roman" w:hAnsi="Times New Roman" w:cs="Times New Roman"/>
          <w:sz w:val="24"/>
          <w:szCs w:val="24"/>
        </w:rPr>
        <w:t xml:space="preserve">Data will be analysed using IBM SPSS Statistics, supplemented by the PROCESS macro for mediation analysis (Hayes, 2022). The analysis proceeds in six stages.</w:t>
      </w:r>
    </w:p>
    <w:p>
      <w:pPr>
        <w:pStyle w:val="Heading2"/>
        <w:outlineLvl w:val="1"/>
      </w:pPr>
      <w:r>
        <w:rPr>
          <w:rFonts w:ascii="Times New Roman" w:hAnsi="Times New Roman" w:cs="Times New Roman"/>
          <w:sz w:val="28"/>
          <w:szCs w:val="28"/>
          <w:b/>
        </w:rPr>
        <w:t xml:space="preserve">4.1 Data Screening and Preliminary Checks</w:t>
      </w:r>
    </w:p>
    <w:p>
      <w:pPr>
        <w:pStyle w:val="BodyTextX"/>
        <w:jc w:val="both"/>
        <w:spacing w:after="120" w:line="360" w:lineRule="auto"/>
      </w:pPr>
      <w:r>
        <w:rPr>
          <w:rFonts w:ascii="Times New Roman" w:hAnsi="Times New Roman" w:cs="Times New Roman"/>
          <w:sz w:val="24"/>
          <w:szCs w:val="24"/>
        </w:rPr>
        <w:t xml:space="preserve">Responses will first be screened for eligibility against the age and influencer-following criteria, and for completeness. Cases with missing values on construct items will be removed, since the online form will make construct items compulsory. Univariate outliers will be identified using standardised scores beyond plus or minus 3.29. Normality will be assessed through skewness and kurtosis, with values within plus or minus 2 treated as acceptable, following the criterion applied by Sharipudin et al. (2023). Multicollinearity among the independent variables will be checked using tolerance and the variance inflation factor, with values below 5 considered acceptable. This check matters for the present model because Dharma et al. (2024) reported variance inflation factors as high as 5.974 among conceptually adjacent credibility variables. Common method bias will be assessed using Harman's single-factor test, where a first unrotated factor accounting for less than 50 per cent of variance indicates that bias is not a serious concern (Podsakoff et al., 2003).</w:t>
      </w:r>
    </w:p>
    <w:p>
      <w:pPr>
        <w:pStyle w:val="Heading2"/>
        <w:outlineLvl w:val="1"/>
      </w:pPr>
      <w:r>
        <w:rPr>
          <w:rFonts w:ascii="Times New Roman" w:hAnsi="Times New Roman" w:cs="Times New Roman"/>
          <w:sz w:val="28"/>
          <w:szCs w:val="28"/>
          <w:b/>
        </w:rPr>
        <w:t xml:space="preserve">4.2 Descriptive and Demographic Analysis</w:t>
      </w:r>
    </w:p>
    <w:p>
      <w:pPr>
        <w:pStyle w:val="BodyTextX"/>
        <w:jc w:val="both"/>
        <w:spacing w:after="120" w:line="360" w:lineRule="auto"/>
      </w:pPr>
      <w:r>
        <w:rPr>
          <w:rFonts w:ascii="Times New Roman" w:hAnsi="Times New Roman" w:cs="Times New Roman"/>
          <w:sz w:val="24"/>
          <w:szCs w:val="24"/>
        </w:rPr>
        <w:t xml:space="preserve">Frequencies and percentages will describe the demographic and usage profile of the sample, covering age band, gender, city or district, occupation, education, spending, platform preference, usage duration and prior influencer-led purchase. Means and standard deviations will be computed for each construct and for each item, which allows the relative standing of the three independent variables to be compared directly. Muliani et al. (2026) used construct means in this way to argue that peer-based evidence outranked influencer persuasion in their sample.</w:t>
      </w:r>
    </w:p>
    <w:p>
      <w:pPr>
        <w:pStyle w:val="Heading2"/>
        <w:outlineLvl w:val="1"/>
      </w:pPr>
      <w:r>
        <w:rPr>
          <w:rFonts w:ascii="Times New Roman" w:hAnsi="Times New Roman" w:cs="Times New Roman"/>
          <w:sz w:val="28"/>
          <w:szCs w:val="28"/>
          <w:b/>
        </w:rPr>
        <w:t xml:space="preserve">4.3 Reliability and Validity Assessment</w:t>
      </w:r>
    </w:p>
    <w:p>
      <w:pPr>
        <w:pStyle w:val="BodyTextX"/>
        <w:jc w:val="both"/>
        <w:spacing w:after="120" w:line="360" w:lineRule="auto"/>
      </w:pPr>
      <w:r>
        <w:rPr>
          <w:rFonts w:ascii="Times New Roman" w:hAnsi="Times New Roman" w:cs="Times New Roman"/>
          <w:sz w:val="24"/>
          <w:szCs w:val="24"/>
        </w:rPr>
        <w:t xml:space="preserve">Internal consistency reliability will be assessed for each construct using Cronbach's alpha, with .70 as the minimum acceptable value (Cronbach, 1951; Nunnally &amp; Bernstein, 1994). Corrected item-total correlations will be examined, and items falling below .50 will be considered for removal, the threshold Muthulingam and Amirtharaj (2026) applied at their pilot stage.</w:t>
      </w:r>
    </w:p>
    <w:p>
      <w:pPr>
        <w:pStyle w:val="BodyTextX"/>
        <w:jc w:val="both"/>
        <w:spacing w:after="120" w:line="360" w:lineRule="auto"/>
      </w:pPr>
      <w:r>
        <w:rPr>
          <w:rFonts w:ascii="Times New Roman" w:hAnsi="Times New Roman" w:cs="Times New Roman"/>
          <w:sz w:val="24"/>
          <w:szCs w:val="24"/>
        </w:rPr>
        <w:t xml:space="preserve">Construct validity will be examined through exploratory factor analysis using principal component analysis with Varimax rotation. Sampling adequacy will be confirmed using the Kaiser-Meyer-Olkin measure, with values above .70 considered acceptable, and the suitability of the correlation matrix will be confirmed using Bartlett's test of sphericity. Items will be retained where they load above .50 on their intended factor and do not cross-load substantially. A clean five-factor solution corresponding to the five constructs would support discriminant validity between the conceptually adjacent constructs of expertise and trust, which is a known measurement risk in this literature.</w:t>
      </w:r>
    </w:p>
    <w:p>
      <w:pPr>
        <w:pStyle w:val="Heading2"/>
        <w:outlineLvl w:val="1"/>
      </w:pPr>
      <w:r>
        <w:rPr>
          <w:rFonts w:ascii="Times New Roman" w:hAnsi="Times New Roman" w:cs="Times New Roman"/>
          <w:sz w:val="28"/>
          <w:szCs w:val="28"/>
          <w:b/>
        </w:rPr>
        <w:t xml:space="preserve">4.4 Correlation Analysis</w:t>
      </w:r>
    </w:p>
    <w:p>
      <w:pPr>
        <w:pStyle w:val="BodyTextX"/>
        <w:jc w:val="both"/>
        <w:spacing w:after="120" w:line="360" w:lineRule="auto"/>
      </w:pPr>
      <w:r>
        <w:rPr>
          <w:rFonts w:ascii="Times New Roman" w:hAnsi="Times New Roman" w:cs="Times New Roman"/>
          <w:sz w:val="24"/>
          <w:szCs w:val="24"/>
        </w:rPr>
        <w:t xml:space="preserve">Pearson product-moment correlation coefficients will be computed among social influence, content quality, influencer expertise, trust in influencers and Gen Z purchase intention. Correlation analysis establishes the direction and strength of the bivariate associations and provides a preliminary check on whether the hypothesised relationships exist before the regression models are estimated. It also allows comparison with the correlation patterns reported by Dharma et al. (2024).</w:t>
      </w:r>
    </w:p>
    <w:p>
      <w:pPr>
        <w:pStyle w:val="Heading2"/>
        <w:outlineLvl w:val="1"/>
      </w:pPr>
      <w:r>
        <w:rPr>
          <w:rFonts w:ascii="Times New Roman" w:hAnsi="Times New Roman" w:cs="Times New Roman"/>
          <w:sz w:val="28"/>
          <w:szCs w:val="28"/>
          <w:b/>
        </w:rPr>
        <w:t xml:space="preserve">4.5 Regression Analysis for Direct Effects</w:t>
      </w:r>
    </w:p>
    <w:p>
      <w:pPr>
        <w:pStyle w:val="BodyTextX"/>
        <w:jc w:val="both"/>
        <w:spacing w:after="120" w:line="360" w:lineRule="auto"/>
      </w:pPr>
      <w:r>
        <w:rPr>
          <w:rFonts w:ascii="Times New Roman" w:hAnsi="Times New Roman" w:cs="Times New Roman"/>
          <w:sz w:val="24"/>
          <w:szCs w:val="24"/>
        </w:rPr>
        <w:t xml:space="preserve">The direct-effect hypotheses will be tested using regression analysis. Three models will be estimated. The first regresses trust in influencers on content quality and influencer expertise, which tests H2 and H3. The second regresses Gen Z purchase intention on social influence, content quality and influencer expertise, which tests H1, H5 and H6. The third regresses Gen Z purchase intention on trust in influencers, which tests H4. For each model the coefficient of determination, the adjusted coefficient of determination, the F statistic and its significance, and the standardised beta coefficients with their t values and significance levels will be reported. A hypothesis will be accepted where the standardised beta is in the predicted direction and significant at the five per cent level.</w:t>
      </w:r>
    </w:p>
    <w:p>
      <w:pPr>
        <w:pStyle w:val="Heading2"/>
        <w:outlineLvl w:val="1"/>
      </w:pPr>
      <w:r>
        <w:rPr>
          <w:rFonts w:ascii="Times New Roman" w:hAnsi="Times New Roman" w:cs="Times New Roman"/>
          <w:sz w:val="28"/>
          <w:szCs w:val="28"/>
          <w:b/>
        </w:rPr>
        <w:t xml:space="preserve">4.6 Testing the Mediating Effect of Trust</w:t>
      </w:r>
    </w:p>
    <w:p>
      <w:pPr>
        <w:pStyle w:val="BodyTextX"/>
        <w:jc w:val="both"/>
        <w:spacing w:after="120" w:line="360" w:lineRule="auto"/>
      </w:pPr>
      <w:r>
        <w:rPr>
          <w:rFonts w:ascii="Times New Roman" w:hAnsi="Times New Roman" w:cs="Times New Roman"/>
          <w:sz w:val="24"/>
          <w:szCs w:val="24"/>
        </w:rPr>
        <w:t xml:space="preserve">Mediation will be tested using the PROCESS macro for SPSS, applying Model 4 for simple mediation with trust in influencers as the mediator (Hayes, 2022). Two mediation models will be estimated, one with content quality as the independent variable for H7a and one with influencer expertise for H7b. Each model will be run with 5,000 bootstrap samples and bias-corrected 95 per cent confidence intervals, the resampling specification used by Lou and Yuan (2019), Bhattacharya (2026) and Muthulingam and Amirtharaj (2026).</w:t>
      </w:r>
    </w:p>
    <w:p>
      <w:pPr>
        <w:pStyle w:val="BodyTextX"/>
        <w:jc w:val="both"/>
        <w:spacing w:after="120" w:line="360" w:lineRule="auto"/>
      </w:pPr>
      <w:r>
        <w:rPr>
          <w:rFonts w:ascii="Times New Roman" w:hAnsi="Times New Roman" w:cs="Times New Roman"/>
          <w:sz w:val="24"/>
          <w:szCs w:val="24"/>
        </w:rPr>
        <w:t xml:space="preserve">The indirect effect will be treated as significant where the bootstrapped confidence interval does not contain zero, which is the decision rule recommended by Preacher and Hayes (2008) and applied by Muthulingam and Amirtharaj (2026). Bootstrapping is preferred to the causal-steps logic of Baron and Kenny (1986) and to the Sobel test because it does not assume that the sampling distribution of the indirect effect is normal. The type of mediation will be determined by reading the direct and indirect effects together. A significant indirect effect with a non-significant direct effect indicates full mediation, the pattern Silitonga (2026) reported. A significant indirect effect alongside a significant direct effect indicates partial mediation, the pattern reported by Nafees et al. (2021) and Muthulingam and Amirtharaj (2026). Social influence is not entered into either mediation model, since it is hypothesised to operate directly.</w:t>
      </w:r>
    </w:p>
    <w:p>
      <w:pPr>
        <w:pStyle w:val="Heading2"/>
        <w:outlineLvl w:val="1"/>
      </w:pPr>
      <w:r>
        <w:rPr>
          <w:rFonts w:ascii="Times New Roman" w:hAnsi="Times New Roman" w:cs="Times New Roman"/>
          <w:sz w:val="28"/>
          <w:szCs w:val="28"/>
          <w:b/>
        </w:rPr>
        <w:t xml:space="preserve">4.7 Objective-wise Analytical Plan</w:t>
      </w:r>
    </w:p>
    <w:p>
      <w:pPr>
        <w:pStyle w:val="BodyTextX"/>
        <w:jc w:val="both"/>
        <w:spacing w:after="120" w:line="360" w:lineRule="auto"/>
      </w:pPr>
      <w:r>
        <w:rPr>
          <w:rFonts w:ascii="Times New Roman" w:hAnsi="Times New Roman" w:cs="Times New Roman"/>
          <w:sz w:val="24"/>
          <w:szCs w:val="24"/>
        </w:rPr>
        <w:t xml:space="preserve">Table 4.1 maps each objective to the hypotheses it covers and the statistical technique to be applied.</w:t>
      </w:r>
    </w:p>
    <w:p>
      <w:pPr>
        <w:pStyle w:val="BodyTextX"/>
        <w:jc w:val="left"/>
        <w:spacing w:after="60" w:line="360" w:lineRule="auto"/>
      </w:pPr>
      <w:r>
        <w:rPr>
          <w:rFonts w:ascii="Times New Roman" w:hAnsi="Times New Roman" w:cs="Times New Roman"/>
          <w:sz w:val="24"/>
          <w:szCs w:val="24"/>
          <w:b/>
        </w:rPr>
        <w:t xml:space="preserve">Table 4.1: Mapping of Objectives, Hypotheses and Techniques</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3610"/>
        <w:gridCol w:w="1444"/>
        <w:gridCol w:w="3971"/>
      </w:tblGrid>
      <w:tr>
        <w:trPr>
          <w:tblHeader/>
        </w:trPr>
        <w:tc>
          <w:tcPr>
            <w:tcW w:w="3610"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Objective</w:t>
            </w:r>
          </w:p>
        </w:tc>
        <w:tc>
          <w:tcPr>
            <w:tcW w:w="1444"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Hypotheses</w:t>
            </w:r>
          </w:p>
        </w:tc>
        <w:tc>
          <w:tcPr>
            <w:tcW w:w="3971"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Technique</w:t>
            </w:r>
          </w:p>
        </w:tc>
      </w:tr>
      <w:tr>
        <w:tc>
          <w:tcPr>
            <w:tcW w:w="3610" w:type="dxa"/>
            <w:vAlign w:val="center"/>
          </w:tcPr>
          <w:p>
            <w:pPr>
              <w:jc w:val="left"/>
              <w:spacing w:before="40" w:after="40" w:line="240" w:lineRule="auto"/>
            </w:pPr>
            <w:r>
              <w:rPr>
                <w:rFonts w:ascii="Times New Roman" w:hAnsi="Times New Roman" w:cs="Times New Roman"/>
                <w:sz w:val="22"/>
                <w:szCs w:val="22"/>
              </w:rPr>
              <w:t xml:space="preserve">1. Influence of social influence on Gen Z purchase intention</w:t>
            </w:r>
          </w:p>
        </w:tc>
        <w:tc>
          <w:tcPr>
            <w:tcW w:w="1444" w:type="dxa"/>
            <w:vAlign w:val="center"/>
          </w:tcPr>
          <w:p>
            <w:pPr>
              <w:jc w:val="left"/>
              <w:spacing w:before="40" w:after="40" w:line="240" w:lineRule="auto"/>
            </w:pPr>
            <w:r>
              <w:rPr>
                <w:rFonts w:ascii="Times New Roman" w:hAnsi="Times New Roman" w:cs="Times New Roman"/>
                <w:sz w:val="22"/>
                <w:szCs w:val="22"/>
              </w:rPr>
              <w:t xml:space="preserve">H1</w:t>
            </w:r>
          </w:p>
        </w:tc>
        <w:tc>
          <w:tcPr>
            <w:tcW w:w="3971" w:type="dxa"/>
            <w:vAlign w:val="center"/>
          </w:tcPr>
          <w:p>
            <w:pPr>
              <w:jc w:val="left"/>
              <w:spacing w:before="40" w:after="40" w:line="240" w:lineRule="auto"/>
            </w:pPr>
            <w:r>
              <w:rPr>
                <w:rFonts w:ascii="Times New Roman" w:hAnsi="Times New Roman" w:cs="Times New Roman"/>
                <w:sz w:val="22"/>
                <w:szCs w:val="22"/>
              </w:rPr>
              <w:t xml:space="preserve">Descriptive statistics, Pearson correlation, multiple regression</w:t>
            </w:r>
          </w:p>
        </w:tc>
      </w:tr>
      <w:tr>
        <w:tc>
          <w:tcPr>
            <w:tcW w:w="3610" w:type="dxa"/>
            <w:vAlign w:val="center"/>
          </w:tcPr>
          <w:p>
            <w:pPr>
              <w:jc w:val="left"/>
              <w:spacing w:before="40" w:after="40" w:line="240" w:lineRule="auto"/>
            </w:pPr>
            <w:r>
              <w:rPr>
                <w:rFonts w:ascii="Times New Roman" w:hAnsi="Times New Roman" w:cs="Times New Roman"/>
                <w:sz w:val="22"/>
                <w:szCs w:val="22"/>
              </w:rPr>
              <w:t xml:space="preserve">2. Influence of content quality and influencer expertise on trust in influencers</w:t>
            </w:r>
          </w:p>
        </w:tc>
        <w:tc>
          <w:tcPr>
            <w:tcW w:w="1444" w:type="dxa"/>
            <w:vAlign w:val="center"/>
          </w:tcPr>
          <w:p>
            <w:pPr>
              <w:jc w:val="left"/>
              <w:spacing w:before="40" w:after="40" w:line="240" w:lineRule="auto"/>
            </w:pPr>
            <w:r>
              <w:rPr>
                <w:rFonts w:ascii="Times New Roman" w:hAnsi="Times New Roman" w:cs="Times New Roman"/>
                <w:sz w:val="22"/>
                <w:szCs w:val="22"/>
              </w:rPr>
              <w:t xml:space="preserve">H2, H3</w:t>
            </w:r>
          </w:p>
        </w:tc>
        <w:tc>
          <w:tcPr>
            <w:tcW w:w="3971" w:type="dxa"/>
            <w:vAlign w:val="center"/>
          </w:tcPr>
          <w:p>
            <w:pPr>
              <w:jc w:val="left"/>
              <w:spacing w:before="40" w:after="40" w:line="240" w:lineRule="auto"/>
            </w:pPr>
            <w:r>
              <w:rPr>
                <w:rFonts w:ascii="Times New Roman" w:hAnsi="Times New Roman" w:cs="Times New Roman"/>
                <w:sz w:val="22"/>
                <w:szCs w:val="22"/>
              </w:rPr>
              <w:t xml:space="preserve">Pearson correlation, multiple regression</w:t>
            </w:r>
          </w:p>
        </w:tc>
      </w:tr>
      <w:tr>
        <w:tc>
          <w:tcPr>
            <w:tcW w:w="3610" w:type="dxa"/>
            <w:vAlign w:val="center"/>
          </w:tcPr>
          <w:p>
            <w:pPr>
              <w:jc w:val="left"/>
              <w:spacing w:before="40" w:after="40" w:line="240" w:lineRule="auto"/>
            </w:pPr>
            <w:r>
              <w:rPr>
                <w:rFonts w:ascii="Times New Roman" w:hAnsi="Times New Roman" w:cs="Times New Roman"/>
                <w:sz w:val="22"/>
                <w:szCs w:val="22"/>
              </w:rPr>
              <w:t xml:space="preserve">3. Influence of trust in influencers on Gen Z purchase intention</w:t>
            </w:r>
          </w:p>
        </w:tc>
        <w:tc>
          <w:tcPr>
            <w:tcW w:w="1444" w:type="dxa"/>
            <w:vAlign w:val="center"/>
          </w:tcPr>
          <w:p>
            <w:pPr>
              <w:jc w:val="left"/>
              <w:spacing w:before="40" w:after="40" w:line="240" w:lineRule="auto"/>
            </w:pPr>
            <w:r>
              <w:rPr>
                <w:rFonts w:ascii="Times New Roman" w:hAnsi="Times New Roman" w:cs="Times New Roman"/>
                <w:sz w:val="22"/>
                <w:szCs w:val="22"/>
              </w:rPr>
              <w:t xml:space="preserve">H4</w:t>
            </w:r>
          </w:p>
        </w:tc>
        <w:tc>
          <w:tcPr>
            <w:tcW w:w="3971" w:type="dxa"/>
            <w:vAlign w:val="center"/>
          </w:tcPr>
          <w:p>
            <w:pPr>
              <w:jc w:val="left"/>
              <w:spacing w:before="40" w:after="40" w:line="240" w:lineRule="auto"/>
            </w:pPr>
            <w:r>
              <w:rPr>
                <w:rFonts w:ascii="Times New Roman" w:hAnsi="Times New Roman" w:cs="Times New Roman"/>
                <w:sz w:val="22"/>
                <w:szCs w:val="22"/>
              </w:rPr>
              <w:t xml:space="preserve">Pearson correlation, simple linear regression</w:t>
            </w:r>
          </w:p>
        </w:tc>
      </w:tr>
      <w:tr>
        <w:tc>
          <w:tcPr>
            <w:tcW w:w="3610" w:type="dxa"/>
            <w:vAlign w:val="center"/>
          </w:tcPr>
          <w:p>
            <w:pPr>
              <w:jc w:val="left"/>
              <w:spacing w:before="40" w:after="40" w:line="240" w:lineRule="auto"/>
            </w:pPr>
            <w:r>
              <w:rPr>
                <w:rFonts w:ascii="Times New Roman" w:hAnsi="Times New Roman" w:cs="Times New Roman"/>
                <w:sz w:val="22"/>
                <w:szCs w:val="22"/>
              </w:rPr>
              <w:t xml:space="preserve">4. Mediating role of trust in influencers</w:t>
            </w:r>
          </w:p>
        </w:tc>
        <w:tc>
          <w:tcPr>
            <w:tcW w:w="1444" w:type="dxa"/>
            <w:vAlign w:val="center"/>
          </w:tcPr>
          <w:p>
            <w:pPr>
              <w:jc w:val="left"/>
              <w:spacing w:before="40" w:after="40" w:line="240" w:lineRule="auto"/>
            </w:pPr>
            <w:r>
              <w:rPr>
                <w:rFonts w:ascii="Times New Roman" w:hAnsi="Times New Roman" w:cs="Times New Roman"/>
                <w:sz w:val="22"/>
                <w:szCs w:val="22"/>
              </w:rPr>
              <w:t xml:space="preserve">H5, H6, H7a, H7b</w:t>
            </w:r>
          </w:p>
        </w:tc>
        <w:tc>
          <w:tcPr>
            <w:tcW w:w="3971" w:type="dxa"/>
            <w:vAlign w:val="center"/>
          </w:tcPr>
          <w:p>
            <w:pPr>
              <w:jc w:val="left"/>
              <w:spacing w:before="40" w:after="40" w:line="240" w:lineRule="auto"/>
            </w:pPr>
            <w:r>
              <w:rPr>
                <w:rFonts w:ascii="Times New Roman" w:hAnsi="Times New Roman" w:cs="Times New Roman"/>
                <w:sz w:val="22"/>
                <w:szCs w:val="22"/>
              </w:rPr>
              <w:t xml:space="preserve">PROCESS macro Model 4, bootstrapping with 5,000 samples and bias-corrected 95 per cent confidence intervals</w:t>
            </w:r>
          </w:p>
        </w:tc>
      </w:tr>
    </w:tbl>
    <w:p>
      <w:pPr>
        <w:spacing w:after="0"/>
        <w:rPr>
          <w:sz w:val="12"/>
        </w:rPr>
      </w:pPr>
    </w:p>
    <w:p>
      <w:pPr>
        <w:pStyle w:val="BodyTextX"/>
        <w:jc w:val="both"/>
        <w:spacing w:after="120" w:line="360" w:lineRule="auto"/>
      </w:pPr>
      <w:r>
        <w:rPr>
          <w:rFonts w:ascii="Times New Roman" w:hAnsi="Times New Roman" w:cs="Times New Roman"/>
          <w:sz w:val="24"/>
          <w:szCs w:val="24"/>
        </w:rPr>
        <w:t xml:space="preserve">Reliability and validity procedures described in Section 4.3 apply across all four objectives and precede hypothesis testing.</w:t>
      </w:r>
    </w:p>
    <w:p>
      <w:pPr>
        <w:pStyle w:val="Heading1"/>
        <w:pageBreakBefore/>
        <w:outlineLvl w:val="0"/>
      </w:pPr>
      <w:r>
        <w:rPr>
          <w:rFonts w:ascii="Times New Roman" w:hAnsi="Times New Roman" w:cs="Times New Roman"/>
          <w:sz w:val="32"/>
          <w:szCs w:val="32"/>
          <w:b/>
        </w:rPr>
        <w:t xml:space="preserve">5. CONCLUSION, FINDINGS AND IMPLICATIONS</w:t>
      </w:r>
    </w:p>
    <w:p>
      <w:pPr>
        <w:pStyle w:val="Heading2"/>
        <w:outlineLvl w:val="1"/>
      </w:pPr>
      <w:r>
        <w:rPr>
          <w:rFonts w:ascii="Times New Roman" w:hAnsi="Times New Roman" w:cs="Times New Roman"/>
          <w:sz w:val="28"/>
          <w:szCs w:val="28"/>
          <w:b/>
        </w:rPr>
        <w:t xml:space="preserve">5.1 Expected Findings</w:t>
      </w:r>
    </w:p>
    <w:p>
      <w:pPr>
        <w:pStyle w:val="BodyTextX"/>
        <w:jc w:val="both"/>
        <w:spacing w:after="120" w:line="360" w:lineRule="auto"/>
      </w:pPr>
      <w:r>
        <w:rPr>
          <w:rFonts w:ascii="Times New Roman" w:hAnsi="Times New Roman" w:cs="Times New Roman"/>
          <w:sz w:val="24"/>
          <w:szCs w:val="24"/>
        </w:rPr>
        <w:t xml:space="preserve">Since data collection has not yet been carried out, the findings set out here are anticipated outcomes based on the reviewed evidence. They are stated so that the results obtained can be compared against them.</w:t>
      </w:r>
    </w:p>
    <w:p>
      <w:pPr>
        <w:pStyle w:val="BodyTextX"/>
        <w:jc w:val="both"/>
        <w:spacing w:after="120" w:line="360" w:lineRule="auto"/>
      </w:pPr>
      <w:r>
        <w:rPr>
          <w:rFonts w:ascii="Times New Roman" w:hAnsi="Times New Roman" w:cs="Times New Roman"/>
          <w:sz w:val="24"/>
          <w:szCs w:val="24"/>
        </w:rPr>
        <w:t xml:space="preserve">Social influence is expected to show a significant positive effect on Gen Z purchase intention. The size of the effect reported by Liang et al. (2024) at .72 and by Gunawan et al. (2023) at .261 for the direct path suggests a coefficient somewhere between these values, with the normative component likely to dominate as it did for Sharipudin et al. (2023). A strong result would confirm that Gen Z purchase intention is partly driven by group alignment rather than by evaluation of the influencer.</w:t>
      </w:r>
    </w:p>
    <w:p>
      <w:pPr>
        <w:pStyle w:val="BodyTextX"/>
        <w:jc w:val="both"/>
        <w:spacing w:after="120" w:line="360" w:lineRule="auto"/>
      </w:pPr>
      <w:r>
        <w:rPr>
          <w:rFonts w:ascii="Times New Roman" w:hAnsi="Times New Roman" w:cs="Times New Roman"/>
          <w:sz w:val="24"/>
          <w:szCs w:val="24"/>
        </w:rPr>
        <w:t xml:space="preserve">Content quality and influencer expertise are both expected to predict trust in influencers positively. Expertise is expected to produce the larger coefficient, following Muthulingam and Amirtharaj (2026), whose Indian Gen Z sample is closest in composition to the present one. If expertise instead proves non-significant, the result would replicate Lou and Yuan (2019) and would support the argument that Gen Z followers assume category knowledge as a baseline condition of following someone. Either outcome is informative given that the literature currently contains both results.</w:t>
      </w:r>
    </w:p>
    <w:p>
      <w:pPr>
        <w:pStyle w:val="BodyTextX"/>
        <w:jc w:val="both"/>
        <w:spacing w:after="120" w:line="360" w:lineRule="auto"/>
      </w:pPr>
      <w:r>
        <w:rPr>
          <w:rFonts w:ascii="Times New Roman" w:hAnsi="Times New Roman" w:cs="Times New Roman"/>
          <w:sz w:val="24"/>
          <w:szCs w:val="24"/>
        </w:rPr>
        <w:t xml:space="preserve">Trust in influencers is expected to be the strongest single predictor of Gen Z purchase intention, in line with Lou and Yuan (2019) at .41 and Muthulingam and Amirtharaj (2026) at .426. Trust is expected to mediate the effects of content quality and influencer expertise. Partial mediation is considered more likely than full mediation for content quality, since Perdana et al. (2023) found content quality retained a significant direct effect on purchase intention at .322 alongside its effect on trust. Full mediation is plausible for expertise, given the pattern Silitonga (2026) observed where the direct credibility effect vanished once trust entered the model.</w:t>
      </w:r>
    </w:p>
    <w:p>
      <w:pPr>
        <w:pStyle w:val="BodyTextX"/>
        <w:jc w:val="both"/>
        <w:spacing w:after="120" w:line="360" w:lineRule="auto"/>
      </w:pPr>
      <w:r>
        <w:rPr>
          <w:rFonts w:ascii="Times New Roman" w:hAnsi="Times New Roman" w:cs="Times New Roman"/>
          <w:sz w:val="24"/>
          <w:szCs w:val="24"/>
        </w:rPr>
        <w:t xml:space="preserve">A further expectation concerns relative magnitude. If the trust-mediated paths together outweigh the direct social influence path, the practical conclusion is that influencer marketing works mainly through earned credibility. If social influence dominates, the conclusion is that visible social proof matters more than the attributes of any individual influencer, which would align with the finding of Muliani et al. (2026) that user-generated content outperformed influencer marketing.</w:t>
      </w:r>
    </w:p>
    <w:p>
      <w:pPr>
        <w:pStyle w:val="Heading2"/>
        <w:outlineLvl w:val="1"/>
      </w:pPr>
      <w:r>
        <w:rPr>
          <w:rFonts w:ascii="Times New Roman" w:hAnsi="Times New Roman" w:cs="Times New Roman"/>
          <w:sz w:val="28"/>
          <w:szCs w:val="28"/>
          <w:b/>
        </w:rPr>
        <w:t xml:space="preserve">5.2 Expected Contribution and Implications</w:t>
      </w:r>
    </w:p>
    <w:p>
      <w:pPr>
        <w:pStyle w:val="Heading3"/>
        <w:outlineLvl w:val="2"/>
      </w:pPr>
      <w:r>
        <w:rPr>
          <w:rFonts w:ascii="Times New Roman" w:hAnsi="Times New Roman" w:cs="Times New Roman"/>
          <w:sz w:val="26"/>
          <w:szCs w:val="26"/>
          <w:b/>
        </w:rPr>
        <w:t xml:space="preserve">5.2.1 Theoretical Implications</w:t>
      </w:r>
    </w:p>
    <w:p>
      <w:pPr>
        <w:pStyle w:val="BodyTextX"/>
        <w:jc w:val="both"/>
        <w:spacing w:after="120" w:line="360" w:lineRule="auto"/>
      </w:pPr>
      <w:r>
        <w:rPr>
          <w:rFonts w:ascii="Times New Roman" w:hAnsi="Times New Roman" w:cs="Times New Roman"/>
          <w:sz w:val="24"/>
          <w:szCs w:val="24"/>
        </w:rPr>
        <w:t xml:space="preserve">The study offers three theoretical contributions. It tests a differentiated pathway structure in which trust mediates some antecedents and not others, rather than assuming a single mechanism for all influencer attributes. It brings Social Influence Theory (Kelman, 1958) into influencer marketing research as a measured construct, addressing the pattern in Sunilkumar et al. (2026) and Muliani et al. (2026) where the theory is cited but the construct is never operationalised. It provides a direct test of the content quality to trust path that Perdana et al. (2023) proposed without estimating, and adjudicates between the conflicting expertise findings of Muthulingam and Amirtharaj (2026) and Lou and Yuan (2019) on a Gen Z sample.</w:t>
      </w:r>
    </w:p>
    <w:p>
      <w:pPr>
        <w:pStyle w:val="Heading3"/>
        <w:outlineLvl w:val="2"/>
      </w:pPr>
      <w:r>
        <w:rPr>
          <w:rFonts w:ascii="Times New Roman" w:hAnsi="Times New Roman" w:cs="Times New Roman"/>
          <w:sz w:val="26"/>
          <w:szCs w:val="26"/>
          <w:b/>
        </w:rPr>
        <w:t xml:space="preserve">5.2.2 Managerial Implications</w:t>
      </w:r>
    </w:p>
    <w:p>
      <w:pPr>
        <w:pStyle w:val="BodyTextX"/>
        <w:jc w:val="both"/>
        <w:spacing w:after="120" w:line="360" w:lineRule="auto"/>
      </w:pPr>
      <w:r>
        <w:rPr>
          <w:rFonts w:ascii="Times New Roman" w:hAnsi="Times New Roman" w:cs="Times New Roman"/>
          <w:sz w:val="24"/>
          <w:szCs w:val="24"/>
        </w:rPr>
        <w:t xml:space="preserve">For brands the study indicates where influencer budgets produce return. If the mediated paths hold, selection criteria should weight demonstrable category knowledge and content accuracy above follower count, because these attributes work only insofar as they generate trust. If the direct social influence path is strong, campaigns should be designed to make adoption visible through reviews, ratings and community conversation, since that channel operates independently of any single influencer's credibility. The results will also inform regional brands in the Tricity region and Punjab, which currently have no local evidence base and must extrapolate from metropolitan or overseas studies.</w:t>
      </w:r>
    </w:p>
    <w:p>
      <w:pPr>
        <w:pStyle w:val="Heading3"/>
        <w:outlineLvl w:val="2"/>
      </w:pPr>
      <w:r>
        <w:rPr>
          <w:rFonts w:ascii="Times New Roman" w:hAnsi="Times New Roman" w:cs="Times New Roman"/>
          <w:sz w:val="26"/>
          <w:szCs w:val="26"/>
          <w:b/>
        </w:rPr>
        <w:t xml:space="preserve">5.2.3 Implications for Influencers and Policy</w:t>
      </w:r>
    </w:p>
    <w:p>
      <w:pPr>
        <w:pStyle w:val="BodyTextX"/>
        <w:jc w:val="both"/>
        <w:spacing w:after="120" w:line="360" w:lineRule="auto"/>
      </w:pPr>
      <w:r>
        <w:rPr>
          <w:rFonts w:ascii="Times New Roman" w:hAnsi="Times New Roman" w:cs="Times New Roman"/>
          <w:sz w:val="24"/>
          <w:szCs w:val="24"/>
        </w:rPr>
        <w:t xml:space="preserve">For influencers the findings speak to whether investment in subject knowledge and content standards pays off relative to volume of posting. The negative exposure-frequency effect reported by Muthulingam and Amirtharaj (2026) suggests that posting more is not automatically better. For policy, evidence on whether Gen Z purchase intention rests on reasoned trust or on social pressure has a bearing on how sponsorship disclosure requirements should be framed, a concern raised by the materialism findings of Lou and Kim (2019).</w:t>
      </w:r>
    </w:p>
    <w:p>
      <w:pPr>
        <w:pStyle w:val="Heading2"/>
        <w:outlineLvl w:val="1"/>
      </w:pPr>
      <w:r>
        <w:rPr>
          <w:rFonts w:ascii="Times New Roman" w:hAnsi="Times New Roman" w:cs="Times New Roman"/>
          <w:sz w:val="28"/>
          <w:szCs w:val="28"/>
          <w:b/>
        </w:rPr>
        <w:t xml:space="preserve">5.3 Limitations of the Study</w:t>
      </w:r>
    </w:p>
    <w:p>
      <w:pPr>
        <w:pStyle w:val="BodyTextX"/>
        <w:ind w:left="720" w:hanging="360"/>
        <w:jc w:val="both"/>
        <w:spacing w:after="80" w:line="360" w:lineRule="auto"/>
      </w:pPr>
      <w:r>
        <w:rPr>
          <w:rFonts w:ascii="Times New Roman" w:hAnsi="Times New Roman" w:cs="Times New Roman"/>
          <w:sz w:val="24"/>
          <w:szCs w:val="24"/>
        </w:rPr>
        <w:t xml:space="preserve">•  The sampling is non-probability, combining purposive and convenience methods, so the sample cannot be treated as statistically representative of all Gen Z consumers in the region. Bhattacharya (2026) and Sunilkumar et al. (2026) record the same limitation.</w:t>
      </w:r>
    </w:p>
    <w:p>
      <w:pPr>
        <w:pStyle w:val="BodyTextX"/>
        <w:ind w:left="720" w:hanging="360"/>
        <w:jc w:val="both"/>
        <w:spacing w:after="80" w:line="360" w:lineRule="auto"/>
      </w:pPr>
      <w:r>
        <w:rPr>
          <w:rFonts w:ascii="Times New Roman" w:hAnsi="Times New Roman" w:cs="Times New Roman"/>
          <w:sz w:val="24"/>
          <w:szCs w:val="24"/>
        </w:rPr>
        <w:t xml:space="preserve">•  The design is cross-sectional, so the relationships identified are associations measured at one point in time and causal direction cannot be established from the data alone.</w:t>
      </w:r>
    </w:p>
    <w:p>
      <w:pPr>
        <w:pStyle w:val="BodyTextX"/>
        <w:ind w:left="720" w:hanging="360"/>
        <w:jc w:val="both"/>
        <w:spacing w:after="80" w:line="360" w:lineRule="auto"/>
      </w:pPr>
      <w:r>
        <w:rPr>
          <w:rFonts w:ascii="Times New Roman" w:hAnsi="Times New Roman" w:cs="Times New Roman"/>
          <w:sz w:val="24"/>
          <w:szCs w:val="24"/>
        </w:rPr>
        <w:t xml:space="preserve">•  The outcome variable is purchase intention rather than actual purchase, which leaves an intention-behaviour gap unmeasured.</w:t>
      </w:r>
    </w:p>
    <w:p>
      <w:pPr>
        <w:pStyle w:val="BodyTextX"/>
        <w:ind w:left="720" w:hanging="360"/>
        <w:jc w:val="both"/>
        <w:spacing w:after="80" w:line="360" w:lineRule="auto"/>
      </w:pPr>
      <w:r>
        <w:rPr>
          <w:rFonts w:ascii="Times New Roman" w:hAnsi="Times New Roman" w:cs="Times New Roman"/>
          <w:sz w:val="24"/>
          <w:szCs w:val="24"/>
        </w:rPr>
        <w:t xml:space="preserve">•  Data are self-reported and collected through a single instrument, which carries a risk of common method bias. Harman's single-factor test mitigates but does not eliminate this concern (Podsakoff et al., 2003).</w:t>
      </w:r>
    </w:p>
    <w:p>
      <w:pPr>
        <w:pStyle w:val="BodyTextX"/>
        <w:ind w:left="720" w:hanging="360"/>
        <w:jc w:val="both"/>
        <w:spacing w:after="80" w:line="360" w:lineRule="auto"/>
      </w:pPr>
      <w:r>
        <w:rPr>
          <w:rFonts w:ascii="Times New Roman" w:hAnsi="Times New Roman" w:cs="Times New Roman"/>
          <w:sz w:val="24"/>
          <w:szCs w:val="24"/>
        </w:rPr>
        <w:t xml:space="preserve">•  The sample is likely to over-represent students and early-career respondents, since online distribution through college and social media channels reaches these groups most readily. Bhattacharya (2026) reported 71.6 per cent students and Sunilkumar et al. (2026) reported 84.9 per cent.</w:t>
      </w:r>
    </w:p>
    <w:p>
      <w:pPr>
        <w:pStyle w:val="BodyTextX"/>
        <w:ind w:left="720" w:hanging="360"/>
        <w:jc w:val="both"/>
        <w:spacing w:after="80" w:line="360" w:lineRule="auto"/>
      </w:pPr>
      <w:r>
        <w:rPr>
          <w:rFonts w:ascii="Times New Roman" w:hAnsi="Times New Roman" w:cs="Times New Roman"/>
          <w:sz w:val="24"/>
          <w:szCs w:val="24"/>
        </w:rPr>
        <w:t xml:space="preserve">•  Geographical coverage is restricted to the Tricity region and Punjab, so the findings should not be generalised to other Indian states without replication.</w:t>
      </w:r>
    </w:p>
    <w:p>
      <w:pPr>
        <w:pStyle w:val="BodyTextX"/>
        <w:ind w:left="720" w:hanging="360"/>
        <w:jc w:val="both"/>
        <w:spacing w:after="80" w:line="360" w:lineRule="auto"/>
      </w:pPr>
      <w:r>
        <w:rPr>
          <w:rFonts w:ascii="Times New Roman" w:hAnsi="Times New Roman" w:cs="Times New Roman"/>
          <w:sz w:val="24"/>
          <w:szCs w:val="24"/>
        </w:rPr>
        <w:t xml:space="preserve">•  The study measures three influencer attributes and excludes others shown to matter elsewhere, including attractiveness, similarity, authenticity, parasocial interaction and posting frequency.</w:t>
      </w:r>
    </w:p>
    <w:p>
      <w:pPr>
        <w:pStyle w:val="BodyTextX"/>
        <w:ind w:left="720" w:hanging="360"/>
        <w:jc w:val="both"/>
        <w:spacing w:after="80" w:line="360" w:lineRule="auto"/>
      </w:pPr>
      <w:r>
        <w:rPr>
          <w:rFonts w:ascii="Times New Roman" w:hAnsi="Times New Roman" w:cs="Times New Roman"/>
          <w:sz w:val="24"/>
          <w:szCs w:val="24"/>
        </w:rPr>
        <w:t xml:space="preserve">•  The study is not category-specific, so category-level differences in involvement, which Bhattacharya (2026) identifies as a direction for future work, are not captured.</w:t>
      </w:r>
    </w:p>
    <w:p>
      <w:pPr>
        <w:pStyle w:val="Heading2"/>
        <w:outlineLvl w:val="1"/>
      </w:pPr>
      <w:r>
        <w:rPr>
          <w:rFonts w:ascii="Times New Roman" w:hAnsi="Times New Roman" w:cs="Times New Roman"/>
          <w:sz w:val="28"/>
          <w:szCs w:val="28"/>
          <w:b/>
        </w:rPr>
        <w:t xml:space="preserve">5.4 Proposed Chapter Scheme</w:t>
      </w:r>
    </w:p>
    <w:p>
      <w:pPr>
        <w:pStyle w:val="BodyTextX"/>
        <w:jc w:val="both"/>
        <w:spacing w:after="120" w:line="360" w:lineRule="auto"/>
      </w:pPr>
      <w:r>
        <w:rPr>
          <w:rFonts w:ascii="Times New Roman" w:hAnsi="Times New Roman" w:cs="Times New Roman"/>
          <w:sz w:val="24"/>
          <w:szCs w:val="24"/>
        </w:rPr>
        <w:t xml:space="preserve">The final project report will be organised as follows.</w:t>
      </w:r>
    </w:p>
    <w:p>
      <w:pPr>
        <w:pStyle w:val="BodyTextX"/>
        <w:ind w:left="900" w:hanging="540"/>
        <w:jc w:val="both"/>
        <w:spacing w:after="80" w:line="360" w:lineRule="auto"/>
      </w:pPr>
      <w:r>
        <w:rPr>
          <w:rFonts w:ascii="Times New Roman" w:hAnsi="Times New Roman" w:cs="Times New Roman"/>
          <w:sz w:val="24"/>
          <w:szCs w:val="24"/>
          <w:b/>
        </w:rPr>
        <w:t xml:space="preserve">Chapter 1:</w:t>
      </w:r>
      <w:r>
        <w:rPr>
          <w:rFonts w:ascii="Times New Roman" w:hAnsi="Times New Roman" w:cs="Times New Roman"/>
          <w:sz w:val="24"/>
          <w:szCs w:val="24"/>
        </w:rPr>
        <w:t xml:space="preserve"> Introduction and Background of the Study</w:t>
      </w:r>
    </w:p>
    <w:p>
      <w:pPr>
        <w:pStyle w:val="BodyTextX"/>
        <w:ind w:left="900" w:hanging="540"/>
        <w:jc w:val="both"/>
        <w:spacing w:after="80" w:line="360" w:lineRule="auto"/>
      </w:pPr>
      <w:r>
        <w:rPr>
          <w:rFonts w:ascii="Times New Roman" w:hAnsi="Times New Roman" w:cs="Times New Roman"/>
          <w:sz w:val="24"/>
          <w:szCs w:val="24"/>
          <w:b/>
        </w:rPr>
        <w:t xml:space="preserve">Chapter 2:</w:t>
      </w:r>
      <w:r>
        <w:rPr>
          <w:rFonts w:ascii="Times New Roman" w:hAnsi="Times New Roman" w:cs="Times New Roman"/>
          <w:sz w:val="24"/>
          <w:szCs w:val="24"/>
        </w:rPr>
        <w:t xml:space="preserve"> Review of Literature and Hypotheses Development</w:t>
      </w:r>
    </w:p>
    <w:p>
      <w:pPr>
        <w:pStyle w:val="BodyTextX"/>
        <w:ind w:left="900" w:hanging="540"/>
        <w:jc w:val="both"/>
        <w:spacing w:after="80" w:line="360" w:lineRule="auto"/>
      </w:pPr>
      <w:r>
        <w:rPr>
          <w:rFonts w:ascii="Times New Roman" w:hAnsi="Times New Roman" w:cs="Times New Roman"/>
          <w:sz w:val="24"/>
          <w:szCs w:val="24"/>
          <w:b/>
        </w:rPr>
        <w:t xml:space="preserve">Chapter 3:</w:t>
      </w:r>
      <w:r>
        <w:rPr>
          <w:rFonts w:ascii="Times New Roman" w:hAnsi="Times New Roman" w:cs="Times New Roman"/>
          <w:sz w:val="24"/>
          <w:szCs w:val="24"/>
        </w:rPr>
        <w:t xml:space="preserve"> Research Methodology</w:t>
      </w:r>
    </w:p>
    <w:p>
      <w:pPr>
        <w:pStyle w:val="BodyTextX"/>
        <w:ind w:left="900" w:hanging="540"/>
        <w:jc w:val="both"/>
        <w:spacing w:after="80" w:line="360" w:lineRule="auto"/>
      </w:pPr>
      <w:r>
        <w:rPr>
          <w:rFonts w:ascii="Times New Roman" w:hAnsi="Times New Roman" w:cs="Times New Roman"/>
          <w:sz w:val="24"/>
          <w:szCs w:val="24"/>
          <w:b/>
        </w:rPr>
        <w:t xml:space="preserve">Chapter 4:</w:t>
      </w:r>
      <w:r>
        <w:rPr>
          <w:rFonts w:ascii="Times New Roman" w:hAnsi="Times New Roman" w:cs="Times New Roman"/>
          <w:sz w:val="24"/>
          <w:szCs w:val="24"/>
        </w:rPr>
        <w:t xml:space="preserve"> Data Analysis and Interpretation</w:t>
      </w:r>
    </w:p>
    <w:p>
      <w:pPr>
        <w:pStyle w:val="BodyTextX"/>
        <w:ind w:left="900" w:hanging="540"/>
        <w:jc w:val="both"/>
        <w:spacing w:after="80" w:line="360" w:lineRule="auto"/>
      </w:pPr>
      <w:r>
        <w:rPr>
          <w:rFonts w:ascii="Times New Roman" w:hAnsi="Times New Roman" w:cs="Times New Roman"/>
          <w:sz w:val="24"/>
          <w:szCs w:val="24"/>
          <w:b/>
        </w:rPr>
        <w:t xml:space="preserve">Chapter 5:</w:t>
      </w:r>
      <w:r>
        <w:rPr>
          <w:rFonts w:ascii="Times New Roman" w:hAnsi="Times New Roman" w:cs="Times New Roman"/>
          <w:sz w:val="24"/>
          <w:szCs w:val="24"/>
        </w:rPr>
        <w:t xml:space="preserve"> Findings, Conclusion and Recommendations</w:t>
      </w:r>
    </w:p>
    <w:p>
      <w:pPr>
        <w:pStyle w:val="BodyTextX"/>
        <w:jc w:val="both"/>
        <w:spacing w:after="120" w:line="360" w:lineRule="auto"/>
      </w:pPr>
      <w:r>
        <w:rPr>
          <w:rFonts w:ascii="Times New Roman" w:hAnsi="Times New Roman" w:cs="Times New Roman"/>
          <w:sz w:val="24"/>
          <w:szCs w:val="24"/>
        </w:rPr>
        <w:t xml:space="preserve">References and appendices, including the final questionnaire and the detailed statistical output, will follow the final chapter.</w:t>
      </w:r>
    </w:p>
    <w:p>
      <w:pPr>
        <w:pStyle w:val="Heading2"/>
        <w:outlineLvl w:val="1"/>
      </w:pPr>
      <w:r>
        <w:rPr>
          <w:rFonts w:ascii="Times New Roman" w:hAnsi="Times New Roman" w:cs="Times New Roman"/>
          <w:sz w:val="28"/>
          <w:szCs w:val="28"/>
          <w:b/>
        </w:rPr>
        <w:t xml:space="preserve">5.5 Conclusion</w:t>
      </w:r>
    </w:p>
    <w:p>
      <w:pPr>
        <w:pStyle w:val="BodyTextX"/>
        <w:jc w:val="both"/>
        <w:spacing w:after="120" w:line="360" w:lineRule="auto"/>
      </w:pPr>
      <w:r>
        <w:rPr>
          <w:rFonts w:ascii="Times New Roman" w:hAnsi="Times New Roman" w:cs="Times New Roman"/>
          <w:sz w:val="24"/>
          <w:szCs w:val="24"/>
        </w:rPr>
        <w:t xml:space="preserve">Influencer marketing has become a principal route through which brands reach Generation Z, yet the evidence on which influencer attributes actually shift purchase intention remains fragmented and in places contradictory. This study proposes to test an integrated model in which social influence acts directly on Gen Z purchase intention while content quality and influencer expertise act through trust in influencers. The structure is grounded in three established theories, each accounting for a distinct path, and every relationship in the model is supported by prior empirical work while none has been tested in this combination.</w:t>
      </w:r>
    </w:p>
    <w:p>
      <w:pPr>
        <w:pStyle w:val="BodyTextX"/>
        <w:jc w:val="both"/>
        <w:spacing w:after="120" w:line="360" w:lineRule="auto"/>
      </w:pPr>
      <w:r>
        <w:rPr>
          <w:rFonts w:ascii="Times New Roman" w:hAnsi="Times New Roman" w:cs="Times New Roman"/>
          <w:sz w:val="24"/>
          <w:szCs w:val="24"/>
        </w:rPr>
        <w:t xml:space="preserve">The study addresses five gaps identified in a review of twenty recent studies. It brings three antecedents into one model for the first time. It re-examines two paths on which the published evidence conflicts. It supplies a formal test of trust mediation where prior work has largely asserted it. It extends Indian evidence beyond metropolitan samples to the Tricity region and Punjab. It tests on Gen Z a trust mechanism established mainly on older cohorts. The results should give brands and regional marketers a clearer basis for allocating influencer budgets, and should tell researchers whether normative social pressure and credibility-based trust are separate routes to purchase intention among young Indian consumers.</w:t>
      </w:r>
    </w:p>
    <w:p>
      <w:pPr>
        <w:pStyle w:val="Heading1"/>
        <w:pageBreakBefore/>
        <w:outlineLvl w:val="0"/>
      </w:pPr>
      <w:r>
        <w:rPr>
          <w:rFonts w:ascii="Times New Roman" w:hAnsi="Times New Roman" w:cs="Times New Roman"/>
          <w:sz w:val="32"/>
          <w:szCs w:val="32"/>
          <w:b/>
        </w:rPr>
        <w:t xml:space="preserve">REFERENCES</w:t>
      </w:r>
    </w:p>
    <w:p>
      <w:pPr>
        <w:pStyle w:val="BodyTextX"/>
        <w:jc w:val="both"/>
        <w:spacing w:after="140" w:line="360" w:lineRule="auto"/>
      </w:pPr>
      <w:r>
        <w:rPr>
          <w:rFonts w:ascii="Times New Roman" w:hAnsi="Times New Roman" w:cs="Times New Roman"/>
          <w:sz w:val="24"/>
          <w:szCs w:val="24"/>
        </w:rPr>
        <w:t xml:space="preserve">Ajzen, I. (1991). The theory of planned behavior. </w:t>
      </w:r>
      <w:r>
        <w:rPr>
          <w:rFonts w:ascii="Times New Roman" w:hAnsi="Times New Roman" w:cs="Times New Roman"/>
          <w:sz w:val="24"/>
          <w:szCs w:val="24"/>
          <w:i/>
        </w:rPr>
        <w:t xml:space="preserve">Organizational Behavior and Human Decision Processes, 50</w:t>
      </w:r>
      <w:r>
        <w:rPr>
          <w:rFonts w:ascii="Times New Roman" w:hAnsi="Times New Roman" w:cs="Times New Roman"/>
          <w:sz w:val="24"/>
          <w:szCs w:val="24"/>
        </w:rPr>
        <w:t xml:space="preserve">(2), 179-211. https://doi.org/10.1016/0749-5978(91)90020-T</w:t>
      </w:r>
    </w:p>
    <w:p>
      <w:pPr>
        <w:pStyle w:val="BodyTextX"/>
        <w:jc w:val="both"/>
        <w:spacing w:after="140" w:line="360" w:lineRule="auto"/>
      </w:pPr>
      <w:r>
        <w:rPr>
          <w:rFonts w:ascii="Times New Roman" w:hAnsi="Times New Roman" w:cs="Times New Roman"/>
          <w:sz w:val="24"/>
          <w:szCs w:val="24"/>
        </w:rPr>
        <w:t xml:space="preserve">Al-Mu'ani, L., Alrwashdeh, M., Ali, H., &amp; Al-Assaf, K. T. (2023). The effect of social media influencers on purchase intention: Examining the mediating role of brand attitude. </w:t>
      </w:r>
      <w:r>
        <w:rPr>
          <w:rFonts w:ascii="Times New Roman" w:hAnsi="Times New Roman" w:cs="Times New Roman"/>
          <w:sz w:val="24"/>
          <w:szCs w:val="24"/>
          <w:i/>
        </w:rPr>
        <w:t xml:space="preserve">International Journal of Data and Network Science, 7</w:t>
      </w:r>
      <w:r>
        <w:rPr>
          <w:rFonts w:ascii="Times New Roman" w:hAnsi="Times New Roman" w:cs="Times New Roman"/>
          <w:sz w:val="24"/>
          <w:szCs w:val="24"/>
        </w:rPr>
        <w:t xml:space="preserve">, 1217-1226. https://doi.org/10.5267/j.ijdns.2023.5.003</w:t>
      </w:r>
    </w:p>
    <w:p>
      <w:pPr>
        <w:pStyle w:val="BodyTextX"/>
        <w:jc w:val="both"/>
        <w:spacing w:after="140" w:line="360" w:lineRule="auto"/>
      </w:pPr>
      <w:r>
        <w:rPr>
          <w:rFonts w:ascii="Times New Roman" w:hAnsi="Times New Roman" w:cs="Times New Roman"/>
          <w:sz w:val="24"/>
          <w:szCs w:val="24"/>
        </w:rPr>
        <w:t xml:space="preserve">Baron, R. M., &amp; Kenny, D. A. (1986). The moderator-mediator variable distinction in social psychological research: Conceptual, strategic, and statistical considerations. </w:t>
      </w:r>
      <w:r>
        <w:rPr>
          <w:rFonts w:ascii="Times New Roman" w:hAnsi="Times New Roman" w:cs="Times New Roman"/>
          <w:sz w:val="24"/>
          <w:szCs w:val="24"/>
          <w:i/>
        </w:rPr>
        <w:t xml:space="preserve">Journal of Personality and Social Psychology, 51</w:t>
      </w:r>
      <w:r>
        <w:rPr>
          <w:rFonts w:ascii="Times New Roman" w:hAnsi="Times New Roman" w:cs="Times New Roman"/>
          <w:sz w:val="24"/>
          <w:szCs w:val="24"/>
        </w:rPr>
        <w:t xml:space="preserve">(6), 1173-1182. https://doi.org/10.1037/0022-3514.51.6.1173</w:t>
      </w:r>
    </w:p>
    <w:p>
      <w:pPr>
        <w:pStyle w:val="BodyTextX"/>
        <w:jc w:val="both"/>
        <w:spacing w:after="140" w:line="360" w:lineRule="auto"/>
      </w:pPr>
      <w:r>
        <w:rPr>
          <w:rFonts w:ascii="Times New Roman" w:hAnsi="Times New Roman" w:cs="Times New Roman"/>
          <w:sz w:val="24"/>
          <w:szCs w:val="24"/>
        </w:rPr>
        <w:t xml:space="preserve">Bhattacharya, A. (2026). Online influencer persona, content quality, and the path to purchase: An SEM investigation. </w:t>
      </w:r>
      <w:r>
        <w:rPr>
          <w:rFonts w:ascii="Times New Roman" w:hAnsi="Times New Roman" w:cs="Times New Roman"/>
          <w:sz w:val="24"/>
          <w:szCs w:val="24"/>
          <w:i/>
        </w:rPr>
        <w:t xml:space="preserve">Quality &amp; Quantity</w:t>
      </w:r>
      <w:r>
        <w:rPr>
          <w:rFonts w:ascii="Times New Roman" w:hAnsi="Times New Roman" w:cs="Times New Roman"/>
          <w:sz w:val="24"/>
          <w:szCs w:val="24"/>
        </w:rPr>
        <w:t xml:space="preserve">. Advance online publication. https://doi.org/10.1007/s11135-026-03052-x</w:t>
      </w:r>
    </w:p>
    <w:p>
      <w:pPr>
        <w:pStyle w:val="BodyTextX"/>
        <w:jc w:val="both"/>
        <w:spacing w:after="140" w:line="360" w:lineRule="auto"/>
      </w:pPr>
      <w:r>
        <w:rPr>
          <w:rFonts w:ascii="Times New Roman" w:hAnsi="Times New Roman" w:cs="Times New Roman"/>
          <w:sz w:val="24"/>
          <w:szCs w:val="24"/>
        </w:rPr>
        <w:t xml:space="preserve">Casalo, L. V., Flavian, C., &amp; Ibanez-Sanchez, S. (2020). Influencers on Instagram: Antecedents and consequences of opinion leadership. </w:t>
      </w:r>
      <w:r>
        <w:rPr>
          <w:rFonts w:ascii="Times New Roman" w:hAnsi="Times New Roman" w:cs="Times New Roman"/>
          <w:sz w:val="24"/>
          <w:szCs w:val="24"/>
          <w:i/>
        </w:rPr>
        <w:t xml:space="preserve">Journal of Business Research, 117</w:t>
      </w:r>
      <w:r>
        <w:rPr>
          <w:rFonts w:ascii="Times New Roman" w:hAnsi="Times New Roman" w:cs="Times New Roman"/>
          <w:sz w:val="24"/>
          <w:szCs w:val="24"/>
        </w:rPr>
        <w:t xml:space="preserve">, 510-519. https://doi.org/10.1016/j.jbusres.2018.07.005</w:t>
      </w:r>
    </w:p>
    <w:p>
      <w:pPr>
        <w:pStyle w:val="BodyTextX"/>
        <w:jc w:val="both"/>
        <w:spacing w:after="140" w:line="360" w:lineRule="auto"/>
      </w:pPr>
      <w:r>
        <w:rPr>
          <w:rFonts w:ascii="Times New Roman" w:hAnsi="Times New Roman" w:cs="Times New Roman"/>
          <w:sz w:val="24"/>
          <w:szCs w:val="24"/>
        </w:rPr>
        <w:t xml:space="preserve">Chavare, P. V., Nayak, S., Birau, R., &amp; Alapati, V. (2025). Does brand attitude complement influencer credibility in shaping purchase intention of Indian GenZ consumers? </w:t>
      </w:r>
      <w:r>
        <w:rPr>
          <w:rFonts w:ascii="Times New Roman" w:hAnsi="Times New Roman" w:cs="Times New Roman"/>
          <w:sz w:val="24"/>
          <w:szCs w:val="24"/>
          <w:i/>
        </w:rPr>
        <w:t xml:space="preserve">F1000Research, 13</w:t>
      </w:r>
      <w:r>
        <w:rPr>
          <w:rFonts w:ascii="Times New Roman" w:hAnsi="Times New Roman" w:cs="Times New Roman"/>
          <w:sz w:val="24"/>
          <w:szCs w:val="24"/>
        </w:rPr>
        <w:t xml:space="preserve">, 1343. https://doi.org/10.12688/f1000research.157553.3</w:t>
      </w:r>
    </w:p>
    <w:p>
      <w:pPr>
        <w:pStyle w:val="BodyTextX"/>
        <w:jc w:val="both"/>
        <w:spacing w:after="140" w:line="360" w:lineRule="auto"/>
      </w:pPr>
      <w:r>
        <w:rPr>
          <w:rFonts w:ascii="Times New Roman" w:hAnsi="Times New Roman" w:cs="Times New Roman"/>
          <w:sz w:val="24"/>
          <w:szCs w:val="24"/>
        </w:rPr>
        <w:t xml:space="preserve">Cohen, J. (1988). </w:t>
      </w:r>
      <w:r>
        <w:rPr>
          <w:rFonts w:ascii="Times New Roman" w:hAnsi="Times New Roman" w:cs="Times New Roman"/>
          <w:sz w:val="24"/>
          <w:szCs w:val="24"/>
          <w:i/>
        </w:rPr>
        <w:t xml:space="preserve">Statistical power analysis for the behavioral sciences</w:t>
      </w:r>
      <w:r>
        <w:rPr>
          <w:rFonts w:ascii="Times New Roman" w:hAnsi="Times New Roman" w:cs="Times New Roman"/>
          <w:sz w:val="24"/>
          <w:szCs w:val="24"/>
        </w:rPr>
        <w:t xml:space="preserve"> (2nd ed.). Lawrence Erlbaum Associates.</w:t>
      </w:r>
    </w:p>
    <w:p>
      <w:pPr>
        <w:pStyle w:val="BodyTextX"/>
        <w:jc w:val="both"/>
        <w:spacing w:after="140" w:line="360" w:lineRule="auto"/>
      </w:pPr>
      <w:r>
        <w:rPr>
          <w:rFonts w:ascii="Times New Roman" w:hAnsi="Times New Roman" w:cs="Times New Roman"/>
          <w:sz w:val="24"/>
          <w:szCs w:val="24"/>
        </w:rPr>
        <w:t xml:space="preserve">Creswell, J. W., &amp; Creswell, J. D. (2018). </w:t>
      </w:r>
      <w:r>
        <w:rPr>
          <w:rFonts w:ascii="Times New Roman" w:hAnsi="Times New Roman" w:cs="Times New Roman"/>
          <w:sz w:val="24"/>
          <w:szCs w:val="24"/>
          <w:i/>
        </w:rPr>
        <w:t xml:space="preserve">Research design: Qualitative, quantitative, and mixed methods approaches</w:t>
      </w:r>
      <w:r>
        <w:rPr>
          <w:rFonts w:ascii="Times New Roman" w:hAnsi="Times New Roman" w:cs="Times New Roman"/>
          <w:sz w:val="24"/>
          <w:szCs w:val="24"/>
        </w:rPr>
        <w:t xml:space="preserve"> (5th ed.). SAGE Publications.</w:t>
      </w:r>
    </w:p>
    <w:p>
      <w:pPr>
        <w:pStyle w:val="BodyTextX"/>
        <w:jc w:val="both"/>
        <w:spacing w:after="140" w:line="360" w:lineRule="auto"/>
      </w:pPr>
      <w:r>
        <w:rPr>
          <w:rFonts w:ascii="Times New Roman" w:hAnsi="Times New Roman" w:cs="Times New Roman"/>
          <w:sz w:val="24"/>
          <w:szCs w:val="24"/>
        </w:rPr>
        <w:t xml:space="preserve">Cronbach, L. J. (1951). Coefficient alpha and the internal structure of tests. </w:t>
      </w:r>
      <w:r>
        <w:rPr>
          <w:rFonts w:ascii="Times New Roman" w:hAnsi="Times New Roman" w:cs="Times New Roman"/>
          <w:sz w:val="24"/>
          <w:szCs w:val="24"/>
          <w:i/>
        </w:rPr>
        <w:t xml:space="preserve">Psychometrika, 16</w:t>
      </w:r>
      <w:r>
        <w:rPr>
          <w:rFonts w:ascii="Times New Roman" w:hAnsi="Times New Roman" w:cs="Times New Roman"/>
          <w:sz w:val="24"/>
          <w:szCs w:val="24"/>
        </w:rPr>
        <w:t xml:space="preserve">(3), 297-334. https://doi.org/10.1007/BF02310555</w:t>
      </w:r>
    </w:p>
    <w:p>
      <w:pPr>
        <w:pStyle w:val="BodyTextX"/>
        <w:jc w:val="both"/>
        <w:spacing w:after="140" w:line="360" w:lineRule="auto"/>
      </w:pPr>
      <w:r>
        <w:rPr>
          <w:rFonts w:ascii="Times New Roman" w:hAnsi="Times New Roman" w:cs="Times New Roman"/>
          <w:sz w:val="24"/>
          <w:szCs w:val="24"/>
        </w:rPr>
        <w:t xml:space="preserve">Dharma, I. B. S., Hengky, H., Ching, L. L., Ni, L. S., Zhen, L. S., Yee, L. Z., Brayn, N. U., Ilyas, S. S., Teoh, D. K. B., Tunde, O. A., Liem, G. S., Edeh, F. O., &amp; Sinha, R. K. (2024). The effect of influencer marketing on Gen Z purchasing intentions in emerging economies. </w:t>
      </w:r>
      <w:r>
        <w:rPr>
          <w:rFonts w:ascii="Times New Roman" w:hAnsi="Times New Roman" w:cs="Times New Roman"/>
          <w:sz w:val="24"/>
          <w:szCs w:val="24"/>
          <w:i/>
        </w:rPr>
        <w:t xml:space="preserve">Asia Pacific Journal of Management and Education, 7</w:t>
      </w:r>
      <w:r>
        <w:rPr>
          <w:rFonts w:ascii="Times New Roman" w:hAnsi="Times New Roman" w:cs="Times New Roman"/>
          <w:sz w:val="24"/>
          <w:szCs w:val="24"/>
        </w:rPr>
        <w:t xml:space="preserve">(3), 339-358. https://doi.org/10.32535/apjme.v7i3.3540</w:t>
      </w:r>
    </w:p>
    <w:p>
      <w:pPr>
        <w:pStyle w:val="BodyTextX"/>
        <w:jc w:val="both"/>
        <w:spacing w:after="140" w:line="360" w:lineRule="auto"/>
      </w:pPr>
      <w:r>
        <w:rPr>
          <w:rFonts w:ascii="Times New Roman" w:hAnsi="Times New Roman" w:cs="Times New Roman"/>
          <w:sz w:val="24"/>
          <w:szCs w:val="24"/>
        </w:rPr>
        <w:t xml:space="preserve">Dimock, M. (2019). </w:t>
      </w:r>
      <w:r>
        <w:rPr>
          <w:rFonts w:ascii="Times New Roman" w:hAnsi="Times New Roman" w:cs="Times New Roman"/>
          <w:sz w:val="24"/>
          <w:szCs w:val="24"/>
          <w:i/>
        </w:rPr>
        <w:t xml:space="preserve">Defining generations: Where Millennials end and Generation Z begins</w:t>
      </w:r>
      <w:r>
        <w:rPr>
          <w:rFonts w:ascii="Times New Roman" w:hAnsi="Times New Roman" w:cs="Times New Roman"/>
          <w:sz w:val="24"/>
          <w:szCs w:val="24"/>
        </w:rPr>
        <w:t xml:space="preserve">. Pew Research Center. https://www.pewresearch.org/short-reads/2019/01/17/where-millennials-end-and-generation-z-begins/</w:t>
      </w:r>
    </w:p>
    <w:p>
      <w:pPr>
        <w:pStyle w:val="BodyTextX"/>
        <w:jc w:val="both"/>
        <w:spacing w:after="140" w:line="360" w:lineRule="auto"/>
      </w:pPr>
      <w:r>
        <w:rPr>
          <w:rFonts w:ascii="Times New Roman" w:hAnsi="Times New Roman" w:cs="Times New Roman"/>
          <w:sz w:val="24"/>
          <w:szCs w:val="24"/>
        </w:rPr>
        <w:t xml:space="preserve">Djafarova, E., &amp; Trofimenko, O. (2019). 'Instafamous': Credibility and self-presentation of micro-celebrities on social media. </w:t>
      </w:r>
      <w:r>
        <w:rPr>
          <w:rFonts w:ascii="Times New Roman" w:hAnsi="Times New Roman" w:cs="Times New Roman"/>
          <w:sz w:val="24"/>
          <w:szCs w:val="24"/>
          <w:i/>
        </w:rPr>
        <w:t xml:space="preserve">Information, Communication &amp; Society, 22</w:t>
      </w:r>
      <w:r>
        <w:rPr>
          <w:rFonts w:ascii="Times New Roman" w:hAnsi="Times New Roman" w:cs="Times New Roman"/>
          <w:sz w:val="24"/>
          <w:szCs w:val="24"/>
        </w:rPr>
        <w:t xml:space="preserve">(10), 1432-1446. https://doi.org/10.1080/1369118X.2018.1438491</w:t>
      </w:r>
    </w:p>
    <w:p>
      <w:pPr>
        <w:pStyle w:val="BodyTextX"/>
        <w:jc w:val="both"/>
        <w:spacing w:after="140" w:line="360" w:lineRule="auto"/>
      </w:pPr>
      <w:r>
        <w:rPr>
          <w:rFonts w:ascii="Times New Roman" w:hAnsi="Times New Roman" w:cs="Times New Roman"/>
          <w:sz w:val="24"/>
          <w:szCs w:val="24"/>
        </w:rPr>
        <w:t xml:space="preserve">Etikan, I., Musa, S. A., &amp; Alkassim, R. S. (2016). Comparison of convenience sampling and purposive sampling. </w:t>
      </w:r>
      <w:r>
        <w:rPr>
          <w:rFonts w:ascii="Times New Roman" w:hAnsi="Times New Roman" w:cs="Times New Roman"/>
          <w:sz w:val="24"/>
          <w:szCs w:val="24"/>
          <w:i/>
        </w:rPr>
        <w:t xml:space="preserve">American Journal of Theoretical and Applied Statistics, 5</w:t>
      </w:r>
      <w:r>
        <w:rPr>
          <w:rFonts w:ascii="Times New Roman" w:hAnsi="Times New Roman" w:cs="Times New Roman"/>
          <w:sz w:val="24"/>
          <w:szCs w:val="24"/>
        </w:rPr>
        <w:t xml:space="preserve">(1), 1-4. https://doi.org/10.11648/j.ajtas.20160501.11</w:t>
      </w:r>
    </w:p>
    <w:p>
      <w:pPr>
        <w:pStyle w:val="BodyTextX"/>
        <w:jc w:val="both"/>
        <w:spacing w:after="140" w:line="360" w:lineRule="auto"/>
      </w:pPr>
      <w:r>
        <w:rPr>
          <w:rFonts w:ascii="Times New Roman" w:hAnsi="Times New Roman" w:cs="Times New Roman"/>
          <w:sz w:val="24"/>
          <w:szCs w:val="24"/>
        </w:rPr>
        <w:t xml:space="preserve">Green, S. B. (1991). How many subjects does it take to do a regression analysis? </w:t>
      </w:r>
      <w:r>
        <w:rPr>
          <w:rFonts w:ascii="Times New Roman" w:hAnsi="Times New Roman" w:cs="Times New Roman"/>
          <w:sz w:val="24"/>
          <w:szCs w:val="24"/>
          <w:i/>
        </w:rPr>
        <w:t xml:space="preserve">Multivariate Behavioral Research, 26</w:t>
      </w:r>
      <w:r>
        <w:rPr>
          <w:rFonts w:ascii="Times New Roman" w:hAnsi="Times New Roman" w:cs="Times New Roman"/>
          <w:sz w:val="24"/>
          <w:szCs w:val="24"/>
        </w:rPr>
        <w:t xml:space="preserve">(3), 499-510. https://doi.org/10.1207/s15327906mbr2603_7</w:t>
      </w:r>
    </w:p>
    <w:p>
      <w:pPr>
        <w:pStyle w:val="BodyTextX"/>
        <w:jc w:val="both"/>
        <w:spacing w:after="140" w:line="360" w:lineRule="auto"/>
      </w:pPr>
      <w:r>
        <w:rPr>
          <w:rFonts w:ascii="Times New Roman" w:hAnsi="Times New Roman" w:cs="Times New Roman"/>
          <w:sz w:val="24"/>
          <w:szCs w:val="24"/>
        </w:rPr>
        <w:t xml:space="preserve">Gunawan, C. M., Rahmania, L., &amp; Kenang, I. H. (2023). The influence of social influence and peer influence on intention to purchase in e-commerce. </w:t>
      </w:r>
      <w:r>
        <w:rPr>
          <w:rFonts w:ascii="Times New Roman" w:hAnsi="Times New Roman" w:cs="Times New Roman"/>
          <w:sz w:val="24"/>
          <w:szCs w:val="24"/>
          <w:i/>
        </w:rPr>
        <w:t xml:space="preserve">Review of Management and Entrepreneurship, 7</w:t>
      </w:r>
      <w:r>
        <w:rPr>
          <w:rFonts w:ascii="Times New Roman" w:hAnsi="Times New Roman" w:cs="Times New Roman"/>
          <w:sz w:val="24"/>
          <w:szCs w:val="24"/>
        </w:rPr>
        <w:t xml:space="preserve">(1), 61-84. https://doi.org/10.37715/rme.v7i1.3683</w:t>
      </w:r>
    </w:p>
    <w:p>
      <w:pPr>
        <w:pStyle w:val="BodyTextX"/>
        <w:jc w:val="both"/>
        <w:spacing w:after="140" w:line="360" w:lineRule="auto"/>
      </w:pPr>
      <w:r>
        <w:rPr>
          <w:rFonts w:ascii="Times New Roman" w:hAnsi="Times New Roman" w:cs="Times New Roman"/>
          <w:sz w:val="24"/>
          <w:szCs w:val="24"/>
        </w:rPr>
        <w:t xml:space="preserve">Hair, J. F., Risher, J. J., Sarstedt, M., &amp; Ringle, C. M. (2019). When to use and how to report the results of PLS-SEM. </w:t>
      </w:r>
      <w:r>
        <w:rPr>
          <w:rFonts w:ascii="Times New Roman" w:hAnsi="Times New Roman" w:cs="Times New Roman"/>
          <w:sz w:val="24"/>
          <w:szCs w:val="24"/>
          <w:i/>
        </w:rPr>
        <w:t xml:space="preserve">European Business Review, 31</w:t>
      </w:r>
      <w:r>
        <w:rPr>
          <w:rFonts w:ascii="Times New Roman" w:hAnsi="Times New Roman" w:cs="Times New Roman"/>
          <w:sz w:val="24"/>
          <w:szCs w:val="24"/>
        </w:rPr>
        <w:t xml:space="preserve">(1), 2-24. https://doi.org/10.1108/EBR-11-2018-0203</w:t>
      </w:r>
    </w:p>
    <w:p>
      <w:pPr>
        <w:pStyle w:val="BodyTextX"/>
        <w:jc w:val="both"/>
        <w:spacing w:after="140" w:line="360" w:lineRule="auto"/>
      </w:pPr>
      <w:r>
        <w:rPr>
          <w:rFonts w:ascii="Times New Roman" w:hAnsi="Times New Roman" w:cs="Times New Roman"/>
          <w:sz w:val="24"/>
          <w:szCs w:val="24"/>
        </w:rPr>
        <w:t xml:space="preserve">Hartanto, P. (2025). Model of increasing purchase intention through influencer engagement on social media. </w:t>
      </w:r>
      <w:r>
        <w:rPr>
          <w:rFonts w:ascii="Times New Roman" w:hAnsi="Times New Roman" w:cs="Times New Roman"/>
          <w:sz w:val="24"/>
          <w:szCs w:val="24"/>
          <w:i/>
        </w:rPr>
        <w:t xml:space="preserve">Jurnal Manajerial, 12</w:t>
      </w:r>
      <w:r>
        <w:rPr>
          <w:rFonts w:ascii="Times New Roman" w:hAnsi="Times New Roman" w:cs="Times New Roman"/>
          <w:sz w:val="24"/>
          <w:szCs w:val="24"/>
        </w:rPr>
        <w:t xml:space="preserve">(2), 332-356. https://doi.org/10.30587/jurnalmanajerial.v12i02.9904</w:t>
      </w:r>
    </w:p>
    <w:p>
      <w:pPr>
        <w:pStyle w:val="BodyTextX"/>
        <w:jc w:val="both"/>
        <w:spacing w:after="140" w:line="360" w:lineRule="auto"/>
      </w:pPr>
      <w:r>
        <w:rPr>
          <w:rFonts w:ascii="Times New Roman" w:hAnsi="Times New Roman" w:cs="Times New Roman"/>
          <w:sz w:val="24"/>
          <w:szCs w:val="24"/>
        </w:rPr>
        <w:t xml:space="preserve">Hayes, A. F. (2022). </w:t>
      </w:r>
      <w:r>
        <w:rPr>
          <w:rFonts w:ascii="Times New Roman" w:hAnsi="Times New Roman" w:cs="Times New Roman"/>
          <w:sz w:val="24"/>
          <w:szCs w:val="24"/>
          <w:i/>
        </w:rPr>
        <w:t xml:space="preserve">Introduction to mediation, moderation, and conditional process analysis: A regression-based approach</w:t>
      </w:r>
      <w:r>
        <w:rPr>
          <w:rFonts w:ascii="Times New Roman" w:hAnsi="Times New Roman" w:cs="Times New Roman"/>
          <w:sz w:val="24"/>
          <w:szCs w:val="24"/>
        </w:rPr>
        <w:t xml:space="preserve"> (3rd ed.). Guilford Press.</w:t>
      </w:r>
    </w:p>
    <w:p>
      <w:pPr>
        <w:pStyle w:val="BodyTextX"/>
        <w:jc w:val="both"/>
        <w:spacing w:after="140" w:line="360" w:lineRule="auto"/>
      </w:pPr>
      <w:r>
        <w:rPr>
          <w:rFonts w:ascii="Times New Roman" w:hAnsi="Times New Roman" w:cs="Times New Roman"/>
          <w:sz w:val="24"/>
          <w:szCs w:val="24"/>
        </w:rPr>
        <w:t xml:space="preserve">Hossain, M. Z., Uddin, S. N., &amp; Akter, S. (2026). The influence of social media influencers on Gen-Z buying behavior. </w:t>
      </w:r>
      <w:r>
        <w:rPr>
          <w:rFonts w:ascii="Times New Roman" w:hAnsi="Times New Roman" w:cs="Times New Roman"/>
          <w:sz w:val="24"/>
          <w:szCs w:val="24"/>
          <w:i/>
        </w:rPr>
        <w:t xml:space="preserve">European Journal of Management, Economics and Business, 3</w:t>
      </w:r>
      <w:r>
        <w:rPr>
          <w:rFonts w:ascii="Times New Roman" w:hAnsi="Times New Roman" w:cs="Times New Roman"/>
          <w:sz w:val="24"/>
          <w:szCs w:val="24"/>
        </w:rPr>
        <w:t xml:space="preserve">(3), 155-166. https://doi.org/10.59324/ejmeb.2026.3(3).11</w:t>
      </w:r>
    </w:p>
    <w:p>
      <w:pPr>
        <w:pStyle w:val="BodyTextX"/>
        <w:jc w:val="both"/>
        <w:spacing w:after="140" w:line="360" w:lineRule="auto"/>
      </w:pPr>
      <w:r>
        <w:rPr>
          <w:rFonts w:ascii="Times New Roman" w:hAnsi="Times New Roman" w:cs="Times New Roman"/>
          <w:sz w:val="24"/>
          <w:szCs w:val="24"/>
        </w:rPr>
        <w:t xml:space="preserve">Hovland, C. I., Janis, I. L., &amp; Kelley, H. H. (1953). </w:t>
      </w:r>
      <w:r>
        <w:rPr>
          <w:rFonts w:ascii="Times New Roman" w:hAnsi="Times New Roman" w:cs="Times New Roman"/>
          <w:sz w:val="24"/>
          <w:szCs w:val="24"/>
          <w:i/>
        </w:rPr>
        <w:t xml:space="preserve">Communication and persuasion: Psychological studies of opinion change</w:t>
      </w:r>
      <w:r>
        <w:rPr>
          <w:rFonts w:ascii="Times New Roman" w:hAnsi="Times New Roman" w:cs="Times New Roman"/>
          <w:sz w:val="24"/>
          <w:szCs w:val="24"/>
        </w:rPr>
        <w:t xml:space="preserve">. Yale University Press.</w:t>
      </w:r>
    </w:p>
    <w:p>
      <w:pPr>
        <w:pStyle w:val="BodyTextX"/>
        <w:jc w:val="both"/>
        <w:spacing w:after="140" w:line="360" w:lineRule="auto"/>
      </w:pPr>
      <w:r>
        <w:rPr>
          <w:rFonts w:ascii="Times New Roman" w:hAnsi="Times New Roman" w:cs="Times New Roman"/>
          <w:sz w:val="24"/>
          <w:szCs w:val="24"/>
        </w:rPr>
        <w:t xml:space="preserve">Hwang, K., &amp; Zhang, Q. (2018). Influence of parasocial relationship between digital celebrities and their followers on followers' purchase and electronic word-of-mouth intentions, and persuasion knowledge. </w:t>
      </w:r>
      <w:r>
        <w:rPr>
          <w:rFonts w:ascii="Times New Roman" w:hAnsi="Times New Roman" w:cs="Times New Roman"/>
          <w:sz w:val="24"/>
          <w:szCs w:val="24"/>
          <w:i/>
        </w:rPr>
        <w:t xml:space="preserve">Computers in Human Behavior, 87</w:t>
      </w:r>
      <w:r>
        <w:rPr>
          <w:rFonts w:ascii="Times New Roman" w:hAnsi="Times New Roman" w:cs="Times New Roman"/>
          <w:sz w:val="24"/>
          <w:szCs w:val="24"/>
        </w:rPr>
        <w:t xml:space="preserve">, 155-173. https://doi.org/10.1016/j.chb.2018.05.029</w:t>
      </w:r>
    </w:p>
    <w:p>
      <w:pPr>
        <w:pStyle w:val="BodyTextX"/>
        <w:jc w:val="both"/>
        <w:spacing w:after="140" w:line="360" w:lineRule="auto"/>
      </w:pPr>
      <w:r>
        <w:rPr>
          <w:rFonts w:ascii="Times New Roman" w:hAnsi="Times New Roman" w:cs="Times New Roman"/>
          <w:sz w:val="24"/>
          <w:szCs w:val="24"/>
        </w:rPr>
        <w:t xml:space="preserve">Inkesar, A., Alam, S., Hasan, A., Alazzaz, S. A., Khan, N., Ahmad, F. R., &amp; Chishty, S. K. (2026). Influencer marketing and purchase intention among Millennials and Generation Z in Saudi Arabia: The mediating role of brand trust. </w:t>
      </w:r>
      <w:r>
        <w:rPr>
          <w:rFonts w:ascii="Times New Roman" w:hAnsi="Times New Roman" w:cs="Times New Roman"/>
          <w:sz w:val="24"/>
          <w:szCs w:val="24"/>
          <w:i/>
        </w:rPr>
        <w:t xml:space="preserve">Frontiers in Sustainability, 7</w:t>
      </w:r>
      <w:r>
        <w:rPr>
          <w:rFonts w:ascii="Times New Roman" w:hAnsi="Times New Roman" w:cs="Times New Roman"/>
          <w:sz w:val="24"/>
          <w:szCs w:val="24"/>
        </w:rPr>
        <w:t xml:space="preserve">, 1838170. https://doi.org/10.3389/frsus.2026.1838170</w:t>
      </w:r>
    </w:p>
    <w:p>
      <w:pPr>
        <w:pStyle w:val="BodyTextX"/>
        <w:jc w:val="both"/>
        <w:spacing w:after="140" w:line="360" w:lineRule="auto"/>
      </w:pPr>
      <w:r>
        <w:rPr>
          <w:rFonts w:ascii="Times New Roman" w:hAnsi="Times New Roman" w:cs="Times New Roman"/>
          <w:sz w:val="24"/>
          <w:szCs w:val="24"/>
        </w:rPr>
        <w:t xml:space="preserve">Jimenez-Castillo, D., &amp; Sanchez-Fernandez, R. (2019). The role of digital influencers in brand recommendation: Examining their impact on engagement, expected value and purchase intention. </w:t>
      </w:r>
      <w:r>
        <w:rPr>
          <w:rFonts w:ascii="Times New Roman" w:hAnsi="Times New Roman" w:cs="Times New Roman"/>
          <w:sz w:val="24"/>
          <w:szCs w:val="24"/>
          <w:i/>
        </w:rPr>
        <w:t xml:space="preserve">International Journal of Information Management, 49</w:t>
      </w:r>
      <w:r>
        <w:rPr>
          <w:rFonts w:ascii="Times New Roman" w:hAnsi="Times New Roman" w:cs="Times New Roman"/>
          <w:sz w:val="24"/>
          <w:szCs w:val="24"/>
        </w:rPr>
        <w:t xml:space="preserve">, 366-376. https://doi.org/10.1016/j.ijinfomgt.2019.07.009</w:t>
      </w:r>
    </w:p>
    <w:p>
      <w:pPr>
        <w:pStyle w:val="BodyTextX"/>
        <w:jc w:val="both"/>
        <w:spacing w:after="140" w:line="360" w:lineRule="auto"/>
      </w:pPr>
      <w:r>
        <w:rPr>
          <w:rFonts w:ascii="Times New Roman" w:hAnsi="Times New Roman" w:cs="Times New Roman"/>
          <w:sz w:val="24"/>
          <w:szCs w:val="24"/>
        </w:rPr>
        <w:t xml:space="preserve">Kelman, H. C. (1958). Compliance, identification, and internalization: Three processes of attitude change. </w:t>
      </w:r>
      <w:r>
        <w:rPr>
          <w:rFonts w:ascii="Times New Roman" w:hAnsi="Times New Roman" w:cs="Times New Roman"/>
          <w:sz w:val="24"/>
          <w:szCs w:val="24"/>
          <w:i/>
        </w:rPr>
        <w:t xml:space="preserve">Journal of Conflict Resolution, 2</w:t>
      </w:r>
      <w:r>
        <w:rPr>
          <w:rFonts w:ascii="Times New Roman" w:hAnsi="Times New Roman" w:cs="Times New Roman"/>
          <w:sz w:val="24"/>
          <w:szCs w:val="24"/>
        </w:rPr>
        <w:t xml:space="preserve">(1), 51-60. https://doi.org/10.1177/002200275800200106</w:t>
      </w:r>
    </w:p>
    <w:p>
      <w:pPr>
        <w:pStyle w:val="BodyTextX"/>
        <w:jc w:val="both"/>
        <w:spacing w:after="140" w:line="360" w:lineRule="auto"/>
      </w:pPr>
      <w:r>
        <w:rPr>
          <w:rFonts w:ascii="Times New Roman" w:hAnsi="Times New Roman" w:cs="Times New Roman"/>
          <w:sz w:val="24"/>
          <w:szCs w:val="24"/>
        </w:rPr>
        <w:t xml:space="preserve">Kothari, C. R. (2004). </w:t>
      </w:r>
      <w:r>
        <w:rPr>
          <w:rFonts w:ascii="Times New Roman" w:hAnsi="Times New Roman" w:cs="Times New Roman"/>
          <w:sz w:val="24"/>
          <w:szCs w:val="24"/>
          <w:i/>
        </w:rPr>
        <w:t xml:space="preserve">Research methodology: Methods and techniques</w:t>
      </w:r>
      <w:r>
        <w:rPr>
          <w:rFonts w:ascii="Times New Roman" w:hAnsi="Times New Roman" w:cs="Times New Roman"/>
          <w:sz w:val="24"/>
          <w:szCs w:val="24"/>
        </w:rPr>
        <w:t xml:space="preserve"> (2nd rev. ed.). New Age International.</w:t>
      </w:r>
    </w:p>
    <w:p>
      <w:pPr>
        <w:pStyle w:val="BodyTextX"/>
        <w:jc w:val="both"/>
        <w:spacing w:after="140" w:line="360" w:lineRule="auto"/>
      </w:pPr>
      <w:r>
        <w:rPr>
          <w:rFonts w:ascii="Times New Roman" w:hAnsi="Times New Roman" w:cs="Times New Roman"/>
          <w:sz w:val="24"/>
          <w:szCs w:val="24"/>
        </w:rPr>
        <w:t xml:space="preserve">Liang, S.-Z., Xu, J.-L., &amp; Huang, E. (2024). Comprehensive analysis of the effect of social influence and brand image on purchase intention. </w:t>
      </w:r>
      <w:r>
        <w:rPr>
          <w:rFonts w:ascii="Times New Roman" w:hAnsi="Times New Roman" w:cs="Times New Roman"/>
          <w:sz w:val="24"/>
          <w:szCs w:val="24"/>
          <w:i/>
        </w:rPr>
        <w:t xml:space="preserve">SAGE Open, 14</w:t>
      </w:r>
      <w:r>
        <w:rPr>
          <w:rFonts w:ascii="Times New Roman" w:hAnsi="Times New Roman" w:cs="Times New Roman"/>
          <w:sz w:val="24"/>
          <w:szCs w:val="24"/>
        </w:rPr>
        <w:t xml:space="preserve">(1), 21582440231218771. https://doi.org/10.1177/21582440231218771</w:t>
      </w:r>
    </w:p>
    <w:p>
      <w:pPr>
        <w:pStyle w:val="BodyTextX"/>
        <w:jc w:val="both"/>
        <w:spacing w:after="140" w:line="360" w:lineRule="auto"/>
      </w:pPr>
      <w:r>
        <w:rPr>
          <w:rFonts w:ascii="Times New Roman" w:hAnsi="Times New Roman" w:cs="Times New Roman"/>
          <w:sz w:val="24"/>
          <w:szCs w:val="24"/>
        </w:rPr>
        <w:t xml:space="preserve">Likert, R. (1932). A technique for the measurement of attitudes. </w:t>
      </w:r>
      <w:r>
        <w:rPr>
          <w:rFonts w:ascii="Times New Roman" w:hAnsi="Times New Roman" w:cs="Times New Roman"/>
          <w:sz w:val="24"/>
          <w:szCs w:val="24"/>
          <w:i/>
        </w:rPr>
        <w:t xml:space="preserve">Archives of Psychology, 140</w:t>
      </w:r>
      <w:r>
        <w:rPr>
          <w:rFonts w:ascii="Times New Roman" w:hAnsi="Times New Roman" w:cs="Times New Roman"/>
          <w:sz w:val="24"/>
          <w:szCs w:val="24"/>
        </w:rPr>
        <w:t xml:space="preserve">, 1-55.</w:t>
      </w:r>
    </w:p>
    <w:p>
      <w:pPr>
        <w:pStyle w:val="BodyTextX"/>
        <w:jc w:val="both"/>
        <w:spacing w:after="140" w:line="360" w:lineRule="auto"/>
      </w:pPr>
      <w:r>
        <w:rPr>
          <w:rFonts w:ascii="Times New Roman" w:hAnsi="Times New Roman" w:cs="Times New Roman"/>
          <w:sz w:val="24"/>
          <w:szCs w:val="24"/>
        </w:rPr>
        <w:t xml:space="preserve">Lou, C., &amp; Kim, H. K. (2019). Fancying the new rich and famous? Explicating the roles of influencer content, credibility, and parental mediation in adolescents' parasocial relationship, materialism, and purchase intentions. </w:t>
      </w:r>
      <w:r>
        <w:rPr>
          <w:rFonts w:ascii="Times New Roman" w:hAnsi="Times New Roman" w:cs="Times New Roman"/>
          <w:sz w:val="24"/>
          <w:szCs w:val="24"/>
          <w:i/>
        </w:rPr>
        <w:t xml:space="preserve">Frontiers in Psychology, 10</w:t>
      </w:r>
      <w:r>
        <w:rPr>
          <w:rFonts w:ascii="Times New Roman" w:hAnsi="Times New Roman" w:cs="Times New Roman"/>
          <w:sz w:val="24"/>
          <w:szCs w:val="24"/>
        </w:rPr>
        <w:t xml:space="preserve">, 2567. https://doi.org/10.3389/fpsyg.2019.02567</w:t>
      </w:r>
    </w:p>
    <w:p>
      <w:pPr>
        <w:pStyle w:val="BodyTextX"/>
        <w:jc w:val="both"/>
        <w:spacing w:after="140" w:line="360" w:lineRule="auto"/>
      </w:pPr>
      <w:r>
        <w:rPr>
          <w:rFonts w:ascii="Times New Roman" w:hAnsi="Times New Roman" w:cs="Times New Roman"/>
          <w:sz w:val="24"/>
          <w:szCs w:val="24"/>
        </w:rPr>
        <w:t xml:space="preserve">Lou, C., &amp; Yuan, S. (2019). Influencer marketing: How message value and credibility affect consumer trust of branded content on social media. </w:t>
      </w:r>
      <w:r>
        <w:rPr>
          <w:rFonts w:ascii="Times New Roman" w:hAnsi="Times New Roman" w:cs="Times New Roman"/>
          <w:sz w:val="24"/>
          <w:szCs w:val="24"/>
          <w:i/>
        </w:rPr>
        <w:t xml:space="preserve">Journal of Interactive Advertising, 19</w:t>
      </w:r>
      <w:r>
        <w:rPr>
          <w:rFonts w:ascii="Times New Roman" w:hAnsi="Times New Roman" w:cs="Times New Roman"/>
          <w:sz w:val="24"/>
          <w:szCs w:val="24"/>
        </w:rPr>
        <w:t xml:space="preserve">(1), 58-73. https://doi.org/10.1080/15252019.2018.1533501</w:t>
      </w:r>
    </w:p>
    <w:p>
      <w:pPr>
        <w:pStyle w:val="BodyTextX"/>
        <w:jc w:val="both"/>
        <w:spacing w:after="140" w:line="360" w:lineRule="auto"/>
      </w:pPr>
      <w:r>
        <w:rPr>
          <w:rFonts w:ascii="Times New Roman" w:hAnsi="Times New Roman" w:cs="Times New Roman"/>
          <w:sz w:val="24"/>
          <w:szCs w:val="24"/>
        </w:rPr>
        <w:t xml:space="preserve">Malhotra, N. K., &amp; Dash, S. (2016). </w:t>
      </w:r>
      <w:r>
        <w:rPr>
          <w:rFonts w:ascii="Times New Roman" w:hAnsi="Times New Roman" w:cs="Times New Roman"/>
          <w:sz w:val="24"/>
          <w:szCs w:val="24"/>
          <w:i/>
        </w:rPr>
        <w:t xml:space="preserve">Marketing research: An applied orientation</w:t>
      </w:r>
      <w:r>
        <w:rPr>
          <w:rFonts w:ascii="Times New Roman" w:hAnsi="Times New Roman" w:cs="Times New Roman"/>
          <w:sz w:val="24"/>
          <w:szCs w:val="24"/>
        </w:rPr>
        <w:t xml:space="preserve"> (7th ed.). Pearson Education.</w:t>
      </w:r>
    </w:p>
    <w:p>
      <w:pPr>
        <w:pStyle w:val="BodyTextX"/>
        <w:jc w:val="both"/>
        <w:spacing w:after="140" w:line="360" w:lineRule="auto"/>
      </w:pPr>
      <w:r>
        <w:rPr>
          <w:rFonts w:ascii="Times New Roman" w:hAnsi="Times New Roman" w:cs="Times New Roman"/>
          <w:sz w:val="24"/>
          <w:szCs w:val="24"/>
        </w:rPr>
        <w:t xml:space="preserve">Muliani, S., Athar, H. S., &amp; Supryadi, D. I. (2026). The influence of influencer marketing, social proof, fear of missing out, and user-generated content on purchase decisions on TikTok Shop with platform trust as a moderating variable: A study of Generation Z in Indonesia. </w:t>
      </w:r>
      <w:r>
        <w:rPr>
          <w:rFonts w:ascii="Times New Roman" w:hAnsi="Times New Roman" w:cs="Times New Roman"/>
          <w:sz w:val="24"/>
          <w:szCs w:val="24"/>
          <w:i/>
        </w:rPr>
        <w:t xml:space="preserve">Asian Journal of Management Entrepreneurship and Social Science, 6</w:t>
      </w:r>
      <w:r>
        <w:rPr>
          <w:rFonts w:ascii="Times New Roman" w:hAnsi="Times New Roman" w:cs="Times New Roman"/>
          <w:sz w:val="24"/>
          <w:szCs w:val="24"/>
        </w:rPr>
        <w:t xml:space="preserve">(3), 1908-1932.</w:t>
      </w:r>
    </w:p>
    <w:p>
      <w:pPr>
        <w:pStyle w:val="BodyTextX"/>
        <w:jc w:val="both"/>
        <w:spacing w:after="140" w:line="360" w:lineRule="auto"/>
      </w:pPr>
      <w:r>
        <w:rPr>
          <w:rFonts w:ascii="Times New Roman" w:hAnsi="Times New Roman" w:cs="Times New Roman"/>
          <w:sz w:val="24"/>
          <w:szCs w:val="24"/>
        </w:rPr>
        <w:t xml:space="preserve">Munnukka, J., Uusitalo, O., &amp; Toivonen, H. (2016). Credibility of a peer endorser and advertising effectiveness. </w:t>
      </w:r>
      <w:r>
        <w:rPr>
          <w:rFonts w:ascii="Times New Roman" w:hAnsi="Times New Roman" w:cs="Times New Roman"/>
          <w:sz w:val="24"/>
          <w:szCs w:val="24"/>
          <w:i/>
        </w:rPr>
        <w:t xml:space="preserve">Journal of Consumer Marketing, 33</w:t>
      </w:r>
      <w:r>
        <w:rPr>
          <w:rFonts w:ascii="Times New Roman" w:hAnsi="Times New Roman" w:cs="Times New Roman"/>
          <w:sz w:val="24"/>
          <w:szCs w:val="24"/>
        </w:rPr>
        <w:t xml:space="preserve">(3), 182-192. https://doi.org/10.1108/JCM-11-2014-1221</w:t>
      </w:r>
    </w:p>
    <w:p>
      <w:pPr>
        <w:pStyle w:val="BodyTextX"/>
        <w:jc w:val="both"/>
        <w:spacing w:after="140" w:line="360" w:lineRule="auto"/>
      </w:pPr>
      <w:r>
        <w:rPr>
          <w:rFonts w:ascii="Times New Roman" w:hAnsi="Times New Roman" w:cs="Times New Roman"/>
          <w:sz w:val="24"/>
          <w:szCs w:val="24"/>
        </w:rPr>
        <w:t xml:space="preserve">Muthulingam, K., &amp; Amirtharaj, N. (2026). Influencer marketing and Gen Z's purchase intentions: A structural equation modeling approach. </w:t>
      </w:r>
      <w:r>
        <w:rPr>
          <w:rFonts w:ascii="Times New Roman" w:hAnsi="Times New Roman" w:cs="Times New Roman"/>
          <w:sz w:val="24"/>
          <w:szCs w:val="24"/>
          <w:i/>
        </w:rPr>
        <w:t xml:space="preserve">Frontiers in Communication, 11</w:t>
      </w:r>
      <w:r>
        <w:rPr>
          <w:rFonts w:ascii="Times New Roman" w:hAnsi="Times New Roman" w:cs="Times New Roman"/>
          <w:sz w:val="24"/>
          <w:szCs w:val="24"/>
        </w:rPr>
        <w:t xml:space="preserve">, 1830223. https://doi.org/10.3389/fcomm.2026.1830223</w:t>
      </w:r>
    </w:p>
    <w:p>
      <w:pPr>
        <w:pStyle w:val="BodyTextX"/>
        <w:jc w:val="both"/>
        <w:spacing w:after="140" w:line="360" w:lineRule="auto"/>
      </w:pPr>
      <w:r>
        <w:rPr>
          <w:rFonts w:ascii="Times New Roman" w:hAnsi="Times New Roman" w:cs="Times New Roman"/>
          <w:sz w:val="24"/>
          <w:szCs w:val="24"/>
        </w:rPr>
        <w:t xml:space="preserve">Nafees, L., Cook, C. M., Nikolov, A. N., &amp; Stoddard, J. E. (2021). Can social media influencer (SMI) power influence consumer brand attitudes? The mediating role of perceived SMI credibility. </w:t>
      </w:r>
      <w:r>
        <w:rPr>
          <w:rFonts w:ascii="Times New Roman" w:hAnsi="Times New Roman" w:cs="Times New Roman"/>
          <w:sz w:val="24"/>
          <w:szCs w:val="24"/>
          <w:i/>
        </w:rPr>
        <w:t xml:space="preserve">Digital Business, 1</w:t>
      </w:r>
      <w:r>
        <w:rPr>
          <w:rFonts w:ascii="Times New Roman" w:hAnsi="Times New Roman" w:cs="Times New Roman"/>
          <w:sz w:val="24"/>
          <w:szCs w:val="24"/>
        </w:rPr>
        <w:t xml:space="preserve">(2), 100008. https://doi.org/10.1016/j.digbus.2021.100008</w:t>
      </w:r>
    </w:p>
    <w:p>
      <w:pPr>
        <w:pStyle w:val="BodyTextX"/>
        <w:jc w:val="both"/>
        <w:spacing w:after="140" w:line="360" w:lineRule="auto"/>
      </w:pPr>
      <w:r>
        <w:rPr>
          <w:rFonts w:ascii="Times New Roman" w:hAnsi="Times New Roman" w:cs="Times New Roman"/>
          <w:sz w:val="24"/>
          <w:szCs w:val="24"/>
        </w:rPr>
        <w:t xml:space="preserve">Nunnally, J. C., &amp; Bernstein, I. H. (1994). </w:t>
      </w:r>
      <w:r>
        <w:rPr>
          <w:rFonts w:ascii="Times New Roman" w:hAnsi="Times New Roman" w:cs="Times New Roman"/>
          <w:sz w:val="24"/>
          <w:szCs w:val="24"/>
          <w:i/>
        </w:rPr>
        <w:t xml:space="preserve">Psychometric theory</w:t>
      </w:r>
      <w:r>
        <w:rPr>
          <w:rFonts w:ascii="Times New Roman" w:hAnsi="Times New Roman" w:cs="Times New Roman"/>
          <w:sz w:val="24"/>
          <w:szCs w:val="24"/>
        </w:rPr>
        <w:t xml:space="preserve"> (3rd ed.). McGraw-Hill.</w:t>
      </w:r>
    </w:p>
    <w:p>
      <w:pPr>
        <w:pStyle w:val="BodyTextX"/>
        <w:jc w:val="both"/>
        <w:spacing w:after="140" w:line="360" w:lineRule="auto"/>
      </w:pPr>
      <w:r>
        <w:rPr>
          <w:rFonts w:ascii="Times New Roman" w:hAnsi="Times New Roman" w:cs="Times New Roman"/>
          <w:sz w:val="24"/>
          <w:szCs w:val="24"/>
        </w:rPr>
        <w:t xml:space="preserve">Ohanian, R. (1990). Construction and validation of a scale to measure celebrity endorsers' perceived expertise, trustworthiness, and attractiveness. </w:t>
      </w:r>
      <w:r>
        <w:rPr>
          <w:rFonts w:ascii="Times New Roman" w:hAnsi="Times New Roman" w:cs="Times New Roman"/>
          <w:sz w:val="24"/>
          <w:szCs w:val="24"/>
          <w:i/>
        </w:rPr>
        <w:t xml:space="preserve">Journal of Advertising, 19</w:t>
      </w:r>
      <w:r>
        <w:rPr>
          <w:rFonts w:ascii="Times New Roman" w:hAnsi="Times New Roman" w:cs="Times New Roman"/>
          <w:sz w:val="24"/>
          <w:szCs w:val="24"/>
        </w:rPr>
        <w:t xml:space="preserve">(3), 39-52. https://doi.org/10.1080/00913367.1990.10673191</w:t>
      </w:r>
    </w:p>
    <w:p>
      <w:pPr>
        <w:pStyle w:val="BodyTextX"/>
        <w:jc w:val="both"/>
        <w:spacing w:after="140" w:line="360" w:lineRule="auto"/>
      </w:pPr>
      <w:r>
        <w:rPr>
          <w:rFonts w:ascii="Times New Roman" w:hAnsi="Times New Roman" w:cs="Times New Roman"/>
          <w:sz w:val="24"/>
          <w:szCs w:val="24"/>
        </w:rPr>
        <w:t xml:space="preserve">Perdana, C. C., Mustikarini, C. N., &amp; Parega, E. (2023). The impact of social media influencers and content quality: Unraveling the mediating role of trust on purchase intention. </w:t>
      </w:r>
      <w:r>
        <w:rPr>
          <w:rFonts w:ascii="Times New Roman" w:hAnsi="Times New Roman" w:cs="Times New Roman"/>
          <w:sz w:val="24"/>
          <w:szCs w:val="24"/>
          <w:i/>
        </w:rPr>
        <w:t xml:space="preserve">SEIKO: Journal of Management &amp; Business, 6</w:t>
      </w:r>
      <w:r>
        <w:rPr>
          <w:rFonts w:ascii="Times New Roman" w:hAnsi="Times New Roman" w:cs="Times New Roman"/>
          <w:sz w:val="24"/>
          <w:szCs w:val="24"/>
        </w:rPr>
        <w:t xml:space="preserve">(1), 263-270.</w:t>
      </w:r>
    </w:p>
    <w:p>
      <w:pPr>
        <w:pStyle w:val="BodyTextX"/>
        <w:jc w:val="both"/>
        <w:spacing w:after="140" w:line="360" w:lineRule="auto"/>
      </w:pPr>
      <w:r>
        <w:rPr>
          <w:rFonts w:ascii="Times New Roman" w:hAnsi="Times New Roman" w:cs="Times New Roman"/>
          <w:sz w:val="24"/>
          <w:szCs w:val="24"/>
        </w:rPr>
        <w:t xml:space="preserve">Petty, R. E., &amp; Cacioppo, J. T. (1986). The elaboration likelihood model of persuasion. </w:t>
      </w:r>
      <w:r>
        <w:rPr>
          <w:rFonts w:ascii="Times New Roman" w:hAnsi="Times New Roman" w:cs="Times New Roman"/>
          <w:sz w:val="24"/>
          <w:szCs w:val="24"/>
          <w:i/>
        </w:rPr>
        <w:t xml:space="preserve">Advances in Experimental Social Psychology, 19</w:t>
      </w:r>
      <w:r>
        <w:rPr>
          <w:rFonts w:ascii="Times New Roman" w:hAnsi="Times New Roman" w:cs="Times New Roman"/>
          <w:sz w:val="24"/>
          <w:szCs w:val="24"/>
        </w:rPr>
        <w:t xml:space="preserve">, 123-205. https://doi.org/10.1016/S0065-2601(08)60214-2</w:t>
      </w:r>
    </w:p>
    <w:p>
      <w:pPr>
        <w:pStyle w:val="BodyTextX"/>
        <w:jc w:val="both"/>
        <w:spacing w:after="140" w:line="360" w:lineRule="auto"/>
      </w:pPr>
      <w:r>
        <w:rPr>
          <w:rFonts w:ascii="Times New Roman" w:hAnsi="Times New Roman" w:cs="Times New Roman"/>
          <w:sz w:val="24"/>
          <w:szCs w:val="24"/>
        </w:rPr>
        <w:t xml:space="preserve">Podsakoff, P. M., MacKenzie, S. B., Lee, J.-Y., &amp; Podsakoff, N. P. (2003). Common method biases in behavioral research: A critical review of the literature and recommended remedies. </w:t>
      </w:r>
      <w:r>
        <w:rPr>
          <w:rFonts w:ascii="Times New Roman" w:hAnsi="Times New Roman" w:cs="Times New Roman"/>
          <w:sz w:val="24"/>
          <w:szCs w:val="24"/>
          <w:i/>
        </w:rPr>
        <w:t xml:space="preserve">Journal of Applied Psychology, 88</w:t>
      </w:r>
      <w:r>
        <w:rPr>
          <w:rFonts w:ascii="Times New Roman" w:hAnsi="Times New Roman" w:cs="Times New Roman"/>
          <w:sz w:val="24"/>
          <w:szCs w:val="24"/>
        </w:rPr>
        <w:t xml:space="preserve">(5), 879-903. https://doi.org/10.1037/0021-9010.88.5.879</w:t>
      </w:r>
    </w:p>
    <w:p>
      <w:pPr>
        <w:pStyle w:val="BodyTextX"/>
        <w:jc w:val="both"/>
        <w:spacing w:after="140" w:line="360" w:lineRule="auto"/>
      </w:pPr>
      <w:r>
        <w:rPr>
          <w:rFonts w:ascii="Times New Roman" w:hAnsi="Times New Roman" w:cs="Times New Roman"/>
          <w:sz w:val="24"/>
          <w:szCs w:val="24"/>
        </w:rPr>
        <w:t xml:space="preserve">Preacher, K. J., &amp; Hayes, A. F. (2008). Asymptotic and resampling strategies for assessing and comparing indirect effects in multiple mediator models. </w:t>
      </w:r>
      <w:r>
        <w:rPr>
          <w:rFonts w:ascii="Times New Roman" w:hAnsi="Times New Roman" w:cs="Times New Roman"/>
          <w:sz w:val="24"/>
          <w:szCs w:val="24"/>
          <w:i/>
        </w:rPr>
        <w:t xml:space="preserve">Behavior Research Methods, 40</w:t>
      </w:r>
      <w:r>
        <w:rPr>
          <w:rFonts w:ascii="Times New Roman" w:hAnsi="Times New Roman" w:cs="Times New Roman"/>
          <w:sz w:val="24"/>
          <w:szCs w:val="24"/>
        </w:rPr>
        <w:t xml:space="preserve">(3), 879-891. https://doi.org/10.3758/BRM.40.3.879</w:t>
      </w:r>
    </w:p>
    <w:p>
      <w:pPr>
        <w:pStyle w:val="BodyTextX"/>
        <w:jc w:val="both"/>
        <w:spacing w:after="140" w:line="360" w:lineRule="auto"/>
      </w:pPr>
      <w:r>
        <w:rPr>
          <w:rFonts w:ascii="Times New Roman" w:hAnsi="Times New Roman" w:cs="Times New Roman"/>
          <w:sz w:val="24"/>
          <w:szCs w:val="24"/>
        </w:rPr>
        <w:t xml:space="preserve">Shah, S. A., Shoukat, M. H., Jamal, W., &amp; Ahmad, M. S. (2023). What drives followers-influencer intention in influencer marketing? The perspectives of emotional attachment and quality of information. </w:t>
      </w:r>
      <w:r>
        <w:rPr>
          <w:rFonts w:ascii="Times New Roman" w:hAnsi="Times New Roman" w:cs="Times New Roman"/>
          <w:sz w:val="24"/>
          <w:szCs w:val="24"/>
          <w:i/>
        </w:rPr>
        <w:t xml:space="preserve">SAGE Open, 13</w:t>
      </w:r>
      <w:r>
        <w:rPr>
          <w:rFonts w:ascii="Times New Roman" w:hAnsi="Times New Roman" w:cs="Times New Roman"/>
          <w:sz w:val="24"/>
          <w:szCs w:val="24"/>
        </w:rPr>
        <w:t xml:space="preserve">(2), 21582440231179712. https://doi.org/10.1177/21582440231179712</w:t>
      </w:r>
    </w:p>
    <w:p>
      <w:pPr>
        <w:pStyle w:val="BodyTextX"/>
        <w:jc w:val="both"/>
        <w:spacing w:after="140" w:line="360" w:lineRule="auto"/>
      </w:pPr>
      <w:r>
        <w:rPr>
          <w:rFonts w:ascii="Times New Roman" w:hAnsi="Times New Roman" w:cs="Times New Roman"/>
          <w:sz w:val="24"/>
          <w:szCs w:val="24"/>
        </w:rPr>
        <w:t xml:space="preserve">Sharipudin, M.-N. S., Abdullah, N. A., Foo, K. W., Hassim, N., Toth, Z., &amp; Chan, T. J. (2023). The influence of social media influencer (SMI) and social influence on purchase intention among young consumers. </w:t>
      </w:r>
      <w:r>
        <w:rPr>
          <w:rFonts w:ascii="Times New Roman" w:hAnsi="Times New Roman" w:cs="Times New Roman"/>
          <w:sz w:val="24"/>
          <w:szCs w:val="24"/>
          <w:i/>
        </w:rPr>
        <w:t xml:space="preserve">SEARCH Journal of Media and Communication Research</w:t>
      </w:r>
      <w:r>
        <w:rPr>
          <w:rFonts w:ascii="Times New Roman" w:hAnsi="Times New Roman" w:cs="Times New Roman"/>
          <w:sz w:val="24"/>
          <w:szCs w:val="24"/>
        </w:rPr>
        <w:t xml:space="preserve">, 1-13.</w:t>
      </w:r>
    </w:p>
    <w:p>
      <w:pPr>
        <w:pStyle w:val="BodyTextX"/>
        <w:jc w:val="both"/>
        <w:spacing w:after="140" w:line="360" w:lineRule="auto"/>
      </w:pPr>
      <w:r>
        <w:rPr>
          <w:rFonts w:ascii="Times New Roman" w:hAnsi="Times New Roman" w:cs="Times New Roman"/>
          <w:sz w:val="24"/>
          <w:szCs w:val="24"/>
        </w:rPr>
        <w:t xml:space="preserve">Silitonga, D. (2026). The influence of influencer credibility on Generation Z's purchase decisions of Azarine products through brand trust as an intervening variable in Bekasi City. </w:t>
      </w:r>
      <w:r>
        <w:rPr>
          <w:rFonts w:ascii="Times New Roman" w:hAnsi="Times New Roman" w:cs="Times New Roman"/>
          <w:sz w:val="24"/>
          <w:szCs w:val="24"/>
          <w:i/>
        </w:rPr>
        <w:t xml:space="preserve">Journal of Economics, Entrepreneurship, Management Business and Accounting, 4</w:t>
      </w:r>
      <w:r>
        <w:rPr>
          <w:rFonts w:ascii="Times New Roman" w:hAnsi="Times New Roman" w:cs="Times New Roman"/>
          <w:sz w:val="24"/>
          <w:szCs w:val="24"/>
        </w:rPr>
        <w:t xml:space="preserve">(4), 718-742. https://doi.org/10.61255/jeemba.v4i4.1221</w:t>
      </w:r>
    </w:p>
    <w:p>
      <w:pPr>
        <w:pStyle w:val="BodyTextX"/>
        <w:jc w:val="both"/>
        <w:spacing w:after="140" w:line="360" w:lineRule="auto"/>
      </w:pPr>
      <w:r>
        <w:rPr>
          <w:rFonts w:ascii="Times New Roman" w:hAnsi="Times New Roman" w:cs="Times New Roman"/>
          <w:sz w:val="24"/>
          <w:szCs w:val="24"/>
        </w:rPr>
        <w:t xml:space="preserve">Sokolova, K., &amp; Kefi, H. (2020). Instagram and YouTube bloggers promote it, why should I buy? How credibility and parasocial interaction influence purchase intentions. </w:t>
      </w:r>
      <w:r>
        <w:rPr>
          <w:rFonts w:ascii="Times New Roman" w:hAnsi="Times New Roman" w:cs="Times New Roman"/>
          <w:sz w:val="24"/>
          <w:szCs w:val="24"/>
          <w:i/>
        </w:rPr>
        <w:t xml:space="preserve">Journal of Retailing and Consumer Services, 53</w:t>
      </w:r>
      <w:r>
        <w:rPr>
          <w:rFonts w:ascii="Times New Roman" w:hAnsi="Times New Roman" w:cs="Times New Roman"/>
          <w:sz w:val="24"/>
          <w:szCs w:val="24"/>
        </w:rPr>
        <w:t xml:space="preserve">, 101742. https://doi.org/10.1016/j.jretconser.2019.01.011</w:t>
      </w:r>
    </w:p>
    <w:p>
      <w:pPr>
        <w:pStyle w:val="BodyTextX"/>
        <w:jc w:val="both"/>
        <w:spacing w:after="140" w:line="360" w:lineRule="auto"/>
      </w:pPr>
      <w:r>
        <w:rPr>
          <w:rFonts w:ascii="Times New Roman" w:hAnsi="Times New Roman" w:cs="Times New Roman"/>
          <w:sz w:val="24"/>
          <w:szCs w:val="24"/>
        </w:rPr>
        <w:t xml:space="preserve">Sunilkumar, A., Piramanayagam, S., Lian, S. B., More, B., &amp; K. G., T. (2026). Influencer marketing: A study of Gen Z's experiences and purchase decisions in the United Arab Emirates fashion industry. </w:t>
      </w:r>
      <w:r>
        <w:rPr>
          <w:rFonts w:ascii="Times New Roman" w:hAnsi="Times New Roman" w:cs="Times New Roman"/>
          <w:sz w:val="24"/>
          <w:szCs w:val="24"/>
          <w:i/>
        </w:rPr>
        <w:t xml:space="preserve">Cogent Business &amp; Management, 13</w:t>
      </w:r>
      <w:r>
        <w:rPr>
          <w:rFonts w:ascii="Times New Roman" w:hAnsi="Times New Roman" w:cs="Times New Roman"/>
          <w:sz w:val="24"/>
          <w:szCs w:val="24"/>
        </w:rPr>
        <w:t xml:space="preserve">(1), 2672552. https://doi.org/10.1080/23311975.2026.2672552</w:t>
      </w:r>
    </w:p>
    <w:p>
      <w:pPr>
        <w:pStyle w:val="BodyTextX"/>
        <w:jc w:val="both"/>
        <w:spacing w:after="140" w:line="360" w:lineRule="auto"/>
      </w:pPr>
      <w:r>
        <w:rPr>
          <w:rFonts w:ascii="Times New Roman" w:hAnsi="Times New Roman" w:cs="Times New Roman"/>
          <w:sz w:val="24"/>
          <w:szCs w:val="24"/>
        </w:rPr>
        <w:t xml:space="preserve">Voss, K. E., Spangenberg, E. R., &amp; Grohmann, B. (2003). Measuring the hedonic and utilitarian dimensions of consumer attitude. </w:t>
      </w:r>
      <w:r>
        <w:rPr>
          <w:rFonts w:ascii="Times New Roman" w:hAnsi="Times New Roman" w:cs="Times New Roman"/>
          <w:sz w:val="24"/>
          <w:szCs w:val="24"/>
          <w:i/>
        </w:rPr>
        <w:t xml:space="preserve">Journal of Marketing Research, 40</w:t>
      </w:r>
      <w:r>
        <w:rPr>
          <w:rFonts w:ascii="Times New Roman" w:hAnsi="Times New Roman" w:cs="Times New Roman"/>
          <w:sz w:val="24"/>
          <w:szCs w:val="24"/>
        </w:rPr>
        <w:t xml:space="preserve">(3), 310-320. https://doi.org/10.1509/jmkr.40.3.310.19238</w:t>
      </w:r>
    </w:p>
    <w:p>
      <w:pPr>
        <w:pStyle w:val="BodyTextX"/>
        <w:jc w:val="both"/>
        <w:spacing w:after="140" w:line="360" w:lineRule="auto"/>
      </w:pPr>
      <w:r>
        <w:rPr>
          <w:rFonts w:ascii="Times New Roman" w:hAnsi="Times New Roman" w:cs="Times New Roman"/>
          <w:sz w:val="24"/>
          <w:szCs w:val="24"/>
        </w:rPr>
        <w:t xml:space="preserve">Wixom, B. H., &amp; Todd, P. A. (2005). A theoretical integration of user satisfaction and technology acceptance. </w:t>
      </w:r>
      <w:r>
        <w:rPr>
          <w:rFonts w:ascii="Times New Roman" w:hAnsi="Times New Roman" w:cs="Times New Roman"/>
          <w:sz w:val="24"/>
          <w:szCs w:val="24"/>
          <w:i/>
        </w:rPr>
        <w:t xml:space="preserve">Information Systems Research, 16</w:t>
      </w:r>
      <w:r>
        <w:rPr>
          <w:rFonts w:ascii="Times New Roman" w:hAnsi="Times New Roman" w:cs="Times New Roman"/>
          <w:sz w:val="24"/>
          <w:szCs w:val="24"/>
        </w:rPr>
        <w:t xml:space="preserve">(1), 85-102. https://doi.org/10.1287/isre.1050.0042</w:t>
      </w:r>
    </w:p>
    <w:p>
      <w:pPr>
        <w:pStyle w:val="Heading1"/>
        <w:pageBreakBefore/>
        <w:outlineLvl w:val="0"/>
      </w:pPr>
      <w:r>
        <w:rPr>
          <w:rFonts w:ascii="Times New Roman" w:hAnsi="Times New Roman" w:cs="Times New Roman"/>
          <w:sz w:val="32"/>
          <w:szCs w:val="32"/>
          <w:b/>
        </w:rPr>
        <w:t xml:space="preserve">ANNEXURE: DRAFT QUESTIONNAIRE</w:t>
      </w:r>
    </w:p>
    <w:p>
      <w:pPr>
        <w:pStyle w:val="BodyTextX"/>
        <w:jc w:val="both"/>
        <w:spacing w:after="120" w:line="360" w:lineRule="auto"/>
      </w:pPr>
      <w:r>
        <w:rPr>
          <w:rFonts w:ascii="Times New Roman" w:hAnsi="Times New Roman" w:cs="Times New Roman"/>
          <w:sz w:val="24"/>
          <w:szCs w:val="24"/>
          <w:i/>
        </w:rPr>
        <w:t xml:space="preserve">Title of the study:</w:t>
      </w:r>
      <w:r>
        <w:rPr>
          <w:rFonts w:ascii="Times New Roman" w:hAnsi="Times New Roman" w:cs="Times New Roman"/>
          <w:sz w:val="24"/>
          <w:szCs w:val="24"/>
        </w:rPr>
        <w:t xml:space="preserve"> Social Influence, Content Quality, Influencer Expertise, and the Mediating Role of Trust: Examining the Impact of Influencer Marketing on Gen Z Purchase Intention</w:t>
      </w:r>
    </w:p>
    <w:p>
      <w:pPr>
        <w:pStyle w:val="BodyTextX"/>
        <w:jc w:val="both"/>
        <w:spacing w:after="120" w:line="360" w:lineRule="auto"/>
      </w:pPr>
      <w:r>
        <w:rPr>
          <w:rFonts w:ascii="Times New Roman" w:hAnsi="Times New Roman" w:cs="Times New Roman"/>
          <w:sz w:val="24"/>
          <w:szCs w:val="24"/>
        </w:rPr>
        <w:t xml:space="preserve">You are invited to take part in a short academic survey conducted as part of an MBA research project at University Business School, Panjab University, Chandigarh. The survey takes about five minutes. Your responses are anonymous, will be used only for academic purposes, and will be reported in aggregate. Participation is voluntary and you may exit at any point.</w:t>
      </w:r>
    </w:p>
    <w:p>
      <w:pPr>
        <w:pStyle w:val="Heading2"/>
        <w:outlineLvl w:val="1"/>
      </w:pPr>
      <w:r>
        <w:rPr>
          <w:rFonts w:ascii="Times New Roman" w:hAnsi="Times New Roman" w:cs="Times New Roman"/>
          <w:sz w:val="28"/>
          <w:szCs w:val="28"/>
          <w:b/>
        </w:rPr>
        <w:t xml:space="preserve">Screening Questions</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902"/>
        <w:gridCol w:w="4061"/>
        <w:gridCol w:w="4061"/>
      </w:tblGrid>
      <w:tr>
        <w:trPr>
          <w:tblHeader/>
        </w:trPr>
        <w:tc>
          <w:tcPr>
            <w:tcW w:w="90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Sr. No.</w:t>
            </w:r>
          </w:p>
        </w:tc>
        <w:tc>
          <w:tcPr>
            <w:tcW w:w="4061"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Question</w:t>
            </w:r>
          </w:p>
        </w:tc>
        <w:tc>
          <w:tcPr>
            <w:tcW w:w="4061"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Response options</w:t>
            </w:r>
          </w:p>
        </w:tc>
      </w:tr>
      <w:tr>
        <w:tc>
          <w:tcPr>
            <w:tcW w:w="902" w:type="dxa"/>
            <w:vAlign w:val="center"/>
          </w:tcPr>
          <w:p>
            <w:pPr>
              <w:jc w:val="left"/>
              <w:spacing w:before="40" w:after="40" w:line="240" w:lineRule="auto"/>
            </w:pPr>
            <w:r>
              <w:rPr>
                <w:rFonts w:ascii="Times New Roman" w:hAnsi="Times New Roman" w:cs="Times New Roman"/>
                <w:sz w:val="22"/>
                <w:szCs w:val="22"/>
              </w:rPr>
              <w:t xml:space="preserve">S1</w:t>
            </w:r>
          </w:p>
        </w:tc>
        <w:tc>
          <w:tcPr>
            <w:tcW w:w="4061" w:type="dxa"/>
            <w:vAlign w:val="center"/>
          </w:tcPr>
          <w:p>
            <w:pPr>
              <w:jc w:val="left"/>
              <w:spacing w:before="40" w:after="40" w:line="240" w:lineRule="auto"/>
            </w:pPr>
            <w:r>
              <w:rPr>
                <w:rFonts w:ascii="Times New Roman" w:hAnsi="Times New Roman" w:cs="Times New Roman"/>
                <w:sz w:val="22"/>
                <w:szCs w:val="22"/>
              </w:rPr>
              <w:t xml:space="preserve">What is your age?</w:t>
            </w:r>
          </w:p>
        </w:tc>
        <w:tc>
          <w:tcPr>
            <w:tcW w:w="4061" w:type="dxa"/>
            <w:vAlign w:val="center"/>
          </w:tcPr>
          <w:p>
            <w:pPr>
              <w:jc w:val="left"/>
              <w:spacing w:before="40" w:after="40" w:line="240" w:lineRule="auto"/>
            </w:pPr>
            <w:r>
              <w:rPr>
                <w:rFonts w:ascii="Times New Roman" w:hAnsi="Times New Roman" w:cs="Times New Roman"/>
                <w:sz w:val="22"/>
                <w:szCs w:val="22"/>
              </w:rPr>
              <w:t xml:space="preserve">Below 18 / 18-28 years / Above 28 (respondents outside 18-28 exit the survey)</w:t>
            </w:r>
          </w:p>
        </w:tc>
      </w:tr>
      <w:tr>
        <w:tc>
          <w:tcPr>
            <w:tcW w:w="902" w:type="dxa"/>
            <w:vAlign w:val="center"/>
          </w:tcPr>
          <w:p>
            <w:pPr>
              <w:jc w:val="left"/>
              <w:spacing w:before="40" w:after="40" w:line="240" w:lineRule="auto"/>
            </w:pPr>
            <w:r>
              <w:rPr>
                <w:rFonts w:ascii="Times New Roman" w:hAnsi="Times New Roman" w:cs="Times New Roman"/>
                <w:sz w:val="22"/>
                <w:szCs w:val="22"/>
              </w:rPr>
              <w:t xml:space="preserve">S2</w:t>
            </w:r>
          </w:p>
        </w:tc>
        <w:tc>
          <w:tcPr>
            <w:tcW w:w="4061" w:type="dxa"/>
            <w:vAlign w:val="center"/>
          </w:tcPr>
          <w:p>
            <w:pPr>
              <w:jc w:val="left"/>
              <w:spacing w:before="40" w:after="40" w:line="240" w:lineRule="auto"/>
            </w:pPr>
            <w:r>
              <w:rPr>
                <w:rFonts w:ascii="Times New Roman" w:hAnsi="Times New Roman" w:cs="Times New Roman"/>
                <w:sz w:val="22"/>
                <w:szCs w:val="22"/>
              </w:rPr>
              <w:t xml:space="preserve">Do you follow at least one social media influencer?</w:t>
            </w:r>
          </w:p>
        </w:tc>
        <w:tc>
          <w:tcPr>
            <w:tcW w:w="4061" w:type="dxa"/>
            <w:vAlign w:val="center"/>
          </w:tcPr>
          <w:p>
            <w:pPr>
              <w:jc w:val="left"/>
              <w:spacing w:before="40" w:after="40" w:line="240" w:lineRule="auto"/>
            </w:pPr>
            <w:r>
              <w:rPr>
                <w:rFonts w:ascii="Times New Roman" w:hAnsi="Times New Roman" w:cs="Times New Roman"/>
                <w:sz w:val="22"/>
                <w:szCs w:val="22"/>
              </w:rPr>
              <w:t xml:space="preserve">Yes / No (respondents answering No exit the survey)</w:t>
            </w:r>
          </w:p>
        </w:tc>
      </w:tr>
      <w:tr>
        <w:tc>
          <w:tcPr>
            <w:tcW w:w="902" w:type="dxa"/>
            <w:vAlign w:val="center"/>
          </w:tcPr>
          <w:p>
            <w:pPr>
              <w:jc w:val="left"/>
              <w:spacing w:before="40" w:after="40" w:line="240" w:lineRule="auto"/>
            </w:pPr>
            <w:r>
              <w:rPr>
                <w:rFonts w:ascii="Times New Roman" w:hAnsi="Times New Roman" w:cs="Times New Roman"/>
                <w:sz w:val="22"/>
                <w:szCs w:val="22"/>
              </w:rPr>
              <w:t xml:space="preserve">S3</w:t>
            </w:r>
          </w:p>
        </w:tc>
        <w:tc>
          <w:tcPr>
            <w:tcW w:w="4061" w:type="dxa"/>
            <w:vAlign w:val="center"/>
          </w:tcPr>
          <w:p>
            <w:pPr>
              <w:jc w:val="left"/>
              <w:spacing w:before="40" w:after="40" w:line="240" w:lineRule="auto"/>
            </w:pPr>
            <w:r>
              <w:rPr>
                <w:rFonts w:ascii="Times New Roman" w:hAnsi="Times New Roman" w:cs="Times New Roman"/>
                <w:sz w:val="22"/>
                <w:szCs w:val="22"/>
              </w:rPr>
              <w:t xml:space="preserve">Have you seen an influencer promote a product in the last three months?</w:t>
            </w:r>
          </w:p>
        </w:tc>
        <w:tc>
          <w:tcPr>
            <w:tcW w:w="4061" w:type="dxa"/>
            <w:vAlign w:val="center"/>
          </w:tcPr>
          <w:p>
            <w:pPr>
              <w:jc w:val="left"/>
              <w:spacing w:before="40" w:after="40" w:line="240" w:lineRule="auto"/>
            </w:pPr>
            <w:r>
              <w:rPr>
                <w:rFonts w:ascii="Times New Roman" w:hAnsi="Times New Roman" w:cs="Times New Roman"/>
                <w:sz w:val="22"/>
                <w:szCs w:val="22"/>
              </w:rPr>
              <w:t xml:space="preserve">Yes / No</w:t>
            </w:r>
          </w:p>
        </w:tc>
      </w:tr>
    </w:tbl>
    <w:p>
      <w:pPr>
        <w:spacing w:after="0"/>
        <w:rPr>
          <w:sz w:val="12"/>
        </w:rPr>
      </w:pPr>
    </w:p>
    <w:p>
      <w:pPr>
        <w:pStyle w:val="Heading2"/>
        <w:outlineLvl w:val="1"/>
      </w:pPr>
      <w:r>
        <w:rPr>
          <w:rFonts w:ascii="Times New Roman" w:hAnsi="Times New Roman" w:cs="Times New Roman"/>
          <w:sz w:val="28"/>
          <w:szCs w:val="28"/>
          <w:b/>
        </w:rPr>
        <w:t xml:space="preserve">Section A: Demographic and Usage Profile</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902"/>
        <w:gridCol w:w="3610"/>
        <w:gridCol w:w="4513"/>
      </w:tblGrid>
      <w:tr>
        <w:trPr>
          <w:tblHeader/>
        </w:trPr>
        <w:tc>
          <w:tcPr>
            <w:tcW w:w="90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Sr. No.</w:t>
            </w:r>
          </w:p>
        </w:tc>
        <w:tc>
          <w:tcPr>
            <w:tcW w:w="3610"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Particulars</w:t>
            </w:r>
          </w:p>
        </w:tc>
        <w:tc>
          <w:tcPr>
            <w:tcW w:w="4513"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Response options</w:t>
            </w:r>
          </w:p>
        </w:tc>
      </w:tr>
      <w:tr>
        <w:tc>
          <w:tcPr>
            <w:tcW w:w="902" w:type="dxa"/>
            <w:vAlign w:val="center"/>
          </w:tcPr>
          <w:p>
            <w:pPr>
              <w:jc w:val="left"/>
              <w:spacing w:before="40" w:after="40" w:line="240" w:lineRule="auto"/>
            </w:pPr>
            <w:r>
              <w:rPr>
                <w:rFonts w:ascii="Times New Roman" w:hAnsi="Times New Roman" w:cs="Times New Roman"/>
                <w:sz w:val="22"/>
                <w:szCs w:val="22"/>
              </w:rPr>
              <w:t xml:space="preserve">1</w:t>
            </w:r>
          </w:p>
        </w:tc>
        <w:tc>
          <w:tcPr>
            <w:tcW w:w="3610" w:type="dxa"/>
            <w:vAlign w:val="center"/>
          </w:tcPr>
          <w:p>
            <w:pPr>
              <w:jc w:val="left"/>
              <w:spacing w:before="40" w:after="40" w:line="240" w:lineRule="auto"/>
            </w:pPr>
            <w:r>
              <w:rPr>
                <w:rFonts w:ascii="Times New Roman" w:hAnsi="Times New Roman" w:cs="Times New Roman"/>
                <w:sz w:val="22"/>
                <w:szCs w:val="22"/>
              </w:rPr>
              <w:t xml:space="preserve">Age</w:t>
            </w:r>
          </w:p>
        </w:tc>
        <w:tc>
          <w:tcPr>
            <w:tcW w:w="4513" w:type="dxa"/>
            <w:vAlign w:val="center"/>
          </w:tcPr>
          <w:p>
            <w:pPr>
              <w:jc w:val="left"/>
              <w:spacing w:before="40" w:after="40" w:line="240" w:lineRule="auto"/>
            </w:pPr>
            <w:r>
              <w:rPr>
                <w:rFonts w:ascii="Times New Roman" w:hAnsi="Times New Roman" w:cs="Times New Roman"/>
                <w:sz w:val="22"/>
                <w:szCs w:val="22"/>
              </w:rPr>
              <w:t xml:space="preserve">18-20 / 21-23 / 24-26 / 27-28 years</w:t>
            </w:r>
          </w:p>
        </w:tc>
      </w:tr>
      <w:tr>
        <w:tc>
          <w:tcPr>
            <w:tcW w:w="902" w:type="dxa"/>
            <w:vAlign w:val="center"/>
          </w:tcPr>
          <w:p>
            <w:pPr>
              <w:jc w:val="left"/>
              <w:spacing w:before="40" w:after="40" w:line="240" w:lineRule="auto"/>
            </w:pPr>
            <w:r>
              <w:rPr>
                <w:rFonts w:ascii="Times New Roman" w:hAnsi="Times New Roman" w:cs="Times New Roman"/>
                <w:sz w:val="22"/>
                <w:szCs w:val="22"/>
              </w:rPr>
              <w:t xml:space="preserve">2</w:t>
            </w:r>
          </w:p>
        </w:tc>
        <w:tc>
          <w:tcPr>
            <w:tcW w:w="3610" w:type="dxa"/>
            <w:vAlign w:val="center"/>
          </w:tcPr>
          <w:p>
            <w:pPr>
              <w:jc w:val="left"/>
              <w:spacing w:before="40" w:after="40" w:line="240" w:lineRule="auto"/>
            </w:pPr>
            <w:r>
              <w:rPr>
                <w:rFonts w:ascii="Times New Roman" w:hAnsi="Times New Roman" w:cs="Times New Roman"/>
                <w:sz w:val="22"/>
                <w:szCs w:val="22"/>
              </w:rPr>
              <w:t xml:space="preserve">Gender</w:t>
            </w:r>
          </w:p>
        </w:tc>
        <w:tc>
          <w:tcPr>
            <w:tcW w:w="4513" w:type="dxa"/>
            <w:vAlign w:val="center"/>
          </w:tcPr>
          <w:p>
            <w:pPr>
              <w:jc w:val="left"/>
              <w:spacing w:before="40" w:after="40" w:line="240" w:lineRule="auto"/>
            </w:pPr>
            <w:r>
              <w:rPr>
                <w:rFonts w:ascii="Times New Roman" w:hAnsi="Times New Roman" w:cs="Times New Roman"/>
                <w:sz w:val="22"/>
                <w:szCs w:val="22"/>
              </w:rPr>
              <w:t xml:space="preserve">Male / Female / Prefer not to say</w:t>
            </w:r>
          </w:p>
        </w:tc>
      </w:tr>
      <w:tr>
        <w:tc>
          <w:tcPr>
            <w:tcW w:w="902" w:type="dxa"/>
            <w:vAlign w:val="center"/>
          </w:tcPr>
          <w:p>
            <w:pPr>
              <w:jc w:val="left"/>
              <w:spacing w:before="40" w:after="40" w:line="240" w:lineRule="auto"/>
            </w:pPr>
            <w:r>
              <w:rPr>
                <w:rFonts w:ascii="Times New Roman" w:hAnsi="Times New Roman" w:cs="Times New Roman"/>
                <w:sz w:val="22"/>
                <w:szCs w:val="22"/>
              </w:rPr>
              <w:t xml:space="preserve">3</w:t>
            </w:r>
          </w:p>
        </w:tc>
        <w:tc>
          <w:tcPr>
            <w:tcW w:w="3610" w:type="dxa"/>
            <w:vAlign w:val="center"/>
          </w:tcPr>
          <w:p>
            <w:pPr>
              <w:jc w:val="left"/>
              <w:spacing w:before="40" w:after="40" w:line="240" w:lineRule="auto"/>
            </w:pPr>
            <w:r>
              <w:rPr>
                <w:rFonts w:ascii="Times New Roman" w:hAnsi="Times New Roman" w:cs="Times New Roman"/>
                <w:sz w:val="22"/>
                <w:szCs w:val="22"/>
              </w:rPr>
              <w:t xml:space="preserve">City or district</w:t>
            </w:r>
          </w:p>
        </w:tc>
        <w:tc>
          <w:tcPr>
            <w:tcW w:w="4513" w:type="dxa"/>
            <w:vAlign w:val="center"/>
          </w:tcPr>
          <w:p>
            <w:pPr>
              <w:jc w:val="left"/>
              <w:spacing w:before="40" w:after="40" w:line="240" w:lineRule="auto"/>
            </w:pPr>
            <w:r>
              <w:rPr>
                <w:rFonts w:ascii="Times New Roman" w:hAnsi="Times New Roman" w:cs="Times New Roman"/>
                <w:sz w:val="22"/>
                <w:szCs w:val="22"/>
              </w:rPr>
              <w:t xml:space="preserve">Chandigarh / Mohali / Panchkula / Other district of Punjab (please specify)</w:t>
            </w:r>
          </w:p>
        </w:tc>
      </w:tr>
      <w:tr>
        <w:tc>
          <w:tcPr>
            <w:tcW w:w="902" w:type="dxa"/>
            <w:vAlign w:val="center"/>
          </w:tcPr>
          <w:p>
            <w:pPr>
              <w:jc w:val="left"/>
              <w:spacing w:before="40" w:after="40" w:line="240" w:lineRule="auto"/>
            </w:pPr>
            <w:r>
              <w:rPr>
                <w:rFonts w:ascii="Times New Roman" w:hAnsi="Times New Roman" w:cs="Times New Roman"/>
                <w:sz w:val="22"/>
                <w:szCs w:val="22"/>
              </w:rPr>
              <w:t xml:space="preserve">4</w:t>
            </w:r>
          </w:p>
        </w:tc>
        <w:tc>
          <w:tcPr>
            <w:tcW w:w="3610" w:type="dxa"/>
            <w:vAlign w:val="center"/>
          </w:tcPr>
          <w:p>
            <w:pPr>
              <w:jc w:val="left"/>
              <w:spacing w:before="40" w:after="40" w:line="240" w:lineRule="auto"/>
            </w:pPr>
            <w:r>
              <w:rPr>
                <w:rFonts w:ascii="Times New Roman" w:hAnsi="Times New Roman" w:cs="Times New Roman"/>
                <w:sz w:val="22"/>
                <w:szCs w:val="22"/>
              </w:rPr>
              <w:t xml:space="preserve">Occupation</w:t>
            </w:r>
          </w:p>
        </w:tc>
        <w:tc>
          <w:tcPr>
            <w:tcW w:w="4513" w:type="dxa"/>
            <w:vAlign w:val="center"/>
          </w:tcPr>
          <w:p>
            <w:pPr>
              <w:jc w:val="left"/>
              <w:spacing w:before="40" w:after="40" w:line="240" w:lineRule="auto"/>
            </w:pPr>
            <w:r>
              <w:rPr>
                <w:rFonts w:ascii="Times New Roman" w:hAnsi="Times New Roman" w:cs="Times New Roman"/>
                <w:sz w:val="22"/>
                <w:szCs w:val="22"/>
              </w:rPr>
              <w:t xml:space="preserve">Student / Salaried employee / Self-employed / Not currently working</w:t>
            </w:r>
          </w:p>
        </w:tc>
      </w:tr>
      <w:tr>
        <w:tc>
          <w:tcPr>
            <w:tcW w:w="902" w:type="dxa"/>
            <w:vAlign w:val="center"/>
          </w:tcPr>
          <w:p>
            <w:pPr>
              <w:jc w:val="left"/>
              <w:spacing w:before="40" w:after="40" w:line="240" w:lineRule="auto"/>
            </w:pPr>
            <w:r>
              <w:rPr>
                <w:rFonts w:ascii="Times New Roman" w:hAnsi="Times New Roman" w:cs="Times New Roman"/>
                <w:sz w:val="22"/>
                <w:szCs w:val="22"/>
              </w:rPr>
              <w:t xml:space="preserve">5</w:t>
            </w:r>
          </w:p>
        </w:tc>
        <w:tc>
          <w:tcPr>
            <w:tcW w:w="3610" w:type="dxa"/>
            <w:vAlign w:val="center"/>
          </w:tcPr>
          <w:p>
            <w:pPr>
              <w:jc w:val="left"/>
              <w:spacing w:before="40" w:after="40" w:line="240" w:lineRule="auto"/>
            </w:pPr>
            <w:r>
              <w:rPr>
                <w:rFonts w:ascii="Times New Roman" w:hAnsi="Times New Roman" w:cs="Times New Roman"/>
                <w:sz w:val="22"/>
                <w:szCs w:val="22"/>
              </w:rPr>
              <w:t xml:space="preserve">Highest education completed</w:t>
            </w:r>
          </w:p>
        </w:tc>
        <w:tc>
          <w:tcPr>
            <w:tcW w:w="4513" w:type="dxa"/>
            <w:vAlign w:val="center"/>
          </w:tcPr>
          <w:p>
            <w:pPr>
              <w:jc w:val="left"/>
              <w:spacing w:before="40" w:after="40" w:line="240" w:lineRule="auto"/>
            </w:pPr>
            <w:r>
              <w:rPr>
                <w:rFonts w:ascii="Times New Roman" w:hAnsi="Times New Roman" w:cs="Times New Roman"/>
                <w:sz w:val="22"/>
                <w:szCs w:val="22"/>
              </w:rPr>
              <w:t xml:space="preserve">Senior secondary / Undergraduate / Postgraduate / Other</w:t>
            </w:r>
          </w:p>
        </w:tc>
      </w:tr>
      <w:tr>
        <w:tc>
          <w:tcPr>
            <w:tcW w:w="902" w:type="dxa"/>
            <w:vAlign w:val="center"/>
          </w:tcPr>
          <w:p>
            <w:pPr>
              <w:jc w:val="left"/>
              <w:spacing w:before="40" w:after="40" w:line="240" w:lineRule="auto"/>
            </w:pPr>
            <w:r>
              <w:rPr>
                <w:rFonts w:ascii="Times New Roman" w:hAnsi="Times New Roman" w:cs="Times New Roman"/>
                <w:sz w:val="22"/>
                <w:szCs w:val="22"/>
              </w:rPr>
              <w:t xml:space="preserve">6</w:t>
            </w:r>
          </w:p>
        </w:tc>
        <w:tc>
          <w:tcPr>
            <w:tcW w:w="3610" w:type="dxa"/>
            <w:vAlign w:val="center"/>
          </w:tcPr>
          <w:p>
            <w:pPr>
              <w:jc w:val="left"/>
              <w:spacing w:before="40" w:after="40" w:line="240" w:lineRule="auto"/>
            </w:pPr>
            <w:r>
              <w:rPr>
                <w:rFonts w:ascii="Times New Roman" w:hAnsi="Times New Roman" w:cs="Times New Roman"/>
                <w:sz w:val="22"/>
                <w:szCs w:val="22"/>
              </w:rPr>
              <w:t xml:space="preserve">Monthly personal spending</w:t>
            </w:r>
          </w:p>
        </w:tc>
        <w:tc>
          <w:tcPr>
            <w:tcW w:w="4513" w:type="dxa"/>
            <w:vAlign w:val="center"/>
          </w:tcPr>
          <w:p>
            <w:pPr>
              <w:jc w:val="left"/>
              <w:spacing w:before="40" w:after="40" w:line="240" w:lineRule="auto"/>
            </w:pPr>
            <w:r>
              <w:rPr>
                <w:rFonts w:ascii="Times New Roman" w:hAnsi="Times New Roman" w:cs="Times New Roman"/>
                <w:sz w:val="22"/>
                <w:szCs w:val="22"/>
              </w:rPr>
              <w:t xml:space="preserve">Below Rs. 5,000 / Rs. 5,000-15,000 / Rs. 15,001-30,000 / Above Rs. 30,000</w:t>
            </w:r>
          </w:p>
        </w:tc>
      </w:tr>
      <w:tr>
        <w:tc>
          <w:tcPr>
            <w:tcW w:w="902" w:type="dxa"/>
            <w:vAlign w:val="center"/>
          </w:tcPr>
          <w:p>
            <w:pPr>
              <w:jc w:val="left"/>
              <w:spacing w:before="40" w:after="40" w:line="240" w:lineRule="auto"/>
            </w:pPr>
            <w:r>
              <w:rPr>
                <w:rFonts w:ascii="Times New Roman" w:hAnsi="Times New Roman" w:cs="Times New Roman"/>
                <w:sz w:val="22"/>
                <w:szCs w:val="22"/>
              </w:rPr>
              <w:t xml:space="preserve">7</w:t>
            </w:r>
          </w:p>
        </w:tc>
        <w:tc>
          <w:tcPr>
            <w:tcW w:w="3610" w:type="dxa"/>
            <w:vAlign w:val="center"/>
          </w:tcPr>
          <w:p>
            <w:pPr>
              <w:jc w:val="left"/>
              <w:spacing w:before="40" w:after="40" w:line="240" w:lineRule="auto"/>
            </w:pPr>
            <w:r>
              <w:rPr>
                <w:rFonts w:ascii="Times New Roman" w:hAnsi="Times New Roman" w:cs="Times New Roman"/>
                <w:sz w:val="22"/>
                <w:szCs w:val="22"/>
              </w:rPr>
              <w:t xml:space="preserve">Primary social media platform for influencer content</w:t>
            </w:r>
          </w:p>
        </w:tc>
        <w:tc>
          <w:tcPr>
            <w:tcW w:w="4513" w:type="dxa"/>
            <w:vAlign w:val="center"/>
          </w:tcPr>
          <w:p>
            <w:pPr>
              <w:jc w:val="left"/>
              <w:spacing w:before="40" w:after="40" w:line="240" w:lineRule="auto"/>
            </w:pPr>
            <w:r>
              <w:rPr>
                <w:rFonts w:ascii="Times New Roman" w:hAnsi="Times New Roman" w:cs="Times New Roman"/>
                <w:sz w:val="22"/>
                <w:szCs w:val="22"/>
              </w:rPr>
              <w:t xml:space="preserve">Instagram / YouTube / Facebook / X / Other</w:t>
            </w:r>
          </w:p>
        </w:tc>
      </w:tr>
      <w:tr>
        <w:tc>
          <w:tcPr>
            <w:tcW w:w="902" w:type="dxa"/>
            <w:vAlign w:val="center"/>
          </w:tcPr>
          <w:p>
            <w:pPr>
              <w:jc w:val="left"/>
              <w:spacing w:before="40" w:after="40" w:line="240" w:lineRule="auto"/>
            </w:pPr>
            <w:r>
              <w:rPr>
                <w:rFonts w:ascii="Times New Roman" w:hAnsi="Times New Roman" w:cs="Times New Roman"/>
                <w:sz w:val="22"/>
                <w:szCs w:val="22"/>
              </w:rPr>
              <w:t xml:space="preserve">8</w:t>
            </w:r>
          </w:p>
        </w:tc>
        <w:tc>
          <w:tcPr>
            <w:tcW w:w="3610" w:type="dxa"/>
            <w:vAlign w:val="center"/>
          </w:tcPr>
          <w:p>
            <w:pPr>
              <w:jc w:val="left"/>
              <w:spacing w:before="40" w:after="40" w:line="240" w:lineRule="auto"/>
            </w:pPr>
            <w:r>
              <w:rPr>
                <w:rFonts w:ascii="Times New Roman" w:hAnsi="Times New Roman" w:cs="Times New Roman"/>
                <w:sz w:val="22"/>
                <w:szCs w:val="22"/>
              </w:rPr>
              <w:t xml:space="preserve">Average daily social media use</w:t>
            </w:r>
          </w:p>
        </w:tc>
        <w:tc>
          <w:tcPr>
            <w:tcW w:w="4513" w:type="dxa"/>
            <w:vAlign w:val="center"/>
          </w:tcPr>
          <w:p>
            <w:pPr>
              <w:jc w:val="left"/>
              <w:spacing w:before="40" w:after="40" w:line="240" w:lineRule="auto"/>
            </w:pPr>
            <w:r>
              <w:rPr>
                <w:rFonts w:ascii="Times New Roman" w:hAnsi="Times New Roman" w:cs="Times New Roman"/>
                <w:sz w:val="22"/>
                <w:szCs w:val="22"/>
              </w:rPr>
              <w:t xml:space="preserve">Less than 1 hour / 1-2 hours / 2-4 hours / More than 4 hours</w:t>
            </w:r>
          </w:p>
        </w:tc>
      </w:tr>
      <w:tr>
        <w:tc>
          <w:tcPr>
            <w:tcW w:w="902" w:type="dxa"/>
            <w:vAlign w:val="center"/>
          </w:tcPr>
          <w:p>
            <w:pPr>
              <w:jc w:val="left"/>
              <w:spacing w:before="40" w:after="40" w:line="240" w:lineRule="auto"/>
            </w:pPr>
            <w:r>
              <w:rPr>
                <w:rFonts w:ascii="Times New Roman" w:hAnsi="Times New Roman" w:cs="Times New Roman"/>
                <w:sz w:val="22"/>
                <w:szCs w:val="22"/>
              </w:rPr>
              <w:t xml:space="preserve">9</w:t>
            </w:r>
          </w:p>
        </w:tc>
        <w:tc>
          <w:tcPr>
            <w:tcW w:w="3610" w:type="dxa"/>
            <w:vAlign w:val="center"/>
          </w:tcPr>
          <w:p>
            <w:pPr>
              <w:jc w:val="left"/>
              <w:spacing w:before="40" w:after="40" w:line="240" w:lineRule="auto"/>
            </w:pPr>
            <w:r>
              <w:rPr>
                <w:rFonts w:ascii="Times New Roman" w:hAnsi="Times New Roman" w:cs="Times New Roman"/>
                <w:sz w:val="22"/>
                <w:szCs w:val="22"/>
              </w:rPr>
              <w:t xml:space="preserve">Number of influencers followed</w:t>
            </w:r>
          </w:p>
        </w:tc>
        <w:tc>
          <w:tcPr>
            <w:tcW w:w="4513" w:type="dxa"/>
            <w:vAlign w:val="center"/>
          </w:tcPr>
          <w:p>
            <w:pPr>
              <w:jc w:val="left"/>
              <w:spacing w:before="40" w:after="40" w:line="240" w:lineRule="auto"/>
            </w:pPr>
            <w:r>
              <w:rPr>
                <w:rFonts w:ascii="Times New Roman" w:hAnsi="Times New Roman" w:cs="Times New Roman"/>
                <w:sz w:val="22"/>
                <w:szCs w:val="22"/>
              </w:rPr>
              <w:t xml:space="preserve">1-5 / 6-15 / 16-30 / More than 30</w:t>
            </w:r>
          </w:p>
        </w:tc>
      </w:tr>
      <w:tr>
        <w:tc>
          <w:tcPr>
            <w:tcW w:w="902" w:type="dxa"/>
            <w:vAlign w:val="center"/>
          </w:tcPr>
          <w:p>
            <w:pPr>
              <w:jc w:val="left"/>
              <w:spacing w:before="40" w:after="40" w:line="240" w:lineRule="auto"/>
            </w:pPr>
            <w:r>
              <w:rPr>
                <w:rFonts w:ascii="Times New Roman" w:hAnsi="Times New Roman" w:cs="Times New Roman"/>
                <w:sz w:val="22"/>
                <w:szCs w:val="22"/>
              </w:rPr>
              <w:t xml:space="preserve">10</w:t>
            </w:r>
          </w:p>
        </w:tc>
        <w:tc>
          <w:tcPr>
            <w:tcW w:w="3610" w:type="dxa"/>
            <w:vAlign w:val="center"/>
          </w:tcPr>
          <w:p>
            <w:pPr>
              <w:jc w:val="left"/>
              <w:spacing w:before="40" w:after="40" w:line="240" w:lineRule="auto"/>
            </w:pPr>
            <w:r>
              <w:rPr>
                <w:rFonts w:ascii="Times New Roman" w:hAnsi="Times New Roman" w:cs="Times New Roman"/>
                <w:sz w:val="22"/>
                <w:szCs w:val="22"/>
              </w:rPr>
              <w:t xml:space="preserve">Have you previously bought a product because an influencer recommended it?</w:t>
            </w:r>
          </w:p>
        </w:tc>
        <w:tc>
          <w:tcPr>
            <w:tcW w:w="4513" w:type="dxa"/>
            <w:vAlign w:val="center"/>
          </w:tcPr>
          <w:p>
            <w:pPr>
              <w:jc w:val="left"/>
              <w:spacing w:before="40" w:after="40" w:line="240" w:lineRule="auto"/>
            </w:pPr>
            <w:r>
              <w:rPr>
                <w:rFonts w:ascii="Times New Roman" w:hAnsi="Times New Roman" w:cs="Times New Roman"/>
                <w:sz w:val="22"/>
                <w:szCs w:val="22"/>
              </w:rPr>
              <w:t xml:space="preserve">Yes / No</w:t>
            </w:r>
          </w:p>
        </w:tc>
      </w:tr>
    </w:tbl>
    <w:p>
      <w:pPr>
        <w:spacing w:after="0"/>
        <w:rPr>
          <w:sz w:val="12"/>
        </w:rPr>
      </w:pPr>
    </w:p>
    <w:p>
      <w:pPr>
        <w:pStyle w:val="Heading2"/>
        <w:outlineLvl w:val="1"/>
      </w:pPr>
      <w:r>
        <w:rPr>
          <w:rFonts w:ascii="Times New Roman" w:hAnsi="Times New Roman" w:cs="Times New Roman"/>
          <w:sz w:val="28"/>
          <w:szCs w:val="28"/>
          <w:b/>
        </w:rPr>
        <w:t xml:space="preserve">Section B: Construct Items</w:t>
      </w:r>
    </w:p>
    <w:p>
      <w:pPr>
        <w:pStyle w:val="BodyTextX"/>
        <w:jc w:val="both"/>
        <w:spacing w:after="120" w:line="360" w:lineRule="auto"/>
      </w:pPr>
      <w:r>
        <w:rPr>
          <w:rFonts w:ascii="Times New Roman" w:hAnsi="Times New Roman" w:cs="Times New Roman"/>
          <w:sz w:val="24"/>
          <w:szCs w:val="24"/>
        </w:rPr>
        <w:t xml:space="preserve">Please answer the following statements with reference to </w:t>
      </w:r>
      <w:r>
        <w:rPr>
          <w:rFonts w:ascii="Times New Roman" w:hAnsi="Times New Roman" w:cs="Times New Roman"/>
          <w:sz w:val="24"/>
          <w:szCs w:val="24"/>
          <w:b/>
        </w:rPr>
        <w:t xml:space="preserve">one social media influencer whom you currently follow and whose content you see most often</w:t>
      </w:r>
      <w:r>
        <w:rPr>
          <w:rFonts w:ascii="Times New Roman" w:hAnsi="Times New Roman" w:cs="Times New Roman"/>
          <w:sz w:val="24"/>
          <w:szCs w:val="24"/>
        </w:rPr>
        <w:t xml:space="preserve">. Keep the same influencer in mind for all statements.</w:t>
      </w:r>
    </w:p>
    <w:p>
      <w:pPr>
        <w:pStyle w:val="BodyTextX"/>
        <w:jc w:val="both"/>
        <w:spacing w:after="120" w:line="360" w:lineRule="auto"/>
      </w:pPr>
      <w:r>
        <w:rPr>
          <w:rFonts w:ascii="Times New Roman" w:hAnsi="Times New Roman" w:cs="Times New Roman"/>
          <w:sz w:val="24"/>
          <w:szCs w:val="24"/>
          <w:i/>
        </w:rPr>
        <w:t xml:space="preserve">Scale:</w:t>
      </w:r>
      <w:r>
        <w:rPr>
          <w:rFonts w:ascii="Times New Roman" w:hAnsi="Times New Roman" w:cs="Times New Roman"/>
          <w:sz w:val="24"/>
          <w:szCs w:val="24"/>
        </w:rPr>
        <w:t xml:space="preserve"> 1 = Strongly Disagree (SD), 2 = Disagree (D), 3 = Neutral (N), 4 = Agree (A), 5 = Strongly Agree (SA)</w:t>
      </w:r>
    </w:p>
    <w:p>
      <w:pPr>
        <w:pStyle w:val="BodyTextX"/>
        <w:jc w:val="left"/>
        <w:spacing w:after="60" w:line="360" w:lineRule="auto"/>
      </w:pPr>
      <w:r>
        <w:rPr>
          <w:rFonts w:ascii="Times New Roman" w:hAnsi="Times New Roman" w:cs="Times New Roman"/>
          <w:sz w:val="24"/>
          <w:szCs w:val="24"/>
          <w:b/>
        </w:rPr>
        <w:t xml:space="preserve">B1. Social Influence (Independent Variable)</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812"/>
        <w:gridCol w:w="4603"/>
        <w:gridCol w:w="722"/>
        <w:gridCol w:w="722"/>
        <w:gridCol w:w="722"/>
        <w:gridCol w:w="722"/>
        <w:gridCol w:w="722"/>
      </w:tblGrid>
      <w:tr>
        <w:trPr>
          <w:tblHeader/>
        </w:trPr>
        <w:tc>
          <w:tcPr>
            <w:tcW w:w="81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Sr. No.</w:t>
            </w:r>
          </w:p>
        </w:tc>
        <w:tc>
          <w:tcPr>
            <w:tcW w:w="4603"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Statement</w:t>
            </w:r>
          </w:p>
        </w:tc>
        <w:tc>
          <w:tcPr>
            <w:tcW w:w="72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SD</w:t>
            </w:r>
          </w:p>
        </w:tc>
        <w:tc>
          <w:tcPr>
            <w:tcW w:w="72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D</w:t>
            </w:r>
          </w:p>
        </w:tc>
        <w:tc>
          <w:tcPr>
            <w:tcW w:w="72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N</w:t>
            </w:r>
          </w:p>
        </w:tc>
        <w:tc>
          <w:tcPr>
            <w:tcW w:w="72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A</w:t>
            </w:r>
          </w:p>
        </w:tc>
        <w:tc>
          <w:tcPr>
            <w:tcW w:w="72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SA</w:t>
            </w:r>
          </w:p>
        </w:tc>
      </w:tr>
      <w:tr>
        <w:tc>
          <w:tcPr>
            <w:tcW w:w="812" w:type="dxa"/>
            <w:vAlign w:val="center"/>
          </w:tcPr>
          <w:p>
            <w:pPr>
              <w:jc w:val="left"/>
              <w:spacing w:before="40" w:after="40" w:line="240" w:lineRule="auto"/>
            </w:pPr>
            <w:r>
              <w:rPr>
                <w:rFonts w:ascii="Times New Roman" w:hAnsi="Times New Roman" w:cs="Times New Roman"/>
                <w:sz w:val="22"/>
                <w:szCs w:val="22"/>
              </w:rPr>
              <w:t xml:space="preserve">SI1</w:t>
            </w:r>
          </w:p>
        </w:tc>
        <w:tc>
          <w:tcPr>
            <w:tcW w:w="4603" w:type="dxa"/>
            <w:vAlign w:val="center"/>
          </w:tcPr>
          <w:p>
            <w:pPr>
              <w:jc w:val="left"/>
              <w:spacing w:before="40" w:after="40" w:line="240" w:lineRule="auto"/>
            </w:pPr>
            <w:r>
              <w:rPr>
                <w:rFonts w:ascii="Times New Roman" w:hAnsi="Times New Roman" w:cs="Times New Roman"/>
                <w:sz w:val="22"/>
                <w:szCs w:val="22"/>
              </w:rPr>
              <w:t xml:space="preserve">People who are important to me think I should consider products promoted by influencers.</w:t>
            </w: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r>
      <w:tr>
        <w:tc>
          <w:tcPr>
            <w:tcW w:w="812" w:type="dxa"/>
            <w:vAlign w:val="center"/>
          </w:tcPr>
          <w:p>
            <w:pPr>
              <w:jc w:val="left"/>
              <w:spacing w:before="40" w:after="40" w:line="240" w:lineRule="auto"/>
            </w:pPr>
            <w:r>
              <w:rPr>
                <w:rFonts w:ascii="Times New Roman" w:hAnsi="Times New Roman" w:cs="Times New Roman"/>
                <w:sz w:val="22"/>
                <w:szCs w:val="22"/>
              </w:rPr>
              <w:t xml:space="preserve">SI2</w:t>
            </w:r>
          </w:p>
        </w:tc>
        <w:tc>
          <w:tcPr>
            <w:tcW w:w="4603" w:type="dxa"/>
            <w:vAlign w:val="center"/>
          </w:tcPr>
          <w:p>
            <w:pPr>
              <w:jc w:val="left"/>
              <w:spacing w:before="40" w:after="40" w:line="240" w:lineRule="auto"/>
            </w:pPr>
            <w:r>
              <w:rPr>
                <w:rFonts w:ascii="Times New Roman" w:hAnsi="Times New Roman" w:cs="Times New Roman"/>
                <w:sz w:val="22"/>
                <w:szCs w:val="22"/>
              </w:rPr>
              <w:t xml:space="preserve">My friends and social circle influence the products I consider buying after seeing influencer content.</w:t>
            </w: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r>
      <w:tr>
        <w:tc>
          <w:tcPr>
            <w:tcW w:w="812" w:type="dxa"/>
            <w:vAlign w:val="center"/>
          </w:tcPr>
          <w:p>
            <w:pPr>
              <w:jc w:val="left"/>
              <w:spacing w:before="40" w:after="40" w:line="240" w:lineRule="auto"/>
            </w:pPr>
            <w:r>
              <w:rPr>
                <w:rFonts w:ascii="Times New Roman" w:hAnsi="Times New Roman" w:cs="Times New Roman"/>
                <w:sz w:val="22"/>
                <w:szCs w:val="22"/>
              </w:rPr>
              <w:t xml:space="preserve">SI3</w:t>
            </w:r>
          </w:p>
        </w:tc>
        <w:tc>
          <w:tcPr>
            <w:tcW w:w="4603" w:type="dxa"/>
            <w:vAlign w:val="center"/>
          </w:tcPr>
          <w:p>
            <w:pPr>
              <w:jc w:val="left"/>
              <w:spacing w:before="40" w:after="40" w:line="240" w:lineRule="auto"/>
            </w:pPr>
            <w:r>
              <w:rPr>
                <w:rFonts w:ascii="Times New Roman" w:hAnsi="Times New Roman" w:cs="Times New Roman"/>
                <w:sz w:val="22"/>
                <w:szCs w:val="22"/>
              </w:rPr>
              <w:t xml:space="preserve">When many people in my network buy a product recommended by an influencer, I am more likely to consider it too.</w:t>
            </w: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r>
      <w:tr>
        <w:tc>
          <w:tcPr>
            <w:tcW w:w="812" w:type="dxa"/>
            <w:vAlign w:val="center"/>
          </w:tcPr>
          <w:p>
            <w:pPr>
              <w:jc w:val="left"/>
              <w:spacing w:before="40" w:after="40" w:line="240" w:lineRule="auto"/>
            </w:pPr>
            <w:r>
              <w:rPr>
                <w:rFonts w:ascii="Times New Roman" w:hAnsi="Times New Roman" w:cs="Times New Roman"/>
                <w:sz w:val="22"/>
                <w:szCs w:val="22"/>
              </w:rPr>
              <w:t xml:space="preserve">SI4</w:t>
            </w:r>
          </w:p>
        </w:tc>
        <w:tc>
          <w:tcPr>
            <w:tcW w:w="4603" w:type="dxa"/>
            <w:vAlign w:val="center"/>
          </w:tcPr>
          <w:p>
            <w:pPr>
              <w:jc w:val="left"/>
              <w:spacing w:before="40" w:after="40" w:line="240" w:lineRule="auto"/>
            </w:pPr>
            <w:r>
              <w:rPr>
                <w:rFonts w:ascii="Times New Roman" w:hAnsi="Times New Roman" w:cs="Times New Roman"/>
                <w:sz w:val="22"/>
                <w:szCs w:val="22"/>
              </w:rPr>
              <w:t xml:space="preserve">Reviews and comments from other users on influencer posts affect what I intend to buy.</w:t>
            </w: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r>
    </w:tbl>
    <w:p>
      <w:pPr>
        <w:spacing w:after="0"/>
        <w:rPr>
          <w:sz w:val="12"/>
        </w:rPr>
      </w:pPr>
    </w:p>
    <w:p>
      <w:pPr>
        <w:pStyle w:val="BodyTextX"/>
        <w:jc w:val="left"/>
        <w:spacing w:after="60" w:line="360" w:lineRule="auto"/>
      </w:pPr>
      <w:r>
        <w:rPr>
          <w:rFonts w:ascii="Times New Roman" w:hAnsi="Times New Roman" w:cs="Times New Roman"/>
          <w:sz w:val="24"/>
          <w:szCs w:val="24"/>
          <w:b/>
        </w:rPr>
        <w:t xml:space="preserve">B2. Content Quality (Independent Variable)</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812"/>
        <w:gridCol w:w="4603"/>
        <w:gridCol w:w="722"/>
        <w:gridCol w:w="722"/>
        <w:gridCol w:w="722"/>
        <w:gridCol w:w="722"/>
        <w:gridCol w:w="722"/>
      </w:tblGrid>
      <w:tr>
        <w:trPr>
          <w:tblHeader/>
        </w:trPr>
        <w:tc>
          <w:tcPr>
            <w:tcW w:w="81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Sr. No.</w:t>
            </w:r>
          </w:p>
        </w:tc>
        <w:tc>
          <w:tcPr>
            <w:tcW w:w="4603"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Statement</w:t>
            </w:r>
          </w:p>
        </w:tc>
        <w:tc>
          <w:tcPr>
            <w:tcW w:w="72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SD</w:t>
            </w:r>
          </w:p>
        </w:tc>
        <w:tc>
          <w:tcPr>
            <w:tcW w:w="72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D</w:t>
            </w:r>
          </w:p>
        </w:tc>
        <w:tc>
          <w:tcPr>
            <w:tcW w:w="72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N</w:t>
            </w:r>
          </w:p>
        </w:tc>
        <w:tc>
          <w:tcPr>
            <w:tcW w:w="72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A</w:t>
            </w:r>
          </w:p>
        </w:tc>
        <w:tc>
          <w:tcPr>
            <w:tcW w:w="72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SA</w:t>
            </w:r>
          </w:p>
        </w:tc>
      </w:tr>
      <w:tr>
        <w:tc>
          <w:tcPr>
            <w:tcW w:w="812" w:type="dxa"/>
            <w:vAlign w:val="center"/>
          </w:tcPr>
          <w:p>
            <w:pPr>
              <w:jc w:val="left"/>
              <w:spacing w:before="40" w:after="40" w:line="240" w:lineRule="auto"/>
            </w:pPr>
            <w:r>
              <w:rPr>
                <w:rFonts w:ascii="Times New Roman" w:hAnsi="Times New Roman" w:cs="Times New Roman"/>
                <w:sz w:val="22"/>
                <w:szCs w:val="22"/>
              </w:rPr>
              <w:t xml:space="preserve">CQ1</w:t>
            </w:r>
          </w:p>
        </w:tc>
        <w:tc>
          <w:tcPr>
            <w:tcW w:w="4603" w:type="dxa"/>
            <w:vAlign w:val="center"/>
          </w:tcPr>
          <w:p>
            <w:pPr>
              <w:jc w:val="left"/>
              <w:spacing w:before="40" w:after="40" w:line="240" w:lineRule="auto"/>
            </w:pPr>
            <w:r>
              <w:rPr>
                <w:rFonts w:ascii="Times New Roman" w:hAnsi="Times New Roman" w:cs="Times New Roman"/>
                <w:sz w:val="22"/>
                <w:szCs w:val="22"/>
              </w:rPr>
              <w:t xml:space="preserve">The influencer's posts give me useful information about the products shown.</w:t>
            </w: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r>
      <w:tr>
        <w:tc>
          <w:tcPr>
            <w:tcW w:w="812" w:type="dxa"/>
            <w:vAlign w:val="center"/>
          </w:tcPr>
          <w:p>
            <w:pPr>
              <w:jc w:val="left"/>
              <w:spacing w:before="40" w:after="40" w:line="240" w:lineRule="auto"/>
            </w:pPr>
            <w:r>
              <w:rPr>
                <w:rFonts w:ascii="Times New Roman" w:hAnsi="Times New Roman" w:cs="Times New Roman"/>
                <w:sz w:val="22"/>
                <w:szCs w:val="22"/>
              </w:rPr>
              <w:t xml:space="preserve">CQ2</w:t>
            </w:r>
          </w:p>
        </w:tc>
        <w:tc>
          <w:tcPr>
            <w:tcW w:w="4603" w:type="dxa"/>
            <w:vAlign w:val="center"/>
          </w:tcPr>
          <w:p>
            <w:pPr>
              <w:jc w:val="left"/>
              <w:spacing w:before="40" w:after="40" w:line="240" w:lineRule="auto"/>
            </w:pPr>
            <w:r>
              <w:rPr>
                <w:rFonts w:ascii="Times New Roman" w:hAnsi="Times New Roman" w:cs="Times New Roman"/>
                <w:sz w:val="22"/>
                <w:szCs w:val="22"/>
              </w:rPr>
              <w:t xml:space="preserve">The information in the influencer's content is accurate and complete.</w:t>
            </w: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r>
      <w:tr>
        <w:tc>
          <w:tcPr>
            <w:tcW w:w="812" w:type="dxa"/>
            <w:vAlign w:val="center"/>
          </w:tcPr>
          <w:p>
            <w:pPr>
              <w:jc w:val="left"/>
              <w:spacing w:before="40" w:after="40" w:line="240" w:lineRule="auto"/>
            </w:pPr>
            <w:r>
              <w:rPr>
                <w:rFonts w:ascii="Times New Roman" w:hAnsi="Times New Roman" w:cs="Times New Roman"/>
                <w:sz w:val="22"/>
                <w:szCs w:val="22"/>
              </w:rPr>
              <w:t xml:space="preserve">CQ3</w:t>
            </w:r>
          </w:p>
        </w:tc>
        <w:tc>
          <w:tcPr>
            <w:tcW w:w="4603" w:type="dxa"/>
            <w:vAlign w:val="center"/>
          </w:tcPr>
          <w:p>
            <w:pPr>
              <w:jc w:val="left"/>
              <w:spacing w:before="40" w:after="40" w:line="240" w:lineRule="auto"/>
            </w:pPr>
            <w:r>
              <w:rPr>
                <w:rFonts w:ascii="Times New Roman" w:hAnsi="Times New Roman" w:cs="Times New Roman"/>
                <w:sz w:val="22"/>
                <w:szCs w:val="22"/>
              </w:rPr>
              <w:t xml:space="preserve">The influencer's content is relevant to my interests and needs.</w:t>
            </w: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r>
      <w:tr>
        <w:tc>
          <w:tcPr>
            <w:tcW w:w="812" w:type="dxa"/>
            <w:vAlign w:val="center"/>
          </w:tcPr>
          <w:p>
            <w:pPr>
              <w:jc w:val="left"/>
              <w:spacing w:before="40" w:after="40" w:line="240" w:lineRule="auto"/>
            </w:pPr>
            <w:r>
              <w:rPr>
                <w:rFonts w:ascii="Times New Roman" w:hAnsi="Times New Roman" w:cs="Times New Roman"/>
                <w:sz w:val="22"/>
                <w:szCs w:val="22"/>
              </w:rPr>
              <w:t xml:space="preserve">CQ4</w:t>
            </w:r>
          </w:p>
        </w:tc>
        <w:tc>
          <w:tcPr>
            <w:tcW w:w="4603" w:type="dxa"/>
            <w:vAlign w:val="center"/>
          </w:tcPr>
          <w:p>
            <w:pPr>
              <w:jc w:val="left"/>
              <w:spacing w:before="40" w:after="40" w:line="240" w:lineRule="auto"/>
            </w:pPr>
            <w:r>
              <w:rPr>
                <w:rFonts w:ascii="Times New Roman" w:hAnsi="Times New Roman" w:cs="Times New Roman"/>
                <w:sz w:val="22"/>
                <w:szCs w:val="22"/>
              </w:rPr>
              <w:t xml:space="preserve">The influencer's posts are well produced and clearly presented.</w:t>
            </w: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r>
    </w:tbl>
    <w:p>
      <w:pPr>
        <w:spacing w:after="0"/>
        <w:rPr>
          <w:sz w:val="12"/>
        </w:rPr>
      </w:pPr>
    </w:p>
    <w:p>
      <w:pPr>
        <w:pStyle w:val="BodyTextX"/>
        <w:jc w:val="left"/>
        <w:spacing w:after="60" w:line="360" w:lineRule="auto"/>
      </w:pPr>
      <w:r>
        <w:rPr>
          <w:rFonts w:ascii="Times New Roman" w:hAnsi="Times New Roman" w:cs="Times New Roman"/>
          <w:sz w:val="24"/>
          <w:szCs w:val="24"/>
          <w:b/>
        </w:rPr>
        <w:t xml:space="preserve">B3. Influencer Expertise (Independent Variable)</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812"/>
        <w:gridCol w:w="4603"/>
        <w:gridCol w:w="722"/>
        <w:gridCol w:w="722"/>
        <w:gridCol w:w="722"/>
        <w:gridCol w:w="722"/>
        <w:gridCol w:w="722"/>
      </w:tblGrid>
      <w:tr>
        <w:trPr>
          <w:tblHeader/>
        </w:trPr>
        <w:tc>
          <w:tcPr>
            <w:tcW w:w="81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Sr. No.</w:t>
            </w:r>
          </w:p>
        </w:tc>
        <w:tc>
          <w:tcPr>
            <w:tcW w:w="4603"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Statement</w:t>
            </w:r>
          </w:p>
        </w:tc>
        <w:tc>
          <w:tcPr>
            <w:tcW w:w="72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SD</w:t>
            </w:r>
          </w:p>
        </w:tc>
        <w:tc>
          <w:tcPr>
            <w:tcW w:w="72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D</w:t>
            </w:r>
          </w:p>
        </w:tc>
        <w:tc>
          <w:tcPr>
            <w:tcW w:w="72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N</w:t>
            </w:r>
          </w:p>
        </w:tc>
        <w:tc>
          <w:tcPr>
            <w:tcW w:w="72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A</w:t>
            </w:r>
          </w:p>
        </w:tc>
        <w:tc>
          <w:tcPr>
            <w:tcW w:w="72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SA</w:t>
            </w:r>
          </w:p>
        </w:tc>
      </w:tr>
      <w:tr>
        <w:tc>
          <w:tcPr>
            <w:tcW w:w="812" w:type="dxa"/>
            <w:vAlign w:val="center"/>
          </w:tcPr>
          <w:p>
            <w:pPr>
              <w:jc w:val="left"/>
              <w:spacing w:before="40" w:after="40" w:line="240" w:lineRule="auto"/>
            </w:pPr>
            <w:r>
              <w:rPr>
                <w:rFonts w:ascii="Times New Roman" w:hAnsi="Times New Roman" w:cs="Times New Roman"/>
                <w:sz w:val="22"/>
                <w:szCs w:val="22"/>
              </w:rPr>
              <w:t xml:space="preserve">EX1</w:t>
            </w:r>
          </w:p>
        </w:tc>
        <w:tc>
          <w:tcPr>
            <w:tcW w:w="4603" w:type="dxa"/>
            <w:vAlign w:val="center"/>
          </w:tcPr>
          <w:p>
            <w:pPr>
              <w:jc w:val="left"/>
              <w:spacing w:before="40" w:after="40" w:line="240" w:lineRule="auto"/>
            </w:pPr>
            <w:r>
              <w:rPr>
                <w:rFonts w:ascii="Times New Roman" w:hAnsi="Times New Roman" w:cs="Times New Roman"/>
                <w:sz w:val="22"/>
                <w:szCs w:val="22"/>
              </w:rPr>
              <w:t xml:space="preserve">This influencer is knowledgeable about the product category he or she posts about.</w:t>
            </w: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r>
      <w:tr>
        <w:tc>
          <w:tcPr>
            <w:tcW w:w="812" w:type="dxa"/>
            <w:vAlign w:val="center"/>
          </w:tcPr>
          <w:p>
            <w:pPr>
              <w:jc w:val="left"/>
              <w:spacing w:before="40" w:after="40" w:line="240" w:lineRule="auto"/>
            </w:pPr>
            <w:r>
              <w:rPr>
                <w:rFonts w:ascii="Times New Roman" w:hAnsi="Times New Roman" w:cs="Times New Roman"/>
                <w:sz w:val="22"/>
                <w:szCs w:val="22"/>
              </w:rPr>
              <w:t xml:space="preserve">EX2</w:t>
            </w:r>
          </w:p>
        </w:tc>
        <w:tc>
          <w:tcPr>
            <w:tcW w:w="4603" w:type="dxa"/>
            <w:vAlign w:val="center"/>
          </w:tcPr>
          <w:p>
            <w:pPr>
              <w:jc w:val="left"/>
              <w:spacing w:before="40" w:after="40" w:line="240" w:lineRule="auto"/>
            </w:pPr>
            <w:r>
              <w:rPr>
                <w:rFonts w:ascii="Times New Roman" w:hAnsi="Times New Roman" w:cs="Times New Roman"/>
                <w:sz w:val="22"/>
                <w:szCs w:val="22"/>
              </w:rPr>
              <w:t xml:space="preserve">This influencer has the experience needed to judge the products he or she recommends.</w:t>
            </w: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r>
      <w:tr>
        <w:tc>
          <w:tcPr>
            <w:tcW w:w="812" w:type="dxa"/>
            <w:vAlign w:val="center"/>
          </w:tcPr>
          <w:p>
            <w:pPr>
              <w:jc w:val="left"/>
              <w:spacing w:before="40" w:after="40" w:line="240" w:lineRule="auto"/>
            </w:pPr>
            <w:r>
              <w:rPr>
                <w:rFonts w:ascii="Times New Roman" w:hAnsi="Times New Roman" w:cs="Times New Roman"/>
                <w:sz w:val="22"/>
                <w:szCs w:val="22"/>
              </w:rPr>
              <w:t xml:space="preserve">EX3</w:t>
            </w:r>
          </w:p>
        </w:tc>
        <w:tc>
          <w:tcPr>
            <w:tcW w:w="4603" w:type="dxa"/>
            <w:vAlign w:val="center"/>
          </w:tcPr>
          <w:p>
            <w:pPr>
              <w:jc w:val="left"/>
              <w:spacing w:before="40" w:after="40" w:line="240" w:lineRule="auto"/>
            </w:pPr>
            <w:r>
              <w:rPr>
                <w:rFonts w:ascii="Times New Roman" w:hAnsi="Times New Roman" w:cs="Times New Roman"/>
                <w:sz w:val="22"/>
                <w:szCs w:val="22"/>
              </w:rPr>
              <w:t xml:space="preserve">This influencer is qualified to give advice in his or her area of content.</w:t>
            </w: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r>
      <w:tr>
        <w:tc>
          <w:tcPr>
            <w:tcW w:w="812" w:type="dxa"/>
            <w:vAlign w:val="center"/>
          </w:tcPr>
          <w:p>
            <w:pPr>
              <w:jc w:val="left"/>
              <w:spacing w:before="40" w:after="40" w:line="240" w:lineRule="auto"/>
            </w:pPr>
            <w:r>
              <w:rPr>
                <w:rFonts w:ascii="Times New Roman" w:hAnsi="Times New Roman" w:cs="Times New Roman"/>
                <w:sz w:val="22"/>
                <w:szCs w:val="22"/>
              </w:rPr>
              <w:t xml:space="preserve">EX4</w:t>
            </w:r>
          </w:p>
        </w:tc>
        <w:tc>
          <w:tcPr>
            <w:tcW w:w="4603" w:type="dxa"/>
            <w:vAlign w:val="center"/>
          </w:tcPr>
          <w:p>
            <w:pPr>
              <w:jc w:val="left"/>
              <w:spacing w:before="40" w:after="40" w:line="240" w:lineRule="auto"/>
            </w:pPr>
            <w:r>
              <w:rPr>
                <w:rFonts w:ascii="Times New Roman" w:hAnsi="Times New Roman" w:cs="Times New Roman"/>
                <w:sz w:val="22"/>
                <w:szCs w:val="22"/>
              </w:rPr>
              <w:t xml:space="preserve">This influencer seems well informed compared with other influencers I follow.</w:t>
            </w: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r>
    </w:tbl>
    <w:p>
      <w:pPr>
        <w:spacing w:after="0"/>
        <w:rPr>
          <w:sz w:val="12"/>
        </w:rPr>
      </w:pPr>
    </w:p>
    <w:p>
      <w:pPr>
        <w:pStyle w:val="BodyTextX"/>
        <w:jc w:val="left"/>
        <w:spacing w:after="60" w:line="360" w:lineRule="auto"/>
      </w:pPr>
      <w:r>
        <w:rPr>
          <w:rFonts w:ascii="Times New Roman" w:hAnsi="Times New Roman" w:cs="Times New Roman"/>
          <w:sz w:val="24"/>
          <w:szCs w:val="24"/>
          <w:b/>
        </w:rPr>
        <w:t xml:space="preserve">B4. Trust in Influencers (Mediating Variable)</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812"/>
        <w:gridCol w:w="4603"/>
        <w:gridCol w:w="722"/>
        <w:gridCol w:w="722"/>
        <w:gridCol w:w="722"/>
        <w:gridCol w:w="722"/>
        <w:gridCol w:w="722"/>
      </w:tblGrid>
      <w:tr>
        <w:trPr>
          <w:tblHeader/>
        </w:trPr>
        <w:tc>
          <w:tcPr>
            <w:tcW w:w="81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Sr. No.</w:t>
            </w:r>
          </w:p>
        </w:tc>
        <w:tc>
          <w:tcPr>
            <w:tcW w:w="4603"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Statement</w:t>
            </w:r>
          </w:p>
        </w:tc>
        <w:tc>
          <w:tcPr>
            <w:tcW w:w="72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SD</w:t>
            </w:r>
          </w:p>
        </w:tc>
        <w:tc>
          <w:tcPr>
            <w:tcW w:w="72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D</w:t>
            </w:r>
          </w:p>
        </w:tc>
        <w:tc>
          <w:tcPr>
            <w:tcW w:w="72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N</w:t>
            </w:r>
          </w:p>
        </w:tc>
        <w:tc>
          <w:tcPr>
            <w:tcW w:w="72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A</w:t>
            </w:r>
          </w:p>
        </w:tc>
        <w:tc>
          <w:tcPr>
            <w:tcW w:w="72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SA</w:t>
            </w:r>
          </w:p>
        </w:tc>
      </w:tr>
      <w:tr>
        <w:tc>
          <w:tcPr>
            <w:tcW w:w="812" w:type="dxa"/>
            <w:vAlign w:val="center"/>
          </w:tcPr>
          <w:p>
            <w:pPr>
              <w:jc w:val="left"/>
              <w:spacing w:before="40" w:after="40" w:line="240" w:lineRule="auto"/>
            </w:pPr>
            <w:r>
              <w:rPr>
                <w:rFonts w:ascii="Times New Roman" w:hAnsi="Times New Roman" w:cs="Times New Roman"/>
                <w:sz w:val="22"/>
                <w:szCs w:val="22"/>
              </w:rPr>
              <w:t xml:space="preserve">TR1</w:t>
            </w:r>
          </w:p>
        </w:tc>
        <w:tc>
          <w:tcPr>
            <w:tcW w:w="4603" w:type="dxa"/>
            <w:vAlign w:val="center"/>
          </w:tcPr>
          <w:p>
            <w:pPr>
              <w:jc w:val="left"/>
              <w:spacing w:before="40" w:after="40" w:line="240" w:lineRule="auto"/>
            </w:pPr>
            <w:r>
              <w:rPr>
                <w:rFonts w:ascii="Times New Roman" w:hAnsi="Times New Roman" w:cs="Times New Roman"/>
                <w:sz w:val="22"/>
                <w:szCs w:val="22"/>
              </w:rPr>
              <w:t xml:space="preserve">I believe the product recommendations made by this influencer are honest.</w:t>
            </w: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r>
      <w:tr>
        <w:tc>
          <w:tcPr>
            <w:tcW w:w="812" w:type="dxa"/>
            <w:vAlign w:val="center"/>
          </w:tcPr>
          <w:p>
            <w:pPr>
              <w:jc w:val="left"/>
              <w:spacing w:before="40" w:after="40" w:line="240" w:lineRule="auto"/>
            </w:pPr>
            <w:r>
              <w:rPr>
                <w:rFonts w:ascii="Times New Roman" w:hAnsi="Times New Roman" w:cs="Times New Roman"/>
                <w:sz w:val="22"/>
                <w:szCs w:val="22"/>
              </w:rPr>
              <w:t xml:space="preserve">TR2</w:t>
            </w:r>
          </w:p>
        </w:tc>
        <w:tc>
          <w:tcPr>
            <w:tcW w:w="4603" w:type="dxa"/>
            <w:vAlign w:val="center"/>
          </w:tcPr>
          <w:p>
            <w:pPr>
              <w:jc w:val="left"/>
              <w:spacing w:before="40" w:after="40" w:line="240" w:lineRule="auto"/>
            </w:pPr>
            <w:r>
              <w:rPr>
                <w:rFonts w:ascii="Times New Roman" w:hAnsi="Times New Roman" w:cs="Times New Roman"/>
                <w:sz w:val="22"/>
                <w:szCs w:val="22"/>
              </w:rPr>
              <w:t xml:space="preserve">I can rely on what this influencer says about a product.</w:t>
            </w: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r>
      <w:tr>
        <w:tc>
          <w:tcPr>
            <w:tcW w:w="812" w:type="dxa"/>
            <w:vAlign w:val="center"/>
          </w:tcPr>
          <w:p>
            <w:pPr>
              <w:jc w:val="left"/>
              <w:spacing w:before="40" w:after="40" w:line="240" w:lineRule="auto"/>
            </w:pPr>
            <w:r>
              <w:rPr>
                <w:rFonts w:ascii="Times New Roman" w:hAnsi="Times New Roman" w:cs="Times New Roman"/>
                <w:sz w:val="22"/>
                <w:szCs w:val="22"/>
              </w:rPr>
              <w:t xml:space="preserve">TR3</w:t>
            </w:r>
          </w:p>
        </w:tc>
        <w:tc>
          <w:tcPr>
            <w:tcW w:w="4603" w:type="dxa"/>
            <w:vAlign w:val="center"/>
          </w:tcPr>
          <w:p>
            <w:pPr>
              <w:jc w:val="left"/>
              <w:spacing w:before="40" w:after="40" w:line="240" w:lineRule="auto"/>
            </w:pPr>
            <w:r>
              <w:rPr>
                <w:rFonts w:ascii="Times New Roman" w:hAnsi="Times New Roman" w:cs="Times New Roman"/>
                <w:sz w:val="22"/>
                <w:szCs w:val="22"/>
              </w:rPr>
              <w:t xml:space="preserve">This influencer keeps the interests of followers in view when recommending products.</w:t>
            </w: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r>
      <w:tr>
        <w:tc>
          <w:tcPr>
            <w:tcW w:w="812" w:type="dxa"/>
            <w:vAlign w:val="center"/>
          </w:tcPr>
          <w:p>
            <w:pPr>
              <w:jc w:val="left"/>
              <w:spacing w:before="40" w:after="40" w:line="240" w:lineRule="auto"/>
            </w:pPr>
            <w:r>
              <w:rPr>
                <w:rFonts w:ascii="Times New Roman" w:hAnsi="Times New Roman" w:cs="Times New Roman"/>
                <w:sz w:val="22"/>
                <w:szCs w:val="22"/>
              </w:rPr>
              <w:t xml:space="preserve">TR4</w:t>
            </w:r>
          </w:p>
        </w:tc>
        <w:tc>
          <w:tcPr>
            <w:tcW w:w="4603" w:type="dxa"/>
            <w:vAlign w:val="center"/>
          </w:tcPr>
          <w:p>
            <w:pPr>
              <w:jc w:val="left"/>
              <w:spacing w:before="40" w:after="40" w:line="240" w:lineRule="auto"/>
            </w:pPr>
            <w:r>
              <w:rPr>
                <w:rFonts w:ascii="Times New Roman" w:hAnsi="Times New Roman" w:cs="Times New Roman"/>
                <w:sz w:val="22"/>
                <w:szCs w:val="22"/>
              </w:rPr>
              <w:t xml:space="preserve">I trust the sponsored or branded posts shared by this influencer.</w:t>
            </w: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r>
    </w:tbl>
    <w:p>
      <w:pPr>
        <w:spacing w:after="0"/>
        <w:rPr>
          <w:sz w:val="12"/>
        </w:rPr>
      </w:pPr>
    </w:p>
    <w:p>
      <w:pPr>
        <w:pStyle w:val="BodyTextX"/>
        <w:jc w:val="left"/>
        <w:spacing w:after="60" w:line="360" w:lineRule="auto"/>
      </w:pPr>
      <w:r>
        <w:rPr>
          <w:rFonts w:ascii="Times New Roman" w:hAnsi="Times New Roman" w:cs="Times New Roman"/>
          <w:sz w:val="24"/>
          <w:szCs w:val="24"/>
          <w:b/>
        </w:rPr>
        <w:t xml:space="preserve">B5. Gen Z Purchase Intention (Dependent Variable)</w:t>
      </w: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812"/>
        <w:gridCol w:w="4603"/>
        <w:gridCol w:w="722"/>
        <w:gridCol w:w="722"/>
        <w:gridCol w:w="722"/>
        <w:gridCol w:w="722"/>
        <w:gridCol w:w="722"/>
      </w:tblGrid>
      <w:tr>
        <w:trPr>
          <w:tblHeader/>
        </w:trPr>
        <w:tc>
          <w:tcPr>
            <w:tcW w:w="81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Sr. No.</w:t>
            </w:r>
          </w:p>
        </w:tc>
        <w:tc>
          <w:tcPr>
            <w:tcW w:w="4603"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Statement</w:t>
            </w:r>
          </w:p>
        </w:tc>
        <w:tc>
          <w:tcPr>
            <w:tcW w:w="72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SD</w:t>
            </w:r>
          </w:p>
        </w:tc>
        <w:tc>
          <w:tcPr>
            <w:tcW w:w="72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D</w:t>
            </w:r>
          </w:p>
        </w:tc>
        <w:tc>
          <w:tcPr>
            <w:tcW w:w="72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N</w:t>
            </w:r>
          </w:p>
        </w:tc>
        <w:tc>
          <w:tcPr>
            <w:tcW w:w="72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A</w:t>
            </w:r>
          </w:p>
        </w:tc>
        <w:tc>
          <w:tcPr>
            <w:tcW w:w="722" w:type="dxa"/>
            <w:shd w:val="clear" w:color="auto" w:fill="E8E8E8"/>
            <w:vAlign w:val="center"/>
          </w:tcPr>
          <w:p>
            <w:pPr>
              <w:jc w:val="center"/>
              <w:spacing w:before="40" w:after="40" w:line="240" w:lineRule="auto"/>
            </w:pPr>
            <w:r>
              <w:rPr>
                <w:rFonts w:ascii="Times New Roman" w:hAnsi="Times New Roman" w:cs="Times New Roman"/>
                <w:sz w:val="22"/>
                <w:szCs w:val="22"/>
                <w:b/>
              </w:rPr>
              <w:t xml:space="preserve">SA</w:t>
            </w:r>
          </w:p>
        </w:tc>
      </w:tr>
      <w:tr>
        <w:tc>
          <w:tcPr>
            <w:tcW w:w="812" w:type="dxa"/>
            <w:vAlign w:val="center"/>
          </w:tcPr>
          <w:p>
            <w:pPr>
              <w:jc w:val="left"/>
              <w:spacing w:before="40" w:after="40" w:line="240" w:lineRule="auto"/>
            </w:pPr>
            <w:r>
              <w:rPr>
                <w:rFonts w:ascii="Times New Roman" w:hAnsi="Times New Roman" w:cs="Times New Roman"/>
                <w:sz w:val="22"/>
                <w:szCs w:val="22"/>
              </w:rPr>
              <w:t xml:space="preserve">PI1</w:t>
            </w:r>
          </w:p>
        </w:tc>
        <w:tc>
          <w:tcPr>
            <w:tcW w:w="4603" w:type="dxa"/>
            <w:vAlign w:val="center"/>
          </w:tcPr>
          <w:p>
            <w:pPr>
              <w:jc w:val="left"/>
              <w:spacing w:before="40" w:after="40" w:line="240" w:lineRule="auto"/>
            </w:pPr>
            <w:r>
              <w:rPr>
                <w:rFonts w:ascii="Times New Roman" w:hAnsi="Times New Roman" w:cs="Times New Roman"/>
                <w:sz w:val="22"/>
                <w:szCs w:val="22"/>
              </w:rPr>
              <w:t xml:space="preserve">I would consider buying a product recommended by this influencer.</w:t>
            </w: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r>
      <w:tr>
        <w:tc>
          <w:tcPr>
            <w:tcW w:w="812" w:type="dxa"/>
            <w:vAlign w:val="center"/>
          </w:tcPr>
          <w:p>
            <w:pPr>
              <w:jc w:val="left"/>
              <w:spacing w:before="40" w:after="40" w:line="240" w:lineRule="auto"/>
            </w:pPr>
            <w:r>
              <w:rPr>
                <w:rFonts w:ascii="Times New Roman" w:hAnsi="Times New Roman" w:cs="Times New Roman"/>
                <w:sz w:val="22"/>
                <w:szCs w:val="22"/>
              </w:rPr>
              <w:t xml:space="preserve">PI2</w:t>
            </w:r>
          </w:p>
        </w:tc>
        <w:tc>
          <w:tcPr>
            <w:tcW w:w="4603" w:type="dxa"/>
            <w:vAlign w:val="center"/>
          </w:tcPr>
          <w:p>
            <w:pPr>
              <w:jc w:val="left"/>
              <w:spacing w:before="40" w:after="40" w:line="240" w:lineRule="auto"/>
            </w:pPr>
            <w:r>
              <w:rPr>
                <w:rFonts w:ascii="Times New Roman" w:hAnsi="Times New Roman" w:cs="Times New Roman"/>
                <w:sz w:val="22"/>
                <w:szCs w:val="22"/>
              </w:rPr>
              <w:t xml:space="preserve">I am likely to try a product if this influencer promotes it.</w:t>
            </w: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r>
      <w:tr>
        <w:tc>
          <w:tcPr>
            <w:tcW w:w="812" w:type="dxa"/>
            <w:vAlign w:val="center"/>
          </w:tcPr>
          <w:p>
            <w:pPr>
              <w:jc w:val="left"/>
              <w:spacing w:before="40" w:after="40" w:line="240" w:lineRule="auto"/>
            </w:pPr>
            <w:r>
              <w:rPr>
                <w:rFonts w:ascii="Times New Roman" w:hAnsi="Times New Roman" w:cs="Times New Roman"/>
                <w:sz w:val="22"/>
                <w:szCs w:val="22"/>
              </w:rPr>
              <w:t xml:space="preserve">PI3</w:t>
            </w:r>
          </w:p>
        </w:tc>
        <w:tc>
          <w:tcPr>
            <w:tcW w:w="4603" w:type="dxa"/>
            <w:vAlign w:val="center"/>
          </w:tcPr>
          <w:p>
            <w:pPr>
              <w:jc w:val="left"/>
              <w:spacing w:before="40" w:after="40" w:line="240" w:lineRule="auto"/>
            </w:pPr>
            <w:r>
              <w:rPr>
                <w:rFonts w:ascii="Times New Roman" w:hAnsi="Times New Roman" w:cs="Times New Roman"/>
                <w:sz w:val="22"/>
                <w:szCs w:val="22"/>
              </w:rPr>
              <w:t xml:space="preserve">I would recommend a product endorsed by this influencer to others.</w:t>
            </w: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c>
          <w:tcPr>
            <w:tcW w:w="722" w:type="dxa"/>
            <w:vAlign w:val="center"/>
          </w:tcPr>
          <w:p>
            <w:pPr>
              <w:jc w:val="left"/>
              <w:spacing w:before="40" w:after="40" w:line="240" w:lineRule="auto"/>
            </w:pPr>
          </w:p>
        </w:tc>
      </w:tr>
    </w:tbl>
    <w:p>
      <w:pPr>
        <w:spacing w:after="0"/>
        <w:rPr>
          <w:sz w:val="12"/>
        </w:rPr>
      </w:pPr>
    </w:p>
    <w:p>
      <w:pPr>
        <w:pStyle w:val="BodyTextX"/>
        <w:jc w:val="left"/>
        <w:spacing w:after="120" w:line="360" w:lineRule="auto"/>
      </w:pPr>
      <w:r>
        <w:rPr>
          <w:rFonts w:ascii="Times New Roman" w:hAnsi="Times New Roman" w:cs="Times New Roman"/>
          <w:sz w:val="24"/>
          <w:szCs w:val="24"/>
        </w:rPr>
        <w:t xml:space="preserve">Thank you for your time and responses.</w:t>
      </w:r>
    </w:p>
    <w:sectPr>
      <w:footerReference w:type="default" r:id="rIdFooter1"/>
      <w:pgSz w:w="11906" w:h="16838"/>
      <w:pgMar w:top="1440" w:right="1440" w:bottom="1440" w:left="1440" w:header="720" w:footer="720" w:gutter="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center"/>
    </w:pPr>
    <w:r>
      <w:rPr>
        <w:rFonts w:ascii="Times New Roman" w:hAnsi="Times New Roman"/>
        <w:sz w:val="20"/>
      </w:rPr>
    </w:r>
    <w:r>
      <w:fldChar w:fldCharType="begin"/>
    </w:r>
    <w:r>
      <w:instrText xml:space="preserve"> PAGE </w:instrText>
    </w:r>
    <w:r>
      <w:fldChar w:fldCharType="separate"/>
    </w:r>
    <w:r>
      <w:rPr>
        <w:rFonts w:ascii="Times New Roman" w:hAnsi="Times New Roman"/>
        <w:sz w:val="20"/>
      </w:rPr>
      <w:t>1</w:t>
    </w:r>
    <w:r>
      <w:fldChar w:fldCharType="end"/>
    </w:r>
  </w:p>
</w:ftr>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zoom w:percent="100"/>
  <w:updateFields w:val="true"/>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Times New Roman" w:cs="Times New Roman"/>
        <w:sz w:val="24"/>
        <w:szCs w:val="24"/>
      </w:rPr>
    </w:rPrDefault>
    <w:pPrDefault>
      <w:pPr>
        <w:spacing w:after="120" w:line="360" w:lineRule="auto"/>
      </w:pPr>
    </w:pPrDefault>
  </w:docDefaults>
  <w:style w:type="paragraph" w:default="1" w:styleId="Normal">
    <w:name w:val="Normal"/>
    <w:qFormat/>
  </w:style>
  <w:style w:type="paragraph" w:styleId="BodyTextX">
    <w:name w:val="Body Text X"/>
    <w:basedOn w:val="Normal"/>
    <w:pPr>
      <w:jc w:val="both"/>
      <w:spacing w:after="120" w:line="360" w:lineRule="auto"/>
    </w:pPr>
  </w:style>
  <w:style w:type="paragraph" w:styleId="TOCEntry">
    <w:name w:val="toc 1"/>
    <w:basedOn w:val="Normal"/>
    <w:pPr>
      <w:spacing w:after="60" w:line="240" w:lineRule="auto"/>
    </w:pPr>
  </w:style>
  <w:style w:type="paragraph" w:styleId="Heading1">
    <w:name w:val="heading 1"/>
    <w:basedOn w:val="Normal"/>
    <w:next w:val="Normal"/>
    <w:qFormat/>
    <w:pPr>
      <w:keepNext/>
      <w:outlineLvl w:val="0"/>
      <w:spacing w:before="320" w:after="200" w:line="276" w:lineRule="auto"/>
      <w:jc w:val="left"/>
    </w:pPr>
    <w:rPr>
      <w:rFonts w:ascii="Times New Roman" w:hAnsi="Times New Roman" w:cs="Times New Roman"/>
      <w:b/>
      <w:sz w:val="32"/>
      <w:szCs w:val="32"/>
    </w:rPr>
  </w:style>
  <w:style w:type="paragraph" w:styleId="Heading2">
    <w:name w:val="heading 2"/>
    <w:basedOn w:val="Normal"/>
    <w:next w:val="Normal"/>
    <w:qFormat/>
    <w:pPr>
      <w:keepNext/>
      <w:outlineLvl w:val="1"/>
      <w:spacing w:before="260" w:after="160" w:line="276" w:lineRule="auto"/>
      <w:jc w:val="left"/>
    </w:pPr>
    <w:rPr>
      <w:rFonts w:ascii="Times New Roman" w:hAnsi="Times New Roman" w:cs="Times New Roman"/>
      <w:b/>
      <w:sz w:val="28"/>
      <w:szCs w:val="28"/>
    </w:rPr>
  </w:style>
  <w:style w:type="paragraph" w:styleId="Heading3">
    <w:name w:val="heading 3"/>
    <w:basedOn w:val="Normal"/>
    <w:next w:val="Normal"/>
    <w:qFormat/>
    <w:pPr>
      <w:keepNext/>
      <w:outlineLvl w:val="2"/>
      <w:spacing w:before="220" w:after="140" w:line="276" w:lineRule="auto"/>
      <w:jc w:val="left"/>
    </w:pPr>
    <w:rPr>
      <w:rFonts w:ascii="Times New Roman" w:hAnsi="Times New Roman" w:cs="Times New Roman"/>
      <w:b/>
      <w:sz w:val="26"/>
      <w:szCs w:val="26"/>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1" Type="http://schemas.openxmlformats.org/officeDocument/2006/relationships/footer" Target="footer1.xml"/><Relationship Id="rIdImg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Social Influence, Content Quality, Influencer Expertise, and the Mediating Role of Trust</dc:title>
  <dc:creator>Aryan Aggarwal</dc:creator>
  <cp:lastModifiedBy>Aryan Aggarwal</cp:lastModifiedBy>
</cp:coreProperties>
</file>