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80" w:before="0"/>
        <w:jc w:val="center"/>
      </w:pPr>
      <w:r>
        <w:rPr>
          <w:rFonts w:ascii="Arial" w:cs="Arial" w:eastAsia="Arial" w:hAnsi="Arial"/>
          <w:b/>
          <w:bCs/>
          <w:color w:val="1F4E79"/>
          <w:sz w:val="54"/>
          <w:szCs w:val="54"/>
        </w:rPr>
        <w:t xml:space="preserve">IPL DATA ANALYSIS REPORT</w:t>
      </w:r>
    </w:p>
    <w:p>
      <w:pPr>
        <w:spacing w:after="140" w:before="0"/>
        <w:jc w:val="center"/>
      </w:pPr>
      <w:r>
        <w:rPr>
          <w:rFonts w:ascii="Arial" w:cs="Arial" w:eastAsia="Arial" w:hAnsi="Arial"/>
          <w:color w:val="2E75B6"/>
          <w:sz w:val="28"/>
          <w:szCs w:val="28"/>
        </w:rPr>
        <w:t xml:space="preserve">17 Seasons of Indian Premier League Cricket</w:t>
      </w:r>
    </w:p>
    <w:p>
      <w:pPr>
        <w:spacing w:after="80" w:before="0"/>
        <w:jc w:val="center"/>
      </w:pPr>
      <w:r>
        <w:rPr>
          <w:rFonts w:ascii="Arial" w:cs="Arial" w:eastAsia="Arial" w:hAnsi="Arial"/>
          <w:b/>
          <w:bCs/>
          <w:color w:val="555555"/>
          <w:sz w:val="24"/>
          <w:szCs w:val="24"/>
        </w:rPr>
        <w:t xml:space="preserve">2007 – 2024</w:t>
      </w:r>
    </w:p>
    <w:p>
      <w:pPr>
        <w:spacing w:after="40" w:before="40"/>
      </w:pPr>
      <w:r>
        <w:t xml:space="preserve"/>
      </w:r>
    </w:p>
    <w:p>
      <w:pPr>
        <w:jc w:val="center"/>
      </w:pPr>
      <w:r>
        <w:rPr>
          <w:rFonts w:ascii="Arial" w:cs="Arial" w:eastAsia="Arial" w:hAnsi="Arial"/>
          <w:i/>
          <w:iCs/>
          <w:color w:val="666666"/>
          <w:sz w:val="22"/>
          <w:szCs w:val="22"/>
        </w:rPr>
        <w:t xml:space="preserve">Team Performance · Player Dominance · Toss Impact · Batting &amp; Bowling Trends</w:t>
      </w:r>
    </w:p>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b/>
          <w:bCs/>
          <w:sz w:val="22"/>
          <w:szCs w:val="22"/>
        </w:rPr>
        <w:t xml:space="preserve">Prepared by: Aryan</w:t>
      </w:r>
    </w:p>
    <w:p>
      <w:pPr>
        <w:jc w:val="center"/>
      </w:pPr>
      <w:r>
        <w:rPr>
          <w:rFonts w:ascii="Arial" w:cs="Arial" w:eastAsia="Arial" w:hAnsi="Arial"/>
          <w:color w:val="888888"/>
          <w:sz w:val="20"/>
          <w:szCs w:val="20"/>
        </w:rPr>
        <w:t xml:space="preserve">Dataset: matches.csv  +  deliveries.csv</w:t>
      </w:r>
    </w:p>
    <w:p>
      <w:r>
        <w:br w:type="page"/>
      </w:r>
    </w:p>
    <w:p>
      <w:pPr>
        <w:pStyle w:val="Heading1"/>
        <w:pBdr>
          <w:bottom w:val="single" w:color="2E75B6" w:sz="6" w:space="4"/>
        </w:pBdr>
        <w:spacing w:after="140" w:before="300"/>
      </w:pPr>
      <w:r>
        <w:rPr>
          <w:rFonts w:ascii="Arial" w:cs="Arial" w:eastAsia="Arial" w:hAnsi="Arial"/>
          <w:b/>
          <w:bCs/>
          <w:color w:val="1F4E79"/>
          <w:sz w:val="30"/>
          <w:szCs w:val="30"/>
        </w:rPr>
        <w:t xml:space="preserve">1. Executive Summary</w:t>
      </w:r>
    </w:p>
    <w:p>
      <w:pPr>
        <w:spacing w:after="100" w:before="60"/>
        <w:jc w:val="both"/>
      </w:pPr>
      <w:r>
        <w:rPr>
          <w:rFonts w:ascii="Arial" w:cs="Arial" w:eastAsia="Arial" w:hAnsi="Arial"/>
          <w:color w:val="111111"/>
          <w:sz w:val="22"/>
          <w:szCs w:val="22"/>
        </w:rPr>
        <w:t xml:space="preserve">This report presents a comprehensive data-driven analysis of 17 seasons of the Indian Premier League (IPL), one of the world's highest-valued and most-watched T20 cricket tournaments. Drawing on two structured datasets — match-level records and ball-by-ball delivery data — the study investigates team dominance, individual player performance, the strategic value of the toss, phase-wise scoring patterns, dismissal trends, and long-run seasonal changes from 2007 to 2024.</w:t>
      </w:r>
    </w:p>
    <w:p>
      <w:pPr>
        <w:spacing w:after="100" w:before="60"/>
        <w:jc w:val="both"/>
      </w:pPr>
      <w:r>
        <w:rPr>
          <w:rFonts w:ascii="Arial" w:cs="Arial" w:eastAsia="Arial" w:hAnsi="Arial"/>
          <w:color w:val="111111"/>
          <w:sz w:val="22"/>
          <w:szCs w:val="22"/>
        </w:rPr>
        <w:t xml:space="preserve">The analysis covers 1,095 matches and 260,920 individual deliveries across 19 unique franchises spanning 17 seasons. The key headline findings are: Mumbai Indians is the most successful franchise with 144 wins; chasing a target is the statistically superior T20 strategy; Virat Kohli is the all-time leading run-scorer with 8,014 runs; Yuzvendra Chahal is the all-time leading wicket-taker with 205 wickets; and average first-innings scores have risen from ~148 runs in 2008 to over 172 runs in recent seasons, reflecting a fundamental evolution in T20 batting.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110"/>
              <w:left w:type="dxa" w:w="130"/>
              <w:bottom w:type="dxa" w:w="110"/>
              <w:right w:type="dxa" w:w="130"/>
            </w:tcMar>
          </w:tcPr>
          <w:p>
            <w:pPr>
              <w:jc w:val="center"/>
            </w:pPr>
            <w:r>
              <w:rPr>
                <w:rFonts w:ascii="Arial" w:cs="Arial" w:eastAsia="Arial" w:hAnsi="Arial"/>
                <w:b/>
                <w:bCs/>
                <w:color w:val="1F4E79"/>
                <w:sz w:val="34"/>
                <w:szCs w:val="34"/>
              </w:rPr>
              <w:t xml:space="preserve">1,095</w:t>
            </w:r>
          </w:p>
          <w:p>
            <w:pPr>
              <w:jc w:val="center"/>
            </w:pPr>
            <w:r>
              <w:rPr>
                <w:rFonts w:ascii="Arial" w:cs="Arial" w:eastAsia="Arial" w:hAnsi="Arial"/>
                <w:color w:val="555555"/>
                <w:sz w:val="18"/>
                <w:szCs w:val="18"/>
              </w:rPr>
              <w:t xml:space="preserve">Total Matches</w:t>
            </w:r>
          </w:p>
        </w:tc>
        <w:tc>
          <w:tcPr>
            <w:tcW w:type="dxa" w:w="2340"/>
            <w:tcBorders>
              <w:top w:val="single" w:color="CCCCCC" w:sz="1"/>
              <w:left w:val="single" w:color="CCCCCC" w:sz="1"/>
              <w:bottom w:val="single" w:color="CCCCCC" w:sz="1"/>
              <w:right w:val="single" w:color="CCCCCC" w:sz="1"/>
            </w:tcBorders>
            <w:shd w:fill="D5E8F0" w:val="clear"/>
            <w:tcMar>
              <w:top w:type="dxa" w:w="110"/>
              <w:left w:type="dxa" w:w="130"/>
              <w:bottom w:type="dxa" w:w="110"/>
              <w:right w:type="dxa" w:w="130"/>
            </w:tcMar>
          </w:tcPr>
          <w:p>
            <w:pPr>
              <w:jc w:val="center"/>
            </w:pPr>
            <w:r>
              <w:rPr>
                <w:rFonts w:ascii="Arial" w:cs="Arial" w:eastAsia="Arial" w:hAnsi="Arial"/>
                <w:b/>
                <w:bCs/>
                <w:color w:val="1F4E79"/>
                <w:sz w:val="34"/>
                <w:szCs w:val="34"/>
              </w:rPr>
              <w:t xml:space="preserve">17</w:t>
            </w:r>
          </w:p>
          <w:p>
            <w:pPr>
              <w:jc w:val="center"/>
            </w:pPr>
            <w:r>
              <w:rPr>
                <w:rFonts w:ascii="Arial" w:cs="Arial" w:eastAsia="Arial" w:hAnsi="Arial"/>
                <w:color w:val="555555"/>
                <w:sz w:val="18"/>
                <w:szCs w:val="18"/>
              </w:rPr>
              <w:t xml:space="preserve">Seasons Covered</w:t>
            </w:r>
          </w:p>
        </w:tc>
        <w:tc>
          <w:tcPr>
            <w:tcW w:type="dxa" w:w="2340"/>
            <w:tcBorders>
              <w:top w:val="single" w:color="CCCCCC" w:sz="1"/>
              <w:left w:val="single" w:color="CCCCCC" w:sz="1"/>
              <w:bottom w:val="single" w:color="CCCCCC" w:sz="1"/>
              <w:right w:val="single" w:color="CCCCCC" w:sz="1"/>
            </w:tcBorders>
            <w:shd w:fill="D5E8F0" w:val="clear"/>
            <w:tcMar>
              <w:top w:type="dxa" w:w="110"/>
              <w:left w:type="dxa" w:w="130"/>
              <w:bottom w:type="dxa" w:w="110"/>
              <w:right w:type="dxa" w:w="130"/>
            </w:tcMar>
          </w:tcPr>
          <w:p>
            <w:pPr>
              <w:jc w:val="center"/>
            </w:pPr>
            <w:r>
              <w:rPr>
                <w:rFonts w:ascii="Arial" w:cs="Arial" w:eastAsia="Arial" w:hAnsi="Arial"/>
                <w:b/>
                <w:bCs/>
                <w:color w:val="1F4E79"/>
                <w:sz w:val="34"/>
                <w:szCs w:val="34"/>
              </w:rPr>
              <w:t xml:space="preserve">2,60,920</w:t>
            </w:r>
          </w:p>
          <w:p>
            <w:pPr>
              <w:jc w:val="center"/>
            </w:pPr>
            <w:r>
              <w:rPr>
                <w:rFonts w:ascii="Arial" w:cs="Arial" w:eastAsia="Arial" w:hAnsi="Arial"/>
                <w:color w:val="555555"/>
                <w:sz w:val="18"/>
                <w:szCs w:val="18"/>
              </w:rPr>
              <w:t xml:space="preserve">Ball Deliveries</w:t>
            </w:r>
          </w:p>
        </w:tc>
        <w:tc>
          <w:tcPr>
            <w:tcW w:type="dxa" w:w="2340"/>
            <w:tcBorders>
              <w:top w:val="single" w:color="CCCCCC" w:sz="1"/>
              <w:left w:val="single" w:color="CCCCCC" w:sz="1"/>
              <w:bottom w:val="single" w:color="CCCCCC" w:sz="1"/>
              <w:right w:val="single" w:color="CCCCCC" w:sz="1"/>
            </w:tcBorders>
            <w:shd w:fill="D5E8F0" w:val="clear"/>
            <w:tcMar>
              <w:top w:type="dxa" w:w="110"/>
              <w:left w:type="dxa" w:w="130"/>
              <w:bottom w:type="dxa" w:w="110"/>
              <w:right w:type="dxa" w:w="130"/>
            </w:tcMar>
          </w:tcPr>
          <w:p>
            <w:pPr>
              <w:jc w:val="center"/>
            </w:pPr>
            <w:r>
              <w:rPr>
                <w:rFonts w:ascii="Arial" w:cs="Arial" w:eastAsia="Arial" w:hAnsi="Arial"/>
                <w:b/>
                <w:bCs/>
                <w:color w:val="1F4E79"/>
                <w:sz w:val="34"/>
                <w:szCs w:val="34"/>
              </w:rPr>
              <w:t xml:space="preserve">19</w:t>
            </w:r>
          </w:p>
          <w:p>
            <w:pPr>
              <w:jc w:val="center"/>
            </w:pPr>
            <w:r>
              <w:rPr>
                <w:rFonts w:ascii="Arial" w:cs="Arial" w:eastAsia="Arial" w:hAnsi="Arial"/>
                <w:color w:val="555555"/>
                <w:sz w:val="18"/>
                <w:szCs w:val="18"/>
              </w:rPr>
              <w:t xml:space="preserve">Unique Franchises</w:t>
            </w:r>
          </w:p>
        </w:tc>
      </w:tr>
    </w:tbl>
    <w:p>
      <w:pPr>
        <w:spacing w:after="40" w:before="40"/>
      </w:pPr>
      <w:r>
        <w:t xml:space="preserve"/>
      </w:r>
    </w:p>
    <w:p>
      <w:r>
        <w:br w:type="page"/>
      </w:r>
    </w:p>
    <w:p>
      <w:pPr>
        <w:pStyle w:val="Heading1"/>
        <w:pBdr>
          <w:bottom w:val="single" w:color="2E75B6" w:sz="6" w:space="4"/>
        </w:pBdr>
        <w:spacing w:after="140" w:before="300"/>
      </w:pPr>
      <w:r>
        <w:rPr>
          <w:rFonts w:ascii="Arial" w:cs="Arial" w:eastAsia="Arial" w:hAnsi="Arial"/>
          <w:b/>
          <w:bCs/>
          <w:color w:val="1F4E79"/>
          <w:sz w:val="30"/>
          <w:szCs w:val="30"/>
        </w:rPr>
        <w:t xml:space="preserve">2. Dataset Overview</w:t>
      </w:r>
    </w:p>
    <w:p>
      <w:pPr>
        <w:pStyle w:val="Heading2"/>
        <w:spacing w:after="80" w:before="220"/>
      </w:pPr>
      <w:r>
        <w:rPr>
          <w:rFonts w:ascii="Arial" w:cs="Arial" w:eastAsia="Arial" w:hAnsi="Arial"/>
          <w:b/>
          <w:bCs/>
          <w:color w:val="2E75B6"/>
          <w:sz w:val="24"/>
          <w:szCs w:val="24"/>
        </w:rPr>
        <w:t xml:space="preserve">2.1 Data Sources</w:t>
      </w:r>
    </w:p>
    <w:p>
      <w:pPr>
        <w:spacing w:after="100" w:before="60"/>
        <w:jc w:val="both"/>
      </w:pPr>
      <w:r>
        <w:rPr>
          <w:rFonts w:ascii="Arial" w:cs="Arial" w:eastAsia="Arial" w:hAnsi="Arial"/>
          <w:color w:val="111111"/>
          <w:sz w:val="22"/>
          <w:szCs w:val="22"/>
        </w:rPr>
        <w:t xml:space="preserve">Two CSV files formed the complete basis for this analysis:</w:t>
      </w:r>
    </w:p>
    <w:p>
      <w:pPr>
        <w:pStyle w:val="ListParagraph"/>
        <w:numPr>
          <w:ilvl w:val="0"/>
          <w:numId w:val="2"/>
        </w:numPr>
        <w:spacing w:after="40" w:before="40"/>
      </w:pPr>
      <w:r>
        <w:rPr>
          <w:rFonts w:ascii="Arial" w:cs="Arial" w:eastAsia="Arial" w:hAnsi="Arial"/>
          <w:b/>
          <w:bCs/>
          <w:color w:val="111111"/>
          <w:sz w:val="22"/>
          <w:szCs w:val="22"/>
        </w:rPr>
        <w:t xml:space="preserve">matches.csv — </w:t>
      </w:r>
      <w:r>
        <w:rPr>
          <w:rFonts w:ascii="Arial" w:cs="Arial" w:eastAsia="Arial" w:hAnsi="Arial"/>
          <w:color w:val="111111"/>
          <w:sz w:val="22"/>
          <w:szCs w:val="22"/>
        </w:rPr>
        <w:t xml:space="preserve">1,095 rows, 20 columns. Contains match-level information: season, date, venue, city, competing teams, toss winner and decision, match result, result margin, player of the match, umpires, and method (D/L).</w:t>
      </w:r>
    </w:p>
    <w:p>
      <w:pPr>
        <w:pStyle w:val="ListParagraph"/>
        <w:numPr>
          <w:ilvl w:val="0"/>
          <w:numId w:val="2"/>
        </w:numPr>
        <w:spacing w:after="40" w:before="40"/>
      </w:pPr>
      <w:r>
        <w:rPr>
          <w:rFonts w:ascii="Arial" w:cs="Arial" w:eastAsia="Arial" w:hAnsi="Arial"/>
          <w:b/>
          <w:bCs/>
          <w:color w:val="111111"/>
          <w:sz w:val="22"/>
          <w:szCs w:val="22"/>
        </w:rPr>
        <w:t xml:space="preserve">deliveries.csv — </w:t>
      </w:r>
      <w:r>
        <w:rPr>
          <w:rFonts w:ascii="Arial" w:cs="Arial" w:eastAsia="Arial" w:hAnsi="Arial"/>
          <w:color w:val="111111"/>
          <w:sz w:val="22"/>
          <w:szCs w:val="22"/>
        </w:rPr>
        <w:t xml:space="preserve">260,920 rows, 17 columns. Contains ball-by-ball records: match ID, innings number, batting and bowling teams, over, ball, batter, bowler, non-striker, runs (batsman and extras), dismissal details, and fielder.</w:t>
      </w:r>
    </w:p>
    <w:p>
      <w:pPr>
        <w:spacing w:after="40" w:before="40"/>
      </w:pPr>
      <w:r>
        <w:t xml:space="preserve"/>
      </w:r>
    </w:p>
    <w:p>
      <w:pPr>
        <w:pStyle w:val="Heading2"/>
        <w:spacing w:after="80" w:before="220"/>
      </w:pPr>
      <w:r>
        <w:rPr>
          <w:rFonts w:ascii="Arial" w:cs="Arial" w:eastAsia="Arial" w:hAnsi="Arial"/>
          <w:b/>
          <w:bCs/>
          <w:color w:val="2E75B6"/>
          <w:sz w:val="24"/>
          <w:szCs w:val="24"/>
        </w:rPr>
        <w:t xml:space="preserve">2.2 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Dataset</w:t>
            </w:r>
          </w:p>
        </w:tc>
        <w:tc>
          <w:tcPr>
            <w:tcW w:type="dxa" w:w="13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Data Type</w:t>
            </w:r>
          </w:p>
        </w:tc>
        <w:tc>
          <w:tcPr>
            <w:tcW w:type="dxa" w:w="466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id</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matches</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INTEGER</w:t>
            </w:r>
          </w:p>
        </w:tc>
        <w:tc>
          <w:tcPr>
            <w:tcW w:type="dxa" w:w="4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Unique match identifier — Primary Key</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season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matches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4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IPL season label (e.g. '2008', '2007/08')</w:t>
            </w:r>
          </w:p>
        </w:tc>
      </w:tr>
      <w:tr>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date</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matches</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DATE</w:t>
            </w:r>
          </w:p>
        </w:tc>
        <w:tc>
          <w:tcPr>
            <w:tcW w:type="dxa" w:w="4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Calendar date of the match</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team1 / team2</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matches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4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The two competing franchises</w:t>
            </w:r>
          </w:p>
        </w:tc>
      </w:tr>
      <w:tr>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toss_winner</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matches</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4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Franchise that won the coin toss</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toss_decision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matches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4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Decision made: 'bat' or 'field'</w:t>
            </w:r>
          </w:p>
        </w:tc>
      </w:tr>
      <w:tr>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winner</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matches</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4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Winning franchise (NULL = no result)</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result</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matches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4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Result type: 'runs', 'wickets', 'tie', 'no result'</w:t>
            </w:r>
          </w:p>
        </w:tc>
      </w:tr>
      <w:tr>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result_margin</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matches</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INTEGER</w:t>
            </w:r>
          </w:p>
        </w:tc>
        <w:tc>
          <w:tcPr>
            <w:tcW w:type="dxa" w:w="4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Margin of victory in runs or wickets</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player_of_match</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matches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4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Player awarded the match-best honour</w:t>
            </w:r>
          </w:p>
        </w:tc>
      </w:tr>
      <w:tr>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match_id</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deliveries</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INTEGER</w:t>
            </w:r>
          </w:p>
        </w:tc>
        <w:tc>
          <w:tcPr>
            <w:tcW w:type="dxa" w:w="4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Foreign key referencing matches.id</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inning</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deliveries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SMALLINT</w:t>
            </w:r>
          </w:p>
        </w:tc>
        <w:tc>
          <w:tcPr>
            <w:tcW w:type="dxa" w:w="4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Innings number: 1 = first, 2 = second</w:t>
            </w:r>
          </w:p>
        </w:tc>
      </w:tr>
      <w:tr>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batter / bowler</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deliveries</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4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Names of batter and bowler for that delivery</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batsman_runs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deliveries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SMALLINT</w:t>
            </w:r>
          </w:p>
        </w:tc>
        <w:tc>
          <w:tcPr>
            <w:tcW w:type="dxa" w:w="4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Runs scored by the batter on that delivery</w:t>
            </w:r>
          </w:p>
        </w:tc>
      </w:tr>
      <w:tr>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extra_runs / total_runs</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deliveries</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SMALLINT</w:t>
            </w:r>
          </w:p>
        </w:tc>
        <w:tc>
          <w:tcPr>
            <w:tcW w:type="dxa" w:w="4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Extras and total on the delivery</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is_wicket</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deliveries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SMALLINT</w:t>
            </w:r>
          </w:p>
        </w:tc>
        <w:tc>
          <w:tcPr>
            <w:tcW w:type="dxa" w:w="4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Binary: 1 if a wicket fell, 0 otherwise</w:t>
            </w:r>
          </w:p>
        </w:tc>
      </w:tr>
      <w:tr>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dismissal_kind</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deliveries</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4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Mode of dismissal (caught, bowled, LBW, etc.)</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extras_type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deliveries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4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Type of extra: wide, no-ball, bye, leg-bye</w:t>
            </w:r>
          </w:p>
        </w:tc>
      </w:tr>
    </w:tbl>
    <w:p>
      <w:pPr>
        <w:spacing w:after="40" w:before="40"/>
      </w:pPr>
      <w:r>
        <w:t xml:space="preserve"/>
      </w:r>
    </w:p>
    <w:p>
      <w:pPr>
        <w:pStyle w:val="Heading2"/>
        <w:spacing w:after="80" w:before="220"/>
      </w:pPr>
      <w:r>
        <w:rPr>
          <w:rFonts w:ascii="Arial" w:cs="Arial" w:eastAsia="Arial" w:hAnsi="Arial"/>
          <w:b/>
          <w:bCs/>
          <w:color w:val="2E75B6"/>
          <w:sz w:val="24"/>
          <w:szCs w:val="24"/>
        </w:rPr>
        <w:t xml:space="preserve">2.3 Data Quality Assessment</w:t>
      </w:r>
    </w:p>
    <w:p>
      <w:pPr>
        <w:spacing w:after="100" w:before="60"/>
        <w:jc w:val="both"/>
      </w:pPr>
      <w:r>
        <w:rPr>
          <w:rFonts w:ascii="Arial" w:cs="Arial" w:eastAsia="Arial" w:hAnsi="Arial"/>
          <w:color w:val="111111"/>
          <w:sz w:val="22"/>
          <w:szCs w:val="22"/>
        </w:rPr>
        <w:t xml:space="preserve">Both datasets were structurally clean with minimal data quality issues. The following null patterns were identified and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Column</w:t>
            </w:r>
          </w:p>
        </w:tc>
        <w:tc>
          <w:tcPr>
            <w:tcW w:type="dxa" w:w="15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Null Count</w:t>
            </w:r>
          </w:p>
        </w:tc>
        <w:tc>
          <w:tcPr>
            <w:tcW w:type="dxa" w:w="566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Handling Strategy</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winner</w:t>
            </w:r>
          </w:p>
        </w:tc>
        <w:tc>
          <w:tcPr>
            <w:tcW w:type="dxa" w:w="15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 records</w:t>
            </w:r>
          </w:p>
        </w:tc>
        <w:tc>
          <w:tcPr>
            <w:tcW w:type="dxa" w:w="5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Excluded from win-rate and team-performance analysis (no-result matches)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result_margin</w:t>
            </w:r>
          </w:p>
        </w:tc>
        <w:tc>
          <w:tcPr>
            <w:tcW w:type="dxa" w:w="15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19 records</w:t>
            </w:r>
          </w:p>
        </w:tc>
        <w:tc>
          <w:tcPr>
            <w:tcW w:type="dxa" w:w="5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Excluded from margin-of-victory analysis only; other analyses unaffected</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target_runs / target_overs</w:t>
            </w:r>
          </w:p>
        </w:tc>
        <w:tc>
          <w:tcPr>
            <w:tcW w:type="dxa" w:w="15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 records</w:t>
            </w:r>
          </w:p>
        </w:tc>
        <w:tc>
          <w:tcPr>
            <w:tcW w:type="dxa" w:w="5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Negligible — no material impact on any analysis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method</w:t>
            </w:r>
          </w:p>
        </w:tc>
        <w:tc>
          <w:tcPr>
            <w:tcW w:type="dxa" w:w="15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1,074 records</w:t>
            </w:r>
          </w:p>
        </w:tc>
        <w:tc>
          <w:tcPr>
            <w:tcW w:type="dxa" w:w="5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Expected: NULL means standard result; 'D/L' appears only for Duckworth-Lewis games</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player_dismissed</w:t>
            </w:r>
          </w:p>
        </w:tc>
        <w:tc>
          <w:tcPr>
            <w:tcW w:type="dxa" w:w="15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~240,000 records</w:t>
            </w:r>
          </w:p>
        </w:tc>
        <w:tc>
          <w:tcPr>
            <w:tcW w:type="dxa" w:w="56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Expected: NULL means no wicket on that delivery — correct by design</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city</w:t>
            </w:r>
          </w:p>
        </w:tc>
        <w:tc>
          <w:tcPr>
            <w:tcW w:type="dxa" w:w="15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 records</w:t>
            </w:r>
          </w:p>
        </w:tc>
        <w:tc>
          <w:tcPr>
            <w:tcW w:type="dxa" w:w="5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Minimal — ignored for venue-level analysis</w:t>
            </w:r>
          </w:p>
        </w:tc>
      </w:tr>
    </w:tbl>
    <w:p>
      <w:r>
        <w:br w:type="page"/>
      </w:r>
    </w:p>
    <w:p>
      <w:pPr>
        <w:pStyle w:val="Heading1"/>
        <w:pBdr>
          <w:bottom w:val="single" w:color="2E75B6" w:sz="6" w:space="4"/>
        </w:pBdr>
        <w:spacing w:after="140" w:before="300"/>
      </w:pPr>
      <w:r>
        <w:rPr>
          <w:rFonts w:ascii="Arial" w:cs="Arial" w:eastAsia="Arial" w:hAnsi="Arial"/>
          <w:b/>
          <w:bCs/>
          <w:color w:val="1F4E79"/>
          <w:sz w:val="30"/>
          <w:szCs w:val="30"/>
        </w:rPr>
        <w:t xml:space="preserve">3. Team Performance Analysis</w:t>
      </w:r>
    </w:p>
    <w:p>
      <w:pPr>
        <w:pStyle w:val="Heading2"/>
        <w:spacing w:after="80" w:before="220"/>
      </w:pPr>
      <w:r>
        <w:rPr>
          <w:rFonts w:ascii="Arial" w:cs="Arial" w:eastAsia="Arial" w:hAnsi="Arial"/>
          <w:b/>
          <w:bCs/>
          <w:color w:val="2E75B6"/>
          <w:sz w:val="24"/>
          <w:szCs w:val="24"/>
        </w:rPr>
        <w:t xml:space="preserve">3.1 All-Time Win Records</w:t>
      </w:r>
    </w:p>
    <w:p>
      <w:pPr>
        <w:spacing w:after="100" w:before="60"/>
        <w:jc w:val="both"/>
      </w:pPr>
      <w:r>
        <w:rPr>
          <w:rFonts w:ascii="Arial" w:cs="Arial" w:eastAsia="Arial" w:hAnsi="Arial"/>
          <w:color w:val="111111"/>
          <w:sz w:val="22"/>
          <w:szCs w:val="22"/>
        </w:rPr>
        <w:t xml:space="preserve">Mumbai Indians (MI) are the most successful franchise in IPL history with 144 total wins across 17 seasons, narrowly ahead of Chennai Super Kings (CSK) with 138 wins. Together, these two franchises have won 10 of the 17 IPL trophies, confirming that consistent squad management, strong captaincy, and franchise stability are the most repeatable drivers of IPL success. Teams that have undergone frequent ownership changes, player retention failures, or captain turnover show noticeably lower and more volatile win rates.</w:t>
      </w:r>
    </w:p>
    <w:p>
      <w:pPr>
        <w:spacing w:after="40" w:before="4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900"/>
        <w:gridCol w:w="4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Rank</w:t>
            </w:r>
          </w:p>
        </w:tc>
        <w:tc>
          <w:tcPr>
            <w:tcW w:type="dxa" w:w="24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Team</w:t>
            </w:r>
          </w:p>
        </w:tc>
        <w:tc>
          <w:tcPr>
            <w:tcW w:type="dxa" w:w="12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Total Wins</w:t>
            </w:r>
          </w:p>
        </w:tc>
        <w:tc>
          <w:tcPr>
            <w:tcW w:type="dxa" w:w="9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Titles</w:t>
            </w:r>
          </w:p>
        </w:tc>
        <w:tc>
          <w:tcPr>
            <w:tcW w:type="dxa" w:w="42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Notable Strength</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w:t>
            </w:r>
          </w:p>
        </w:tc>
        <w:tc>
          <w:tcPr>
            <w:tcW w:type="dxa" w:w="2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Mumbai Indians</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144</w:t>
            </w:r>
          </w:p>
        </w:tc>
        <w:tc>
          <w:tcPr>
            <w:tcW w:type="dxa" w:w="9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Squad depth, death-over finishers, Rohit Sharma captaincy</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Chennai Super Kings</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138</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MS Dhoni leadership, consistent auction strategy, powerplay batting</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w:t>
            </w:r>
          </w:p>
        </w:tc>
        <w:tc>
          <w:tcPr>
            <w:tcW w:type="dxa" w:w="2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Kolkata Knight Riders</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112</w:t>
            </w:r>
          </w:p>
        </w:tc>
        <w:tc>
          <w:tcPr>
            <w:tcW w:type="dxa" w:w="9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Spin bowling, Andre Russell impact, strong middle order</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Royal Challengers Bangalore</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109</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0</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Top-order batting — Kohli, de Villiers — but bowling inconsistency</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w:t>
            </w:r>
          </w:p>
        </w:tc>
        <w:tc>
          <w:tcPr>
            <w:tcW w:type="dxa" w:w="2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Sunrisers Hyderabad</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82</w:t>
            </w:r>
          </w:p>
        </w:tc>
        <w:tc>
          <w:tcPr>
            <w:tcW w:type="dxa" w:w="9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Strong pace attack, Warner/Bairstow opening partnership</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Rajasthan Royals</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80</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Smart analytics-based squad building, young talent discovery</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7</w:t>
            </w:r>
          </w:p>
        </w:tc>
        <w:tc>
          <w:tcPr>
            <w:tcW w:type="dxa" w:w="2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Delhi Capitals</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78</w:t>
            </w:r>
          </w:p>
        </w:tc>
        <w:tc>
          <w:tcPr>
            <w:tcW w:type="dxa" w:w="9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0</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Consistent playoff contenders, strong domestic player pipeline</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Punjab Kings</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72</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0</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Strong batting; bowling fragility prevented title wins</w:t>
            </w:r>
          </w:p>
        </w:tc>
      </w:tr>
    </w:tbl>
    <w:p>
      <w:pPr>
        <w:spacing w:after="40" w:before="40"/>
      </w:pPr>
      <w:r>
        <w:t xml:space="preserve"/>
      </w:r>
    </w:p>
    <w:p>
      <w:pPr>
        <w:pStyle w:val="Heading2"/>
        <w:spacing w:after="80" w:before="220"/>
      </w:pPr>
      <w:r>
        <w:rPr>
          <w:rFonts w:ascii="Arial" w:cs="Arial" w:eastAsia="Arial" w:hAnsi="Arial"/>
          <w:b/>
          <w:bCs/>
          <w:color w:val="2E75B6"/>
          <w:sz w:val="24"/>
          <w:szCs w:val="24"/>
        </w:rPr>
        <w:t xml:space="preserve">3.2 Toss Impact — Statistical Analysis</w:t>
      </w:r>
    </w:p>
    <w:p>
      <w:pPr>
        <w:spacing w:after="100" w:before="60"/>
        <w:jc w:val="both"/>
      </w:pPr>
      <w:r>
        <w:rPr>
          <w:rFonts w:ascii="Arial" w:cs="Arial" w:eastAsia="Arial" w:hAnsi="Arial"/>
          <w:color w:val="111111"/>
          <w:sz w:val="22"/>
          <w:szCs w:val="22"/>
        </w:rPr>
        <w:t xml:space="preserve">The toss is widely considered a decisive factor in T20 cricket, particularly in subcontinent conditions where dew in evening matches can favour the chasing team. The data, however, reveals a more nuanced picture. Teams winning the toss won exactly 50.8% of matches — barely above the 50% random baseline — suggesting that the toss in isolation is not a meaningful competitive advantage.</w:t>
      </w:r>
    </w:p>
    <w:p>
      <w:pPr>
        <w:spacing w:after="100" w:before="60"/>
        <w:jc w:val="both"/>
      </w:pPr>
      <w:r>
        <w:rPr>
          <w:rFonts w:ascii="Arial" w:cs="Arial" w:eastAsia="Arial" w:hAnsi="Arial"/>
          <w:color w:val="111111"/>
          <w:sz w:val="22"/>
          <w:szCs w:val="22"/>
        </w:rPr>
        <w:t xml:space="preserve">The decision made after winning the toss tells a different story. Teams that chose to field first after winning the toss won 53.9% of their matches. Looking across all matches regardless of toss outcome, teams batting second (chasing) won 54.1% compared to 45.9% for teams batting first. This difference is statistically meaningful across a 1,090-match sample and confirms that the modern T20 strategic consensus — chase wherever possible — is empirically justified.</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500"/>
        <w:gridCol w:w="37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Scenario</w:t>
            </w:r>
          </w:p>
        </w:tc>
        <w:tc>
          <w:tcPr>
            <w:tcW w:type="dxa" w:w="12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Win Rate</w:t>
            </w:r>
          </w:p>
        </w:tc>
        <w:tc>
          <w:tcPr>
            <w:tcW w:type="dxa" w:w="15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Sample Size</w:t>
            </w:r>
          </w:p>
        </w:tc>
        <w:tc>
          <w:tcPr>
            <w:tcW w:type="dxa" w:w="37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Interpretation</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Toss winner — all decisions combined</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50.8%</w:t>
            </w:r>
          </w:p>
        </w:tc>
        <w:tc>
          <w:tcPr>
            <w:tcW w:type="dxa" w:w="15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1,090 matches</w:t>
            </w:r>
          </w:p>
        </w:tc>
        <w:tc>
          <w:tcPr>
            <w:tcW w:type="dxa" w:w="37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Negligible advantage from toss alone</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Won toss + chose to FIELD first</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53.9%</w:t>
            </w:r>
          </w:p>
        </w:tc>
        <w:tc>
          <w:tcPr>
            <w:tcW w:type="dxa" w:w="15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~600 matches</w:t>
            </w:r>
          </w:p>
        </w:tc>
        <w:tc>
          <w:tcPr>
            <w:tcW w:type="dxa" w:w="3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Chasing after winning toss is optimal</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Won toss + chose to BAT first</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45.9%</w:t>
            </w:r>
          </w:p>
        </w:tc>
        <w:tc>
          <w:tcPr>
            <w:tcW w:type="dxa" w:w="15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~490 matches</w:t>
            </w:r>
          </w:p>
        </w:tc>
        <w:tc>
          <w:tcPr>
            <w:tcW w:type="dxa" w:w="37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Batting first after toss win is suboptimal</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All matches — team batting FIRST wins</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45.9%</w:t>
            </w:r>
          </w:p>
        </w:tc>
        <w:tc>
          <w:tcPr>
            <w:tcW w:type="dxa" w:w="15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1,090 matches</w:t>
            </w:r>
          </w:p>
        </w:tc>
        <w:tc>
          <w:tcPr>
            <w:tcW w:type="dxa" w:w="3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Setting a target is riskier in T20</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All matches — team batting SECOND wins</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54.1%</w:t>
            </w:r>
          </w:p>
        </w:tc>
        <w:tc>
          <w:tcPr>
            <w:tcW w:type="dxa" w:w="15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1,090 matches</w:t>
            </w:r>
          </w:p>
        </w:tc>
        <w:tc>
          <w:tcPr>
            <w:tcW w:type="dxa" w:w="37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Chasing is the dominant T20 strategy</w:t>
            </w:r>
          </w:p>
        </w:tc>
      </w:tr>
    </w:tbl>
    <w:p>
      <w:r>
        <w:br w:type="page"/>
      </w:r>
    </w:p>
    <w:p>
      <w:pPr>
        <w:pStyle w:val="Heading1"/>
        <w:pBdr>
          <w:bottom w:val="single" w:color="2E75B6" w:sz="6" w:space="4"/>
        </w:pBdr>
        <w:spacing w:after="140" w:before="300"/>
      </w:pPr>
      <w:r>
        <w:rPr>
          <w:rFonts w:ascii="Arial" w:cs="Arial" w:eastAsia="Arial" w:hAnsi="Arial"/>
          <w:b/>
          <w:bCs/>
          <w:color w:val="1F4E79"/>
          <w:sz w:val="30"/>
          <w:szCs w:val="30"/>
        </w:rPr>
        <w:t xml:space="preserve">4. Batting Analysis</w:t>
      </w:r>
    </w:p>
    <w:p>
      <w:pPr>
        <w:pStyle w:val="Heading2"/>
        <w:spacing w:after="80" w:before="220"/>
      </w:pPr>
      <w:r>
        <w:rPr>
          <w:rFonts w:ascii="Arial" w:cs="Arial" w:eastAsia="Arial" w:hAnsi="Arial"/>
          <w:b/>
          <w:bCs/>
          <w:color w:val="2E75B6"/>
          <w:sz w:val="24"/>
          <w:szCs w:val="24"/>
        </w:rPr>
        <w:t xml:space="preserve">4.1 All-Time Run Scorers</w:t>
      </w:r>
    </w:p>
    <w:p>
      <w:pPr>
        <w:spacing w:after="100" w:before="60"/>
        <w:jc w:val="both"/>
      </w:pPr>
      <w:r>
        <w:rPr>
          <w:rFonts w:ascii="Arial" w:cs="Arial" w:eastAsia="Arial" w:hAnsi="Arial"/>
          <w:color w:val="111111"/>
          <w:sz w:val="22"/>
          <w:szCs w:val="22"/>
        </w:rPr>
        <w:t xml:space="preserve">Virat Kohli is the all-time leading run-scorer in IPL history with 8,014 runs — over 1,245 runs clear of the second-highest scorer, Shikhar Dhawan (6,769 runs). Kohli's consistency across 17 seasons while playing for a single franchise (Royal Challengers Bangalore) is extraordinary and reflects exceptional technical adaptability in the evolving T20 format. Notably, all top-8 run-scorers have been active across at least 10 IPL seasons, confirming that longevity and fitness management are critical factors in accumulating IPL runs.</w:t>
      </w:r>
    </w:p>
    <w:p>
      <w:pPr>
        <w:spacing w:after="40" w:before="4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51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Rank</w:t>
            </w:r>
          </w:p>
        </w:tc>
        <w:tc>
          <w:tcPr>
            <w:tcW w:type="dxa" w:w="22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Batter</w:t>
            </w:r>
          </w:p>
        </w:tc>
        <w:tc>
          <w:tcPr>
            <w:tcW w:type="dxa" w:w="14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Total Runs</w:t>
            </w:r>
          </w:p>
        </w:tc>
        <w:tc>
          <w:tcPr>
            <w:tcW w:type="dxa" w:w="51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Key Milestone</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V Kohli</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8,014</w:t>
            </w:r>
          </w:p>
        </w:tc>
        <w:tc>
          <w:tcPr>
            <w:tcW w:type="dxa" w:w="51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Only batter to cross 8,000 IPL runs — for a single franchise</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 Dhawan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6,769</w:t>
            </w:r>
          </w:p>
        </w:tc>
        <w:tc>
          <w:tcPr>
            <w:tcW w:type="dxa" w:w="5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Consistent powerplay destructor across Deccan, Delhi, Punjab, Hyderabad</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DA Warner</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6,564</w:t>
            </w:r>
          </w:p>
        </w:tc>
        <w:tc>
          <w:tcPr>
            <w:tcW w:type="dxa" w:w="51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Holds the record for highest runs in a single IPL season (848 in 2016)</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RG Sharma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6,284</w:t>
            </w:r>
          </w:p>
        </w:tc>
        <w:tc>
          <w:tcPr>
            <w:tcW w:type="dxa" w:w="5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MI captain — led team to all 5 of their IPL titles</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SK Raina</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5,528</w:t>
            </w:r>
          </w:p>
        </w:tc>
        <w:tc>
          <w:tcPr>
            <w:tcW w:type="dxa" w:w="51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First Indian batter to score 5,000 IPL runs</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AB de Villiers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5,162</w:t>
            </w:r>
          </w:p>
        </w:tc>
        <w:tc>
          <w:tcPr>
            <w:tcW w:type="dxa" w:w="5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Highest average strike rate among the top-6 all-time run-scorers</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7</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MS Dhoni</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5,082</w:t>
            </w:r>
          </w:p>
        </w:tc>
        <w:tc>
          <w:tcPr>
            <w:tcW w:type="dxa" w:w="51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Elite finisher — 200+ IPL appearances, wins under extreme pressure</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CH Gayle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4,965</w:t>
            </w:r>
          </w:p>
        </w:tc>
        <w:tc>
          <w:tcPr>
            <w:tcW w:type="dxa" w:w="5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Holds record for fastest IPL century: 30 balls vs PWI in 2013</w:t>
            </w:r>
          </w:p>
        </w:tc>
      </w:tr>
    </w:tbl>
    <w:p>
      <w:pPr>
        <w:spacing w:after="40" w:before="40"/>
      </w:pPr>
      <w:r>
        <w:t xml:space="preserve"/>
      </w:r>
    </w:p>
    <w:p>
      <w:pPr>
        <w:pStyle w:val="Heading2"/>
        <w:spacing w:after="80" w:before="220"/>
      </w:pPr>
      <w:r>
        <w:rPr>
          <w:rFonts w:ascii="Arial" w:cs="Arial" w:eastAsia="Arial" w:hAnsi="Arial"/>
          <w:b/>
          <w:bCs/>
          <w:color w:val="2E75B6"/>
          <w:sz w:val="24"/>
          <w:szCs w:val="24"/>
        </w:rPr>
        <w:t xml:space="preserve">4.2 Phase-wise Scoring — Powerplay, Middle, and Death Overs</w:t>
      </w:r>
    </w:p>
    <w:p>
      <w:pPr>
        <w:spacing w:after="100" w:before="60"/>
        <w:jc w:val="both"/>
      </w:pPr>
      <w:r>
        <w:rPr>
          <w:rFonts w:ascii="Arial" w:cs="Arial" w:eastAsia="Arial" w:hAnsi="Arial"/>
          <w:color w:val="111111"/>
          <w:sz w:val="22"/>
          <w:szCs w:val="22"/>
        </w:rPr>
        <w:t xml:space="preserve">The 20-over innings is divided into three strategic phases: Powerplay (overs 1–6), Middle overs (7–15), and Death overs (16–20). Despite spanning the fewest overs, the Death phase produces the highest average run rate per over across all 260,920 deliveries in the dataset, making it the single most strategically decisive phase of any T20 innings.</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1800"/>
        <w:gridCol w:w="20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Over Range</w:t>
            </w:r>
          </w:p>
        </w:tc>
        <w:tc>
          <w:tcPr>
            <w:tcW w:type="dxa" w:w="26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Total Runs (All Matches)</w:t>
            </w:r>
          </w:p>
        </w:tc>
        <w:tc>
          <w:tcPr>
            <w:tcW w:type="dxa" w:w="18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Share of Total Runs</w:t>
            </w:r>
          </w:p>
        </w:tc>
        <w:tc>
          <w:tcPr>
            <w:tcW w:type="dxa" w:w="20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Avg Run Rate / Over</w:t>
            </w:r>
          </w:p>
        </w:tc>
      </w:tr>
      <w:tr>
        <w:tc>
          <w:tcPr>
            <w:tcW w:type="dxa" w:w="1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Powerplay</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Overs 1–6</w:t>
            </w:r>
          </w:p>
        </w:tc>
        <w:tc>
          <w:tcPr>
            <w:tcW w:type="dxa" w:w="2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1,03,217</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29.7%</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~8.5 runs/over</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Middle Overs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Overs 7–15</w:t>
            </w:r>
          </w:p>
        </w:tc>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1,50,655</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43.3%</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~8.2 runs/over</w:t>
            </w:r>
          </w:p>
        </w:tc>
      </w:tr>
      <w:tr>
        <w:tc>
          <w:tcPr>
            <w:tcW w:type="dxa" w:w="1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Death Overs</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Overs 16–20</w:t>
            </w:r>
          </w:p>
        </w:tc>
        <w:tc>
          <w:tcPr>
            <w:tcW w:type="dxa" w:w="2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93,884</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27.0%</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~9.8 runs/over</w:t>
            </w:r>
          </w:p>
        </w:tc>
      </w:tr>
    </w:tbl>
    <w:p>
      <w:pPr>
        <w:spacing w:after="40" w:before="40"/>
      </w:pPr>
      <w:r>
        <w:t xml:space="preserve"/>
      </w:r>
    </w:p>
    <w:p>
      <w:pPr>
        <w:spacing w:after="100" w:before="60"/>
        <w:jc w:val="both"/>
      </w:pPr>
      <w:r>
        <w:rPr>
          <w:rFonts w:ascii="Arial" w:cs="Arial" w:eastAsia="Arial" w:hAnsi="Arial"/>
          <w:color w:val="111111"/>
          <w:sz w:val="22"/>
          <w:szCs w:val="22"/>
        </w:rPr>
        <w:t xml:space="preserve">The Middle overs account for the largest total volume of runs (43.3%) due to spanning 9 overs, but their average run rate per over is actually the lowest of the three phases. This reflects the dominance of spin bowling and controlled aggression in overs 7–15. The Death overs, by contrast, see sustained 9.8 runs per over on average — a figure that has risen significantly in recent seasons as specialist death-over batting has become a premium skill.</w:t>
      </w:r>
    </w:p>
    <w:p>
      <w:pPr>
        <w:pStyle w:val="Heading2"/>
        <w:spacing w:after="80" w:before="220"/>
      </w:pPr>
      <w:r>
        <w:rPr>
          <w:rFonts w:ascii="Arial" w:cs="Arial" w:eastAsia="Arial" w:hAnsi="Arial"/>
          <w:b/>
          <w:bCs/>
          <w:color w:val="2E75B6"/>
          <w:sz w:val="24"/>
          <w:szCs w:val="24"/>
        </w:rPr>
        <w:t xml:space="preserve">4.3 Seasonal Scoring Trend</w:t>
      </w:r>
    </w:p>
    <w:p>
      <w:pPr>
        <w:spacing w:after="100" w:before="60"/>
        <w:jc w:val="both"/>
      </w:pPr>
      <w:r>
        <w:rPr>
          <w:rFonts w:ascii="Arial" w:cs="Arial" w:eastAsia="Arial" w:hAnsi="Arial"/>
          <w:color w:val="111111"/>
          <w:sz w:val="22"/>
          <w:szCs w:val="22"/>
        </w:rPr>
        <w:t xml:space="preserve">The average first-innings score across all 1,095 IPL matches is 165.5 runs. There is a clear and consistent upward trend across 17 seasons: early seasons (2008–2012) averaged approximately 148–155 runs per innings, while recent seasons (2020–2024) average 170–180 runs. This trajectory reflects several simultaneous structural changes: improved bat technology (larger sweet spots, lighter bat profiles), the development of T20-specific batting curricula, increasingly flat and batter-friendly pitch preparations, and the professionalisation of death-over and powerplay batting tactics.</w:t>
      </w:r>
    </w:p>
    <w:p>
      <w:r>
        <w:br w:type="page"/>
      </w:r>
    </w:p>
    <w:p>
      <w:pPr>
        <w:pStyle w:val="Heading1"/>
        <w:pBdr>
          <w:bottom w:val="single" w:color="2E75B6" w:sz="6" w:space="4"/>
        </w:pBdr>
        <w:spacing w:after="140" w:before="300"/>
      </w:pPr>
      <w:r>
        <w:rPr>
          <w:rFonts w:ascii="Arial" w:cs="Arial" w:eastAsia="Arial" w:hAnsi="Arial"/>
          <w:b/>
          <w:bCs/>
          <w:color w:val="1F4E79"/>
          <w:sz w:val="30"/>
          <w:szCs w:val="30"/>
        </w:rPr>
        <w:t xml:space="preserve">5. Bowling Analysis</w:t>
      </w:r>
    </w:p>
    <w:p>
      <w:pPr>
        <w:pStyle w:val="Heading2"/>
        <w:spacing w:after="80" w:before="220"/>
      </w:pPr>
      <w:r>
        <w:rPr>
          <w:rFonts w:ascii="Arial" w:cs="Arial" w:eastAsia="Arial" w:hAnsi="Arial"/>
          <w:b/>
          <w:bCs/>
          <w:color w:val="2E75B6"/>
          <w:sz w:val="24"/>
          <w:szCs w:val="24"/>
        </w:rPr>
        <w:t xml:space="preserve">5.1 All-Time Leading Wicket-Takers</w:t>
      </w:r>
    </w:p>
    <w:p>
      <w:pPr>
        <w:spacing w:after="100" w:before="60"/>
        <w:jc w:val="both"/>
      </w:pPr>
      <w:r>
        <w:rPr>
          <w:rFonts w:ascii="Arial" w:cs="Arial" w:eastAsia="Arial" w:hAnsi="Arial"/>
          <w:color w:val="111111"/>
          <w:sz w:val="22"/>
          <w:szCs w:val="22"/>
        </w:rPr>
        <w:t xml:space="preserve">Yuzvendra Chahal leads all IPL bowlers with 205 wickets — a remarkable achievement for a leg-spin bowler in a format widely believed to favour pacers and power hitting. His dominance confirms that in T20 cricket, the ability to deceive batters through flight, loop, and turn is as valuable as pace or swing. The presence of multiple leg-spin bowlers in the top 10 underlines the premium T20 format places on wrist-spin bowling.</w:t>
      </w:r>
    </w:p>
    <w:p>
      <w:pPr>
        <w:spacing w:after="40" w:before="4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100"/>
        <w:gridCol w:w="1400"/>
        <w:gridCol w:w="4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Rank</w:t>
            </w:r>
          </w:p>
        </w:tc>
        <w:tc>
          <w:tcPr>
            <w:tcW w:type="dxa" w:w="20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Bowler</w:t>
            </w:r>
          </w:p>
        </w:tc>
        <w:tc>
          <w:tcPr>
            <w:tcW w:type="dxa" w:w="11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Wickets</w:t>
            </w:r>
          </w:p>
        </w:tc>
        <w:tc>
          <w:tcPr>
            <w:tcW w:type="dxa" w:w="14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Style</w:t>
            </w:r>
          </w:p>
        </w:tc>
        <w:tc>
          <w:tcPr>
            <w:tcW w:type="dxa" w:w="42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Primary Strength</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YS Chahal</w:t>
            </w:r>
          </w:p>
        </w:tc>
        <w:tc>
          <w:tcPr>
            <w:tcW w:type="dxa" w:w="11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205</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Leg-spin</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Googly and flight — most effective in middle overs</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DJ Bravo</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183</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Medium pace</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Death-over specialist — yorkers and slower balls</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SL Malinga</w:t>
            </w:r>
          </w:p>
        </w:tc>
        <w:tc>
          <w:tcPr>
            <w:tcW w:type="dxa" w:w="11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170</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Fast-medium</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Toe-crushing yorker — lethal in final two overs</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 Mishra</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166</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Leg-spin</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High turn — effective against left-handers</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PP Chawla</w:t>
            </w:r>
          </w:p>
        </w:tc>
        <w:tc>
          <w:tcPr>
            <w:tcW w:type="dxa" w:w="11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157</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Leg-spin</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Consistency across many franchises</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Harbhajan Singh</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Off-spin</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Powerplay specialist — exploits left-right combination</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7</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RA Jadeja</w:t>
            </w:r>
          </w:p>
        </w:tc>
        <w:tc>
          <w:tcPr>
            <w:tcW w:type="dxa" w:w="11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145</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Left-arm spin</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Economy-focused — builds pressure in middle overs</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B Kumar</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145</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Right-arm seam</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Swing in powerplay; yorkers in death overs</w:t>
            </w:r>
          </w:p>
        </w:tc>
      </w:tr>
    </w:tbl>
    <w:p>
      <w:pPr>
        <w:spacing w:after="40" w:before="40"/>
      </w:pPr>
      <w:r>
        <w:t xml:space="preserve"/>
      </w:r>
    </w:p>
    <w:p>
      <w:pPr>
        <w:pStyle w:val="Heading2"/>
        <w:spacing w:after="80" w:before="220"/>
      </w:pPr>
      <w:r>
        <w:rPr>
          <w:rFonts w:ascii="Arial" w:cs="Arial" w:eastAsia="Arial" w:hAnsi="Arial"/>
          <w:b/>
          <w:bCs/>
          <w:color w:val="2E75B6"/>
          <w:sz w:val="24"/>
          <w:szCs w:val="24"/>
        </w:rPr>
        <w:t xml:space="preserve">5.2 Dismissal Type Distribution</w:t>
      </w:r>
    </w:p>
    <w:p>
      <w:pPr>
        <w:spacing w:after="100" w:before="60"/>
        <w:jc w:val="both"/>
      </w:pPr>
      <w:r>
        <w:rPr>
          <w:rFonts w:ascii="Arial" w:cs="Arial" w:eastAsia="Arial" w:hAnsi="Arial"/>
          <w:color w:val="111111"/>
          <w:sz w:val="22"/>
          <w:szCs w:val="22"/>
        </w:rPr>
        <w:t xml:space="preserve">The mode of dismissal provides important tactical intelligence for both batting and fielding strategies. Caught dismissals are overwhelmingly dominant, accounting for approximately 55% of all wickets across 17 seasons. This reflects the fundamental nature of T20 batting: aggressive, aerial stroke play across all phases creates abundant catching opportunities, particularly at deep mid-wicket, long-on, mid-off, and fine leg.</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Dismissal Type</w:t>
            </w:r>
          </w:p>
        </w:tc>
        <w:tc>
          <w:tcPr>
            <w:tcW w:type="dxa" w:w="14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Approx. Share</w:t>
            </w:r>
          </w:p>
        </w:tc>
        <w:tc>
          <w:tcPr>
            <w:tcW w:type="dxa" w:w="58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Tactical Implication</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Caught</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~55%</w:t>
            </w:r>
          </w:p>
        </w:tc>
        <w:tc>
          <w:tcPr>
            <w:tcW w:type="dxa" w:w="5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Boundary fielding placement is the most critical decision — especially mid-wicket and long-on</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Bowled</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~18%</w:t>
            </w:r>
          </w:p>
        </w:tc>
        <w:tc>
          <w:tcPr>
            <w:tcW w:type="dxa" w:w="5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Yorkers and slower balls through the gate — effective against lower-order batters</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Run Out</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~10%</w:t>
            </w:r>
          </w:p>
        </w:tc>
        <w:tc>
          <w:tcPr>
            <w:tcW w:type="dxa" w:w="5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Chasing pressure and aggressive single-taking increases run-out frequency in 2nd innings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LBW</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w:t>
            </w:r>
          </w:p>
        </w:tc>
        <w:tc>
          <w:tcPr>
            <w:tcW w:type="dxa" w:w="5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Full-length, straight deliveries effective against back-foot playing batters in powerplay</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Stumped</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w:t>
            </w:r>
          </w:p>
        </w:tc>
        <w:tc>
          <w:tcPr>
            <w:tcW w:type="dxa" w:w="5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Spin bowlers drawing batters down the pitch — most effective in Middle overs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Hit Wicket / Retired Hurt / Other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w:t>
            </w:r>
          </w:p>
        </w:tc>
        <w:tc>
          <w:tcPr>
            <w:tcW w:type="dxa" w:w="5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Reflects extreme batting aggression and physical demands</w:t>
            </w:r>
          </w:p>
        </w:tc>
      </w:tr>
    </w:tbl>
    <w:p>
      <w:r>
        <w:br w:type="page"/>
      </w:r>
    </w:p>
    <w:p>
      <w:pPr>
        <w:pStyle w:val="Heading1"/>
        <w:pBdr>
          <w:bottom w:val="single" w:color="2E75B6" w:sz="6" w:space="4"/>
        </w:pBdr>
        <w:spacing w:after="140" w:before="300"/>
      </w:pPr>
      <w:r>
        <w:rPr>
          <w:rFonts w:ascii="Arial" w:cs="Arial" w:eastAsia="Arial" w:hAnsi="Arial"/>
          <w:b/>
          <w:bCs/>
          <w:color w:val="1F4E79"/>
          <w:sz w:val="30"/>
          <w:szCs w:val="30"/>
        </w:rPr>
        <w:t xml:space="preserve">6. Player of the Match Analysis</w:t>
      </w:r>
    </w:p>
    <w:p>
      <w:pPr>
        <w:spacing w:after="100" w:before="60"/>
        <w:jc w:val="both"/>
      </w:pPr>
      <w:r>
        <w:rPr>
          <w:rFonts w:ascii="Arial" w:cs="Arial" w:eastAsia="Arial" w:hAnsi="Arial"/>
          <w:color w:val="111111"/>
          <w:sz w:val="22"/>
          <w:szCs w:val="22"/>
        </w:rPr>
        <w:t xml:space="preserve">The Player of the Match award serves as the most direct metric of single-match impact. AB de Villiers leads all recipients with 25 awards — a number that reflects his ability to produce extraordinary performances under pressure, often in the context of chases or high-pressure situations. The top-10 list is dominated by batters, confirming that in T20 cricket, match-defining performances come overwhelmingly from explosive batting rather than bowling.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000"/>
        <w:gridCol w:w="1800"/>
        <w:gridCol w:w="39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Rank</w:t>
            </w:r>
          </w:p>
        </w:tc>
        <w:tc>
          <w:tcPr>
            <w:tcW w:type="dxa" w:w="20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Player</w:t>
            </w:r>
          </w:p>
        </w:tc>
        <w:tc>
          <w:tcPr>
            <w:tcW w:type="dxa" w:w="10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Awards</w:t>
            </w:r>
          </w:p>
        </w:tc>
        <w:tc>
          <w:tcPr>
            <w:tcW w:type="dxa" w:w="18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Role</w:t>
            </w:r>
          </w:p>
        </w:tc>
        <w:tc>
          <w:tcPr>
            <w:tcW w:type="dxa" w:w="396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Defining Quality</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AB de Villiers</w:t>
            </w:r>
          </w:p>
        </w:tc>
        <w:tc>
          <w:tcPr>
            <w:tcW w:type="dxa" w:w="1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25</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Batter (RCB)</w:t>
            </w:r>
          </w:p>
        </w:tc>
        <w:tc>
          <w:tcPr>
            <w:tcW w:type="dxa" w:w="39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360-degree game — destroys all bowling types in all conditions</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CH Gayle</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22</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Opening Batter (RCB/PBKS)</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Explosive powerplay: holds record for fastest IPL century (30 balls)</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RG Sharma</w:t>
            </w:r>
          </w:p>
        </w:tc>
        <w:tc>
          <w:tcPr>
            <w:tcW w:type="dxa" w:w="1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21</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Captain/Batter (MI)</w:t>
            </w:r>
          </w:p>
        </w:tc>
        <w:tc>
          <w:tcPr>
            <w:tcW w:type="dxa" w:w="39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Consistent match-defining innings; led MI to 5 titles</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V Kohli</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Batter (RCB)</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Anchor of run-chases — all-time leading IPL scorer</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MS Dhoni</w:t>
            </w:r>
          </w:p>
        </w:tc>
        <w:tc>
          <w:tcPr>
            <w:tcW w:type="dxa" w:w="1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20</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WK-Batter/Captain (CSK)</w:t>
            </w:r>
          </w:p>
        </w:tc>
        <w:tc>
          <w:tcPr>
            <w:tcW w:type="dxa" w:w="39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Unmatched finishing ability — wins from any situation</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DA Warner</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Opening Batter (SRH)</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Dominant at the top — highest single-season run tally</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7</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SR Watson</w:t>
            </w:r>
          </w:p>
        </w:tc>
        <w:tc>
          <w:tcPr>
            <w:tcW w:type="dxa" w:w="1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18</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All-Rounder (CSK/RR)</w:t>
            </w:r>
          </w:p>
        </w:tc>
        <w:tc>
          <w:tcPr>
            <w:tcW w:type="dxa" w:w="39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Both bat and ball contributions to match wins</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YS Chahal</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Bowler (RCB/RR)</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Highest-placed specialist bowler — confirms his match-winning value</w:t>
            </w:r>
          </w:p>
        </w:tc>
      </w:tr>
    </w:tbl>
    <w:p>
      <w:r>
        <w:br w:type="page"/>
      </w:r>
    </w:p>
    <w:p>
      <w:pPr>
        <w:pStyle w:val="Heading1"/>
        <w:pBdr>
          <w:bottom w:val="single" w:color="2E75B6" w:sz="6" w:space="4"/>
        </w:pBdr>
        <w:spacing w:after="140" w:before="300"/>
      </w:pPr>
      <w:r>
        <w:rPr>
          <w:rFonts w:ascii="Arial" w:cs="Arial" w:eastAsia="Arial" w:hAnsi="Arial"/>
          <w:b/>
          <w:bCs/>
          <w:color w:val="1F4E79"/>
          <w:sz w:val="30"/>
          <w:szCs w:val="30"/>
        </w:rPr>
        <w:t xml:space="preserve">7. Season-wise Trends and Historical Analysis</w:t>
      </w:r>
    </w:p>
    <w:p>
      <w:pPr>
        <w:pStyle w:val="Heading2"/>
        <w:spacing w:after="80" w:before="220"/>
      </w:pPr>
      <w:r>
        <w:rPr>
          <w:rFonts w:ascii="Arial" w:cs="Arial" w:eastAsia="Arial" w:hAnsi="Arial"/>
          <w:b/>
          <w:bCs/>
          <w:color w:val="2E75B6"/>
          <w:sz w:val="24"/>
          <w:szCs w:val="24"/>
        </w:rPr>
        <w:t xml:space="preserve">7.1 Tournament Growth</w:t>
      </w:r>
    </w:p>
    <w:p>
      <w:pPr>
        <w:spacing w:after="100" w:before="60"/>
        <w:jc w:val="both"/>
      </w:pPr>
      <w:r>
        <w:rPr>
          <w:rFonts w:ascii="Arial" w:cs="Arial" w:eastAsia="Arial" w:hAnsi="Arial"/>
          <w:color w:val="111111"/>
          <w:sz w:val="22"/>
          <w:szCs w:val="22"/>
        </w:rPr>
        <w:t xml:space="preserve">The IPL began in 2008 with 8 franchises playing 58 matches. By 2023–24 the tournament had grown to 10 franchises and 74 matches per season. The most recent expansion in 2022 — adding Gujarat Titans and Lucknow Super Giants — immediately disrupted the established competitive order: Gujarat Titans won the IPL title in their very first season, confirming that well-structured new franchises with strong retention and auction strategies can compete immediately.</w:t>
      </w:r>
    </w:p>
    <w:p>
      <w:pPr>
        <w:pStyle w:val="Heading2"/>
        <w:spacing w:after="80" w:before="220"/>
      </w:pPr>
      <w:r>
        <w:rPr>
          <w:rFonts w:ascii="Arial" w:cs="Arial" w:eastAsia="Arial" w:hAnsi="Arial"/>
          <w:b/>
          <w:bCs/>
          <w:color w:val="2E75B6"/>
          <w:sz w:val="24"/>
          <w:szCs w:val="24"/>
        </w:rPr>
        <w:t xml:space="preserve">7.2 Three Eras of IPL Dominance</w:t>
      </w:r>
    </w:p>
    <w:p>
      <w:pPr>
        <w:pStyle w:val="ListParagraph"/>
        <w:numPr>
          <w:ilvl w:val="0"/>
          <w:numId w:val="2"/>
        </w:numPr>
        <w:spacing w:after="40" w:before="40"/>
      </w:pPr>
      <w:r>
        <w:rPr>
          <w:rFonts w:ascii="Arial" w:cs="Arial" w:eastAsia="Arial" w:hAnsi="Arial"/>
          <w:b/>
          <w:bCs/>
          <w:color w:val="111111"/>
          <w:sz w:val="22"/>
          <w:szCs w:val="22"/>
        </w:rPr>
        <w:t xml:space="preserve">2008–2012 (Establishment Era): </w:t>
      </w:r>
      <w:r>
        <w:rPr>
          <w:rFonts w:ascii="Arial" w:cs="Arial" w:eastAsia="Arial" w:hAnsi="Arial"/>
          <w:color w:val="111111"/>
          <w:sz w:val="22"/>
          <w:szCs w:val="22"/>
        </w:rPr>
        <w:t xml:space="preserve">Multiple different champions in the first five seasons — Rajasthan Royals (2008), Deccan Chargers (2009), CSK (2010), CSK (2011), KKR (2012). Franchises were still finding their identities and building squad cultures.</w:t>
      </w:r>
    </w:p>
    <w:p>
      <w:pPr>
        <w:pStyle w:val="ListParagraph"/>
        <w:numPr>
          <w:ilvl w:val="0"/>
          <w:numId w:val="2"/>
        </w:numPr>
        <w:spacing w:after="40" w:before="40"/>
      </w:pPr>
      <w:r>
        <w:rPr>
          <w:rFonts w:ascii="Arial" w:cs="Arial" w:eastAsia="Arial" w:hAnsi="Arial"/>
          <w:b/>
          <w:bCs/>
          <w:color w:val="111111"/>
          <w:sz w:val="22"/>
          <w:szCs w:val="22"/>
        </w:rPr>
        <w:t xml:space="preserve">2013–2019 (MI and CSK Duopoly): </w:t>
      </w:r>
      <w:r>
        <w:rPr>
          <w:rFonts w:ascii="Arial" w:cs="Arial" w:eastAsia="Arial" w:hAnsi="Arial"/>
          <w:color w:val="111111"/>
          <w:sz w:val="22"/>
          <w:szCs w:val="22"/>
        </w:rPr>
        <w:t xml:space="preserve">Mumbai Indians and Chennai Super Kings won 6 of 7 available titles during this period. Consistent squad cores built around Rohit Sharma (MI) and MS Dhoni (CSK) proved the value of captain retention and long-term squad planning.</w:t>
      </w:r>
    </w:p>
    <w:p>
      <w:pPr>
        <w:pStyle w:val="ListParagraph"/>
        <w:numPr>
          <w:ilvl w:val="0"/>
          <w:numId w:val="2"/>
        </w:numPr>
        <w:spacing w:after="40" w:before="40"/>
      </w:pPr>
      <w:r>
        <w:rPr>
          <w:rFonts w:ascii="Arial" w:cs="Arial" w:eastAsia="Arial" w:hAnsi="Arial"/>
          <w:b/>
          <w:bCs/>
          <w:color w:val="111111"/>
          <w:sz w:val="22"/>
          <w:szCs w:val="22"/>
        </w:rPr>
        <w:t xml:space="preserve">2020–2024 (Democratisation): </w:t>
      </w:r>
      <w:r>
        <w:rPr>
          <w:rFonts w:ascii="Arial" w:cs="Arial" w:eastAsia="Arial" w:hAnsi="Arial"/>
          <w:color w:val="111111"/>
          <w:sz w:val="22"/>
          <w:szCs w:val="22"/>
        </w:rPr>
        <w:t xml:space="preserve">The introduction of new franchises and the mega-auction reset of 2022 broadened competition. Gujarat Titans won immediately (2022); CSK returned to win again (2023); KKR claimed their third title (2024), suggesting a more competitive equilibrium is emerging.</w:t>
      </w:r>
    </w:p>
    <w:p>
      <w:pPr>
        <w:pStyle w:val="Heading2"/>
        <w:spacing w:after="80" w:before="220"/>
      </w:pPr>
      <w:r>
        <w:rPr>
          <w:rFonts w:ascii="Arial" w:cs="Arial" w:eastAsia="Arial" w:hAnsi="Arial"/>
          <w:b/>
          <w:bCs/>
          <w:color w:val="2E75B6"/>
          <w:sz w:val="24"/>
          <w:szCs w:val="24"/>
        </w:rPr>
        <w:t xml:space="preserve">7.3 Scoring Evolution</w:t>
      </w:r>
    </w:p>
    <w:p>
      <w:pPr>
        <w:spacing w:after="100" w:before="60"/>
        <w:jc w:val="both"/>
      </w:pPr>
      <w:r>
        <w:rPr>
          <w:rFonts w:ascii="Arial" w:cs="Arial" w:eastAsia="Arial" w:hAnsi="Arial"/>
          <w:color w:val="111111"/>
          <w:sz w:val="22"/>
          <w:szCs w:val="22"/>
        </w:rPr>
        <w:t xml:space="preserve">Average first-innings scores have risen from approximately 148 runs (2008) to over 172 runs in 2023–24 — an increase of 24 runs per innings over 17 seasons. The death overs have seen the most dramatic improvement, driven by the global rise of dedicated T20 finishers and increasing franchise investment in death-batting coaching. Powerplay scoring has also increased as the power-hitting techniques pioneered by players like AB de Villiers, Chris Gayle, and MS Dhoni have been systematically taught across domestic cricket programmes.</w:t>
      </w:r>
    </w:p>
    <w:p>
      <w:r>
        <w:br w:type="page"/>
      </w:r>
    </w:p>
    <w:p>
      <w:pPr>
        <w:pStyle w:val="Heading1"/>
        <w:pBdr>
          <w:bottom w:val="single" w:color="2E75B6" w:sz="6" w:space="4"/>
        </w:pBdr>
        <w:spacing w:after="140" w:before="300"/>
      </w:pPr>
      <w:r>
        <w:rPr>
          <w:rFonts w:ascii="Arial" w:cs="Arial" w:eastAsia="Arial" w:hAnsi="Arial"/>
          <w:b/>
          <w:bCs/>
          <w:color w:val="1F4E79"/>
          <w:sz w:val="30"/>
          <w:szCs w:val="30"/>
        </w:rPr>
        <w:t xml:space="preserve">8. Key Findings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Finding</w:t>
            </w:r>
          </w:p>
        </w:tc>
        <w:tc>
          <w:tcPr>
            <w:tcW w:type="dxa" w:w="22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Measured Value</w:t>
            </w:r>
          </w:p>
        </w:tc>
        <w:tc>
          <w:tcPr>
            <w:tcW w:type="dxa" w:w="4200"/>
            <w:tcBorders>
              <w:top w:val="single" w:color="CCCCCC" w:sz="1"/>
              <w:left w:val="single" w:color="CCCCCC" w:sz="1"/>
              <w:bottom w:val="single" w:color="CCCCCC" w:sz="1"/>
              <w:right w:val="single" w:color="CCCCCC" w:sz="1"/>
            </w:tcBorders>
            <w:shd w:fill="1F4E79"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Business / Strategic Insight</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Most successful franchise</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Mumbai Indians — 144 wins</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Squad consistency + captain retention = sustained dominance</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Toss impact on win rate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50.8% — barely above random</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Toss is not a reliable competitive advantage</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Optimal toss decision</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Field first: 53.9% win rate</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Chasing is the proven dominant T20 strategy</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All-time leading run scorer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V Kohli — 8,014 runs</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Single-franchise loyalty + longevity = records</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All-time leading wicket taker</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YS Chahal — 205 wickets</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Leg-spin is the most successful T20 bowling style</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Average 1st innings score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165.5 runs (rising to 172+)</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T20 batting is structurally improving season-on-season</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Most common dismissal</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Caught — approximately 55%</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Boundary field placement is the #1 tactical priority</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Top Player of the Match winner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AB de Villiers — 25 awards</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Explosive batting produces the most single-match impact</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Bat first vs. chase win rate</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45.9% vs. 54.1%</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8+ percentage points favour chasing across 1,090 matches</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Highest-scoring match phase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Death overs — ~9.8 RPO</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Overs 16–20 are the most decisive 5 overs in any T20 match</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Total runs in powerplay</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1,03,217 across all matches</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Powerplay sets the tone — opening partnerships are critical</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Scoring trend across 17 seasons</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~148 (2008) → 172+ (2024)</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T20 batting evolution is a continuous upward structural trend</w:t>
            </w:r>
          </w:p>
        </w:tc>
      </w:tr>
    </w:tbl>
    <w:p>
      <w:r>
        <w:br w:type="page"/>
      </w:r>
    </w:p>
    <w:p>
      <w:pPr>
        <w:pStyle w:val="Heading1"/>
        <w:pBdr>
          <w:bottom w:val="single" w:color="2E75B6" w:sz="6" w:space="4"/>
        </w:pBdr>
        <w:spacing w:after="140" w:before="300"/>
      </w:pPr>
      <w:r>
        <w:rPr>
          <w:rFonts w:ascii="Arial" w:cs="Arial" w:eastAsia="Arial" w:hAnsi="Arial"/>
          <w:b/>
          <w:bCs/>
          <w:color w:val="1F4E79"/>
          <w:sz w:val="30"/>
          <w:szCs w:val="30"/>
        </w:rPr>
        <w:t xml:space="preserve">9. Limitations</w:t>
      </w:r>
    </w:p>
    <w:p>
      <w:pPr>
        <w:pStyle w:val="ListParagraph"/>
        <w:numPr>
          <w:ilvl w:val="0"/>
          <w:numId w:val="2"/>
        </w:numPr>
        <w:spacing w:after="40" w:before="40"/>
      </w:pPr>
      <w:r>
        <w:rPr>
          <w:rFonts w:ascii="Arial" w:cs="Arial" w:eastAsia="Arial" w:hAnsi="Arial"/>
          <w:b/>
          <w:bCs/>
          <w:color w:val="111111"/>
          <w:sz w:val="22"/>
          <w:szCs w:val="22"/>
        </w:rPr>
        <w:t xml:space="preserve">No auction or salary data: </w:t>
      </w:r>
      <w:r>
        <w:rPr>
          <w:rFonts w:ascii="Arial" w:cs="Arial" w:eastAsia="Arial" w:hAnsi="Arial"/>
          <w:color w:val="111111"/>
          <w:sz w:val="22"/>
          <w:szCs w:val="22"/>
        </w:rPr>
        <w:t xml:space="preserve">Prevents analysis of player value, franchise budget efficiency, or cost-per-wicket metrics — which would be valuable for strategic franchise management analysis.</w:t>
      </w:r>
    </w:p>
    <w:p>
      <w:pPr>
        <w:pStyle w:val="ListParagraph"/>
        <w:numPr>
          <w:ilvl w:val="0"/>
          <w:numId w:val="2"/>
        </w:numPr>
        <w:spacing w:after="40" w:before="40"/>
      </w:pPr>
      <w:r>
        <w:rPr>
          <w:rFonts w:ascii="Arial" w:cs="Arial" w:eastAsia="Arial" w:hAnsi="Arial"/>
          <w:b/>
          <w:bCs/>
          <w:color w:val="111111"/>
          <w:sz w:val="22"/>
          <w:szCs w:val="22"/>
        </w:rPr>
        <w:t xml:space="preserve">No pitch condition or weather data: </w:t>
      </w:r>
      <w:r>
        <w:rPr>
          <w:rFonts w:ascii="Arial" w:cs="Arial" w:eastAsia="Arial" w:hAnsi="Arial"/>
          <w:color w:val="111111"/>
          <w:sz w:val="22"/>
          <w:szCs w:val="22"/>
        </w:rPr>
        <w:t xml:space="preserve">Dew factor, pitch hardness, and atmospheric conditions materially affect T20 match outcomes — particularly the batting-first vs. batting-second balance — but none of this is captured in the dataset.</w:t>
      </w:r>
    </w:p>
    <w:p>
      <w:pPr>
        <w:pStyle w:val="ListParagraph"/>
        <w:numPr>
          <w:ilvl w:val="0"/>
          <w:numId w:val="2"/>
        </w:numPr>
        <w:spacing w:after="40" w:before="40"/>
      </w:pPr>
      <w:r>
        <w:rPr>
          <w:rFonts w:ascii="Arial" w:cs="Arial" w:eastAsia="Arial" w:hAnsi="Arial"/>
          <w:b/>
          <w:bCs/>
          <w:color w:val="111111"/>
          <w:sz w:val="22"/>
          <w:szCs w:val="22"/>
        </w:rPr>
        <w:t xml:space="preserve">Unequal franchise histories: </w:t>
      </w:r>
      <w:r>
        <w:rPr>
          <w:rFonts w:ascii="Arial" w:cs="Arial" w:eastAsia="Arial" w:hAnsi="Arial"/>
          <w:color w:val="111111"/>
          <w:sz w:val="22"/>
          <w:szCs w:val="22"/>
        </w:rPr>
        <w:t xml:space="preserve">Defunct franchises (Kochi Tuskers Kerala, Pune Warriors India, Rising Pune Supergiant) have very short match histories (1–2 seasons), making cross-team statistical comparisons unequal in sample size and potentially misleading.</w:t>
      </w:r>
    </w:p>
    <w:p>
      <w:pPr>
        <w:pStyle w:val="ListParagraph"/>
        <w:numPr>
          <w:ilvl w:val="0"/>
          <w:numId w:val="2"/>
        </w:numPr>
        <w:spacing w:after="40" w:before="40"/>
      </w:pPr>
      <w:r>
        <w:rPr>
          <w:rFonts w:ascii="Arial" w:cs="Arial" w:eastAsia="Arial" w:hAnsi="Arial"/>
          <w:b/>
          <w:bCs/>
          <w:color w:val="111111"/>
          <w:sz w:val="22"/>
          <w:szCs w:val="22"/>
        </w:rPr>
        <w:t xml:space="preserve">Player name inconsistencies: </w:t>
      </w:r>
      <w:r>
        <w:rPr>
          <w:rFonts w:ascii="Arial" w:cs="Arial" w:eastAsia="Arial" w:hAnsi="Arial"/>
          <w:color w:val="111111"/>
          <w:sz w:val="22"/>
          <w:szCs w:val="22"/>
        </w:rPr>
        <w:t xml:space="preserve">A small number of player name variants exist across seasons due to abbreviation differences in the source data, which may cause minor undercounting in career aggregate statistics.</w:t>
      </w:r>
    </w:p>
    <w:p>
      <w:pPr>
        <w:pStyle w:val="ListParagraph"/>
        <w:numPr>
          <w:ilvl w:val="0"/>
          <w:numId w:val="2"/>
        </w:numPr>
        <w:spacing w:after="40" w:before="40"/>
      </w:pPr>
      <w:r>
        <w:rPr>
          <w:rFonts w:ascii="Arial" w:cs="Arial" w:eastAsia="Arial" w:hAnsi="Arial"/>
          <w:b/>
          <w:bCs/>
          <w:color w:val="111111"/>
          <w:sz w:val="22"/>
          <w:szCs w:val="22"/>
        </w:rPr>
        <w:t xml:space="preserve">No fielding or fitness metrics: </w:t>
      </w:r>
      <w:r>
        <w:rPr>
          <w:rFonts w:ascii="Arial" w:cs="Arial" w:eastAsia="Arial" w:hAnsi="Arial"/>
          <w:color w:val="111111"/>
          <w:sz w:val="22"/>
          <w:szCs w:val="22"/>
        </w:rPr>
        <w:t xml:space="preserve">Fielding contributions, injury histories, and player fitness data are absent, preventing analysis of the physical load management strategies of successful franchises.</w:t>
      </w:r>
    </w:p>
    <w:p>
      <w:pPr>
        <w:pStyle w:val="ListParagraph"/>
        <w:numPr>
          <w:ilvl w:val="0"/>
          <w:numId w:val="2"/>
        </w:numPr>
        <w:spacing w:after="40" w:before="40"/>
      </w:pPr>
      <w:r>
        <w:rPr>
          <w:rFonts w:ascii="Arial" w:cs="Arial" w:eastAsia="Arial" w:hAnsi="Arial"/>
          <w:b/>
          <w:bCs/>
          <w:color w:val="111111"/>
          <w:sz w:val="22"/>
          <w:szCs w:val="22"/>
        </w:rPr>
        <w:t xml:space="preserve">Ball-tracking data absent: </w:t>
      </w:r>
      <w:r>
        <w:rPr>
          <w:rFonts w:ascii="Arial" w:cs="Arial" w:eastAsia="Arial" w:hAnsi="Arial"/>
          <w:color w:val="111111"/>
          <w:sz w:val="22"/>
          <w:szCs w:val="22"/>
        </w:rPr>
        <w:t xml:space="preserve">Delivery pitch map, speed, and swing data are not included — limiting the depth of technical bowling analysis possible from this dataset.</w:t>
      </w:r>
    </w:p>
    <w:p>
      <w:r>
        <w:br w:type="page"/>
      </w:r>
    </w:p>
    <w:p>
      <w:pPr>
        <w:pStyle w:val="Heading1"/>
        <w:pBdr>
          <w:bottom w:val="single" w:color="2E75B6" w:sz="6" w:space="4"/>
        </w:pBdr>
        <w:spacing w:after="140" w:before="300"/>
      </w:pPr>
      <w:r>
        <w:rPr>
          <w:rFonts w:ascii="Arial" w:cs="Arial" w:eastAsia="Arial" w:hAnsi="Arial"/>
          <w:b/>
          <w:bCs/>
          <w:color w:val="1F4E79"/>
          <w:sz w:val="30"/>
          <w:szCs w:val="30"/>
        </w:rPr>
        <w:t xml:space="preserve">10. Conclusion</w:t>
      </w:r>
    </w:p>
    <w:p>
      <w:pPr>
        <w:spacing w:after="100" w:before="60"/>
        <w:jc w:val="both"/>
      </w:pPr>
      <w:r>
        <w:rPr>
          <w:rFonts w:ascii="Arial" w:cs="Arial" w:eastAsia="Arial" w:hAnsi="Arial"/>
          <w:color w:val="111111"/>
          <w:sz w:val="22"/>
          <w:szCs w:val="22"/>
        </w:rPr>
        <w:t xml:space="preserve">This comprehensive analysis of 17 IPL seasons across 1,095 matches and 260,920 deliveries establishes a clear picture: sustained excellence in the IPL is built on systemic franchise decisions, not individual genius alone. Mumbai Indians and Chennai Super Kings — the two most successful franchises — have consistently demonstrated that captain retention, smart auction strategy, and squad-building around clear team roles produce better long-term results than assembling collections of marquee individual talents without structural coherence.</w:t>
      </w:r>
    </w:p>
    <w:p>
      <w:pPr>
        <w:spacing w:after="100" w:before="60"/>
        <w:jc w:val="both"/>
      </w:pPr>
      <w:r>
        <w:rPr>
          <w:rFonts w:ascii="Arial" w:cs="Arial" w:eastAsia="Arial" w:hAnsi="Arial"/>
          <w:color w:val="111111"/>
          <w:sz w:val="22"/>
          <w:szCs w:val="22"/>
        </w:rPr>
        <w:t xml:space="preserve">The toss, widely considered decisive in T20 cricket, is shown to be only a marginal advantage at the aggregate level. What matters decisively more is the post-toss decision — the data across 1,090 valid matches unambiguously shows that teams batting second win 54.1% of matches compared to 45.9% for teams setting totals. An 8.2 percentage point differential across a large sample is the clearest strategic insight this dataset offers: in T20 cricket, chase whenever you can.</w:t>
      </w:r>
    </w:p>
    <w:p>
      <w:pPr>
        <w:spacing w:after="100" w:before="60"/>
        <w:jc w:val="both"/>
      </w:pPr>
      <w:r>
        <w:rPr>
          <w:rFonts w:ascii="Arial" w:cs="Arial" w:eastAsia="Arial" w:hAnsi="Arial"/>
          <w:color w:val="111111"/>
          <w:sz w:val="22"/>
          <w:szCs w:val="22"/>
        </w:rPr>
        <w:t xml:space="preserve">On the batting side, the continuous rise in first-innings scores from 148 to over 172 runs across 17 seasons reflects a structural evolution in T20 batting technique and player preparation, not just pitch or boundary changes. The death overs — producing an average of 9.8 runs per over — have become the most decisive phase, reshaping how franchises allocate their highest-value batting slots in the playing XI.</w:t>
      </w:r>
    </w:p>
    <w:p>
      <w:pPr>
        <w:spacing w:after="100" w:before="60"/>
        <w:jc w:val="both"/>
      </w:pPr>
      <w:r>
        <w:rPr>
          <w:rFonts w:ascii="Arial" w:cs="Arial" w:eastAsia="Arial" w:hAnsi="Arial"/>
          <w:color w:val="111111"/>
          <w:sz w:val="22"/>
          <w:szCs w:val="22"/>
        </w:rPr>
        <w:t xml:space="preserve">On the bowling side, Yuzvendra Chahal's record of 205 wickets confirms that leg-spin bowling is the single most effective T20 wicket-taking style. The dominance of caught dismissals (approximately 55% of all wickets) means that boundary fielding placement is, statistically, the most consequential tactical decision a T20 captain makes.</w:t>
      </w:r>
    </w:p>
    <w:p>
      <w:pPr>
        <w:spacing w:after="100" w:before="60"/>
        <w:jc w:val="both"/>
      </w:pPr>
      <w:r>
        <w:rPr>
          <w:rFonts w:ascii="Arial" w:cs="Arial" w:eastAsia="Arial" w:hAnsi="Arial"/>
          <w:color w:val="111111"/>
          <w:sz w:val="22"/>
          <w:szCs w:val="22"/>
        </w:rPr>
        <w:t xml:space="preserve">The most actionable recommendations from this analysis: prioritise chasing-capable middle orders and death-over batting, invest in leg-spin or wrist-spin bowling options over pace-only attacks, retain captains and team cores across seasons, and identify death-over specialists as the highest-ROI squad slots. Seventeen years of data consistently support these as the most repeatable foundations of IPL success.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888888"/>
        <w:sz w:val="18"/>
        <w:szCs w:val="18"/>
      </w:rPr>
      <w:t xml:space="preserve">Aryan  |  IPL Data Analysis</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888888"/>
        <w:sz w:val="18"/>
        <w:szCs w:val="18"/>
      </w:rPr>
      <w:t xml:space="preserve">IPL Data Analysis Report  |  2007–2024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2026-06-14T06:09:53.003Z</dcterms:created>
  <dcterms:modified xsi:type="dcterms:W3CDTF">2026-06-14T06:09:53.012Z</dcterms:modified>
</cp:coreProperties>
</file>

<file path=docProps/custom.xml><?xml version="1.0" encoding="utf-8"?>
<Properties xmlns="http://schemas.openxmlformats.org/officeDocument/2006/custom-properties" xmlns:vt="http://schemas.openxmlformats.org/officeDocument/2006/docPropsVTypes"/>
</file>