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1F3864"/>
          <w:sz w:val="52"/>
          <w:szCs w:val="52"/>
        </w:rPr>
        <w:t xml:space="preserve">LOAN APPLICANT RISK</w:t>
      </w:r>
    </w:p>
    <w:p>
      <w:pPr>
        <w:spacing w:after="120" w:before="0"/>
        <w:jc w:val="center"/>
      </w:pPr>
      <w:r>
        <w:rPr>
          <w:rFonts w:ascii="Arial" w:cs="Arial" w:eastAsia="Arial" w:hAnsi="Arial"/>
          <w:b/>
          <w:bCs/>
          <w:color w:val="1F3864"/>
          <w:sz w:val="52"/>
          <w:szCs w:val="52"/>
        </w:rPr>
        <w:t xml:space="preserve">DATA ANALYSIS REPORT</w:t>
      </w:r>
    </w:p>
    <w:p>
      <w:pPr>
        <w:spacing w:after="480" w:before="120"/>
        <w:jc w:val="center"/>
      </w:pPr>
      <w:r>
        <w:rPr>
          <w:rFonts w:ascii="Arial" w:cs="Arial" w:eastAsia="Arial" w:hAnsi="Arial"/>
          <w:i/>
          <w:iCs/>
          <w:color w:val="2E75B6"/>
          <w:sz w:val="24"/>
          <w:szCs w:val="24"/>
        </w:rPr>
        <w:t xml:space="preserve">Predicting and Analyzing Loan Default Risk Among Applicants</w:t>
      </w:r>
    </w:p>
    <w:p>
      <w:pPr>
        <w:spacing w:after="60" w:before="60"/>
        <w:jc w:val="center"/>
      </w:pPr>
      <w:r>
        <w:rPr>
          <w:rFonts w:ascii="Arial" w:cs="Arial" w:eastAsia="Arial" w:hAnsi="Arial"/>
          <w:color w:val="666666"/>
          <w:sz w:val="20"/>
          <w:szCs w:val="20"/>
        </w:rPr>
        <w:t xml:space="preserve">Dataset: Applicant-details.csv</w:t>
      </w:r>
    </w:p>
    <w:p>
      <w:pPr>
        <w:spacing w:after="60" w:before="60"/>
        <w:jc w:val="center"/>
      </w:pPr>
      <w:r>
        <w:rPr>
          <w:rFonts w:ascii="Arial" w:cs="Arial" w:eastAsia="Arial" w:hAnsi="Arial"/>
          <w:color w:val="666666"/>
          <w:sz w:val="20"/>
          <w:szCs w:val="20"/>
        </w:rPr>
        <w:t xml:space="preserve">Records: 1,00,000 Applicants | 13 Features</w:t>
      </w:r>
    </w:p>
    <w:p>
      <w:pPr>
        <w:spacing w:after="960" w:before="60"/>
        <w:jc w:val="center"/>
      </w:pPr>
      <w:r>
        <w:rPr>
          <w:rFonts w:ascii="Arial" w:cs="Arial" w:eastAsia="Arial" w:hAnsi="Arial"/>
          <w:color w:val="666666"/>
          <w:sz w:val="20"/>
          <w:szCs w:val="20"/>
        </w:rPr>
        <w:t xml:space="preserve">June 2026</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 Executive Summary</w:t>
      </w:r>
    </w:p>
    <w:p>
      <w:pPr>
        <w:spacing w:after="80" w:before="80"/>
      </w:pPr>
      <w:r>
        <w:rPr>
          <w:rFonts w:ascii="Arial" w:cs="Arial" w:eastAsia="Arial" w:hAnsi="Arial"/>
          <w:color w:val="4A4A4A"/>
          <w:sz w:val="22"/>
          <w:szCs w:val="22"/>
        </w:rPr>
        <w:t xml:space="preserve">This report presents a comprehensive analysis of loan applicant data to identify the key demographic, financial, and lifestyle factors that drive loan default risk in India. The dataset contains 1,00,000 applicant records with 13 features including income, age, occupation, residence, marital status, house ownership, and vehicle ownership. The target variable Loan_Default_Risk is binary: 0 (safe applicant) and 1 (defaulter).</w:t>
      </w:r>
    </w:p>
    <w:p>
      <w:pPr>
        <w:spacing w:after="80" w:before="80"/>
      </w:pPr>
      <w:r>
        <w:t xml:space="preserve"/>
      </w:r>
    </w:p>
    <w:p>
      <w:pPr>
        <w:spacing w:after="80" w:before="80"/>
      </w:pPr>
      <w:r>
        <w:rPr>
          <w:rFonts w:ascii="Arial" w:cs="Arial" w:eastAsia="Arial" w:hAnsi="Arial"/>
          <w:color w:val="4A4A4A"/>
          <w:sz w:val="22"/>
          <w:szCs w:val="22"/>
        </w:rPr>
        <w:t xml:space="preserve">The overall default rate stands at 13.0%, meaning approximately 1 in every 8 applicants is flagged as a potential defaulter. This imbalanced distribution is typical of real-world lending datasets and forms the basis for the risk segmentation analysis in this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1,00,000</w:t>
            </w:r>
          </w:p>
          <w:p>
            <w:pPr>
              <w:jc w:val="center"/>
            </w:pPr>
            <w:r>
              <w:rPr>
                <w:rFonts w:ascii="Arial" w:cs="Arial" w:eastAsia="Arial" w:hAnsi="Arial"/>
                <w:color w:val="DDDDDD"/>
                <w:sz w:val="18"/>
                <w:szCs w:val="18"/>
              </w:rPr>
              <w:t xml:space="preserve">Total Applicants</w:t>
            </w:r>
          </w:p>
        </w:tc>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12,997</w:t>
            </w:r>
          </w:p>
          <w:p>
            <w:pPr>
              <w:jc w:val="center"/>
            </w:pPr>
            <w:r>
              <w:rPr>
                <w:rFonts w:ascii="Arial" w:cs="Arial" w:eastAsia="Arial" w:hAnsi="Arial"/>
                <w:color w:val="DDDDDD"/>
                <w:sz w:val="18"/>
                <w:szCs w:val="18"/>
              </w:rPr>
              <w:t xml:space="preserve">Defaulters</w:t>
            </w:r>
          </w:p>
        </w:tc>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87,003</w:t>
            </w:r>
          </w:p>
          <w:p>
            <w:pPr>
              <w:jc w:val="center"/>
            </w:pPr>
            <w:r>
              <w:rPr>
                <w:rFonts w:ascii="Arial" w:cs="Arial" w:eastAsia="Arial" w:hAnsi="Arial"/>
                <w:color w:val="DDDDDD"/>
                <w:sz w:val="18"/>
                <w:szCs w:val="18"/>
              </w:rPr>
              <w:t xml:space="preserve">Non-Defaulters</w:t>
            </w:r>
          </w:p>
        </w:tc>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13.0%</w:t>
            </w:r>
          </w:p>
          <w:p>
            <w:pPr>
              <w:jc w:val="center"/>
            </w:pPr>
            <w:r>
              <w:rPr>
                <w:rFonts w:ascii="Arial" w:cs="Arial" w:eastAsia="Arial" w:hAnsi="Arial"/>
                <w:color w:val="DDDDDD"/>
                <w:sz w:val="18"/>
                <w:szCs w:val="18"/>
              </w:rPr>
              <w:t xml:space="preserve">Default Rate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Rs. 50.02L</w:t>
            </w:r>
          </w:p>
          <w:p>
            <w:pPr>
              <w:jc w:val="center"/>
            </w:pPr>
            <w:r>
              <w:rPr>
                <w:rFonts w:ascii="Arial" w:cs="Arial" w:eastAsia="Arial" w:hAnsi="Arial"/>
                <w:color w:val="DDDDDD"/>
                <w:sz w:val="18"/>
                <w:szCs w:val="18"/>
              </w:rPr>
              <w:t xml:space="preserve">Avg Annual Income</w:t>
            </w:r>
          </w:p>
        </w:tc>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50.0 yrs</w:t>
            </w:r>
          </w:p>
          <w:p>
            <w:pPr>
              <w:jc w:val="center"/>
            </w:pPr>
            <w:r>
              <w:rPr>
                <w:rFonts w:ascii="Arial" w:cs="Arial" w:eastAsia="Arial" w:hAnsi="Arial"/>
                <w:color w:val="DDDDDD"/>
                <w:sz w:val="18"/>
                <w:szCs w:val="18"/>
              </w:rPr>
              <w:t xml:space="preserve">Avg Applicant Age</w:t>
            </w:r>
          </w:p>
        </w:tc>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10.1 yrs</w:t>
            </w:r>
          </w:p>
          <w:p>
            <w:pPr>
              <w:jc w:val="center"/>
            </w:pPr>
            <w:r>
              <w:rPr>
                <w:rFonts w:ascii="Arial" w:cs="Arial" w:eastAsia="Arial" w:hAnsi="Arial"/>
                <w:color w:val="DDDDDD"/>
                <w:sz w:val="18"/>
                <w:szCs w:val="18"/>
              </w:rPr>
              <w:t xml:space="preserve">Avg Work Experience</w:t>
            </w:r>
          </w:p>
        </w:tc>
        <w:tc>
          <w:tcPr>
            <w:tcW w:type="dxa" w:w="2340"/>
            <w:tcBorders>
              <w:top w:val="single" w:color="CCCCCC" w:sz="1"/>
              <w:left w:val="single" w:color="CCCCCC" w:sz="1"/>
              <w:bottom w:val="single" w:color="CCCCCC" w:sz="1"/>
              <w:right w:val="single" w:color="CCCCCC" w:sz="1"/>
            </w:tcBorders>
            <w:shd w:fill="1F3864" w:val="clear"/>
            <w:tcMar>
              <w:top w:type="dxa" w:w="160"/>
              <w:left w:type="dxa" w:w="180"/>
              <w:bottom w:type="dxa" w:w="160"/>
              <w:right w:type="dxa" w:w="180"/>
            </w:tcMar>
            <w:vAlign w:val="center"/>
          </w:tcPr>
          <w:p>
            <w:pPr>
              <w:jc w:val="center"/>
            </w:pPr>
            <w:r>
              <w:rPr>
                <w:rFonts w:ascii="Arial" w:cs="Arial" w:eastAsia="Arial" w:hAnsi="Arial"/>
                <w:b/>
                <w:bCs/>
                <w:color w:val="FFFFFF"/>
                <w:sz w:val="36"/>
                <w:szCs w:val="36"/>
              </w:rPr>
              <w:t xml:space="preserve">29</w:t>
            </w:r>
          </w:p>
          <w:p>
            <w:pPr>
              <w:jc w:val="center"/>
            </w:pPr>
            <w:r>
              <w:rPr>
                <w:rFonts w:ascii="Arial" w:cs="Arial" w:eastAsia="Arial" w:hAnsi="Arial"/>
                <w:color w:val="DDDDDD"/>
                <w:sz w:val="18"/>
                <w:szCs w:val="18"/>
              </w:rPr>
              <w:t xml:space="preserve">States Covered</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Problem Statement</w:t>
      </w:r>
    </w:p>
    <w:p>
      <w:pPr>
        <w:spacing w:after="80" w:before="80"/>
      </w:pPr>
      <w:r>
        <w:rPr>
          <w:rFonts w:ascii="Arial" w:cs="Arial" w:eastAsia="Arial" w:hAnsi="Arial"/>
          <w:color w:val="4A4A4A"/>
          <w:sz w:val="22"/>
          <w:szCs w:val="22"/>
        </w:rPr>
        <w:t xml:space="preserve">Financial institutions face significant losses from loan defaults. Early identification of high-risk applicants is critical for sound lending decisions. This analysis aims to:</w:t>
      </w:r>
    </w:p>
    <w:p>
      <w:pPr>
        <w:pStyle w:val="ListParagraph"/>
        <w:numPr>
          <w:ilvl w:val="0"/>
          <w:numId w:val="2"/>
        </w:numPr>
        <w:spacing w:after="40" w:before="40"/>
      </w:pPr>
      <w:r>
        <w:rPr>
          <w:rFonts w:ascii="Arial" w:cs="Arial" w:eastAsia="Arial" w:hAnsi="Arial"/>
          <w:color w:val="4A4A4A"/>
          <w:sz w:val="22"/>
          <w:szCs w:val="22"/>
        </w:rPr>
        <w:t xml:space="preserve">Identify demographic and financial patterns that correlate with loan defaults</w:t>
      </w:r>
    </w:p>
    <w:p>
      <w:pPr>
        <w:pStyle w:val="ListParagraph"/>
        <w:numPr>
          <w:ilvl w:val="0"/>
          <w:numId w:val="2"/>
        </w:numPr>
        <w:spacing w:after="40" w:before="40"/>
      </w:pPr>
      <w:r>
        <w:rPr>
          <w:rFonts w:ascii="Arial" w:cs="Arial" w:eastAsia="Arial" w:hAnsi="Arial"/>
          <w:color w:val="4A4A4A"/>
          <w:sz w:val="22"/>
          <w:szCs w:val="22"/>
        </w:rPr>
        <w:t xml:space="preserve">Segment applicants by risk level based on lifestyle and income factors</w:t>
      </w:r>
    </w:p>
    <w:p>
      <w:pPr>
        <w:pStyle w:val="ListParagraph"/>
        <w:numPr>
          <w:ilvl w:val="0"/>
          <w:numId w:val="2"/>
        </w:numPr>
        <w:spacing w:after="40" w:before="40"/>
      </w:pPr>
      <w:r>
        <w:rPr>
          <w:rFonts w:ascii="Arial" w:cs="Arial" w:eastAsia="Arial" w:hAnsi="Arial"/>
          <w:color w:val="4A4A4A"/>
          <w:sz w:val="22"/>
          <w:szCs w:val="22"/>
        </w:rPr>
        <w:t xml:space="preserve">Provide actionable insights for risk-based loan approval strategies</w:t>
      </w:r>
    </w:p>
    <w:p>
      <w:pPr>
        <w:pStyle w:val="ListParagraph"/>
        <w:numPr>
          <w:ilvl w:val="0"/>
          <w:numId w:val="2"/>
        </w:numPr>
        <w:spacing w:after="40" w:before="40"/>
      </w:pPr>
      <w:r>
        <w:rPr>
          <w:rFonts w:ascii="Arial" w:cs="Arial" w:eastAsia="Arial" w:hAnsi="Arial"/>
          <w:color w:val="4A4A4A"/>
          <w:sz w:val="22"/>
          <w:szCs w:val="22"/>
        </w:rPr>
        <w:t xml:space="preserve">Surface geographic and occupational risk hotspots across India</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3. Dataset Overview</w:t>
      </w:r>
    </w:p>
    <w:p>
      <w:pPr>
        <w:pStyle w:val="Heading2"/>
        <w:spacing w:after="120" w:before="240"/>
      </w:pPr>
      <w:r>
        <w:rPr>
          <w:rFonts w:ascii="Arial" w:cs="Arial" w:eastAsia="Arial" w:hAnsi="Arial"/>
          <w:b/>
          <w:bCs/>
          <w:color w:val="2E75B6"/>
          <w:sz w:val="26"/>
          <w:szCs w:val="26"/>
        </w:rPr>
        <w:t xml:space="preserve">3.1 Column Description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Column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Applicant_ID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Unique identifier for each applicant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Annual_Income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Gross annual income in INR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Applicant_Age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Age of the applicant in years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Work_Experience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Total years of work experience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Marital_Status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Single or Married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House_Ownership</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Rented / Owned / No Rent No 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Vehicle_Ownership(car)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Yes / No</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Occupation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51 unique job categories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Residence_City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317 unique cities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Residence_State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29 Indian states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Years_in_Current_Employment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Job stability indicator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Years_in_Current_Residence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Residence stability indicator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Loan_Default_Risk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 = Safe, 1 = Defaulter (Target)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Data Quality</w:t>
      </w:r>
    </w:p>
    <w:p>
      <w:pPr>
        <w:pStyle w:val="ListParagraph"/>
        <w:numPr>
          <w:ilvl w:val="0"/>
          <w:numId w:val="2"/>
        </w:numPr>
        <w:spacing w:after="40" w:before="40"/>
      </w:pPr>
      <w:r>
        <w:rPr>
          <w:rFonts w:ascii="Arial" w:cs="Arial" w:eastAsia="Arial" w:hAnsi="Arial"/>
          <w:color w:val="4A4A4A"/>
          <w:sz w:val="22"/>
          <w:szCs w:val="22"/>
        </w:rPr>
        <w:t xml:space="preserve">No missing values across all 13 columns</w:t>
      </w:r>
    </w:p>
    <w:p>
      <w:pPr>
        <w:pStyle w:val="ListParagraph"/>
        <w:numPr>
          <w:ilvl w:val="0"/>
          <w:numId w:val="2"/>
        </w:numPr>
        <w:spacing w:after="40" w:before="40"/>
      </w:pPr>
      <w:r>
        <w:rPr>
          <w:rFonts w:ascii="Arial" w:cs="Arial" w:eastAsia="Arial" w:hAnsi="Arial"/>
          <w:color w:val="4A4A4A"/>
          <w:sz w:val="22"/>
          <w:szCs w:val="22"/>
        </w:rPr>
        <w:t xml:space="preserve">No duplicate records found after deduplication check</w:t>
      </w:r>
    </w:p>
    <w:p>
      <w:pPr>
        <w:pStyle w:val="ListParagraph"/>
        <w:numPr>
          <w:ilvl w:val="0"/>
          <w:numId w:val="2"/>
        </w:numPr>
        <w:spacing w:after="40" w:before="40"/>
      </w:pPr>
      <w:r>
        <w:rPr>
          <w:rFonts w:ascii="Arial" w:cs="Arial" w:eastAsia="Arial" w:hAnsi="Arial"/>
          <w:color w:val="4A4A4A"/>
          <w:sz w:val="22"/>
          <w:szCs w:val="22"/>
        </w:rPr>
        <w:t xml:space="preserve">Binary categorical columns (Marital_Status, Vehicle_Ownership) are clean</w:t>
      </w:r>
    </w:p>
    <w:p>
      <w:pPr>
        <w:pStyle w:val="ListParagraph"/>
        <w:numPr>
          <w:ilvl w:val="0"/>
          <w:numId w:val="2"/>
        </w:numPr>
        <w:spacing w:after="40" w:before="40"/>
      </w:pPr>
      <w:r>
        <w:rPr>
          <w:rFonts w:ascii="Arial" w:cs="Arial" w:eastAsia="Arial" w:hAnsi="Arial"/>
          <w:color w:val="4A4A4A"/>
          <w:sz w:val="22"/>
          <w:szCs w:val="22"/>
        </w:rPr>
        <w:t xml:space="preserve">House_Ownership has 3 categories: rented, owned, norent_noown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Key Findings</w:t>
      </w:r>
    </w:p>
    <w:p>
      <w:pPr>
        <w:pStyle w:val="Heading2"/>
        <w:spacing w:after="120" w:before="240"/>
      </w:pPr>
      <w:r>
        <w:rPr>
          <w:rFonts w:ascii="Arial" w:cs="Arial" w:eastAsia="Arial" w:hAnsi="Arial"/>
          <w:b/>
          <w:bCs/>
          <w:color w:val="2E75B6"/>
          <w:sz w:val="26"/>
          <w:szCs w:val="26"/>
        </w:rPr>
        <w:t xml:space="preserve">4.1 Default Rate by House Ownership</w:t>
      </w:r>
    </w:p>
    <w:p>
      <w:pPr>
        <w:spacing w:after="80" w:before="80"/>
      </w:pPr>
      <w:r>
        <w:rPr>
          <w:rFonts w:ascii="Arial" w:cs="Arial" w:eastAsia="Arial" w:hAnsi="Arial"/>
          <w:color w:val="4A4A4A"/>
          <w:sz w:val="22"/>
          <w:szCs w:val="22"/>
        </w:rPr>
        <w:t xml:space="preserve">Housing status is one of the strongest predictors of default risk in this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House Ownership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 Rate (%)</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Risk Level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Rented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13.34%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Highest Risk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No Rent / No Own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9.11%</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Low Risk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Owned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9.01%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Lowest Risk</w:t>
            </w:r>
          </w:p>
        </w:tc>
      </w:tr>
    </w:tbl>
    <w:p>
      <w:pPr>
        <w:spacing w:after="80" w:before="80"/>
      </w:pPr>
      <w:r>
        <w:t xml:space="preserve"/>
      </w:r>
    </w:p>
    <w:p>
      <w:pPr>
        <w:spacing w:after="80" w:before="80"/>
      </w:pPr>
      <w:r>
        <w:rPr>
          <w:rFonts w:ascii="Arial" w:cs="Arial" w:eastAsia="Arial" w:hAnsi="Arial"/>
          <w:color w:val="4A4A4A"/>
          <w:sz w:val="22"/>
          <w:szCs w:val="22"/>
        </w:rPr>
        <w:t xml:space="preserve">Renters show a 48% higher default rate than homeowners. This is consistent with the financial theory that homeownership signals greater asset stability and financial discipline.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Default Rate by Marital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Marital Status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 Rate (%)</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Observation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Single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13.22%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Higher risk — less financial support network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Married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11.02%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Lower risk — dual income / shared liabilities</w:t>
            </w:r>
          </w:p>
        </w:tc>
      </w:tr>
    </w:tbl>
    <w:p>
      <w:pPr>
        <w:spacing w:after="80" w:before="80"/>
      </w:pPr>
      <w:r>
        <w:t xml:space="preserve"/>
      </w:r>
    </w:p>
    <w:p>
      <w:pPr>
        <w:spacing w:after="80" w:before="80"/>
      </w:pPr>
      <w:r>
        <w:rPr>
          <w:rFonts w:ascii="Arial" w:cs="Arial" w:eastAsia="Arial" w:hAnsi="Arial"/>
          <w:color w:val="4A4A4A"/>
          <w:sz w:val="22"/>
          <w:szCs w:val="22"/>
        </w:rPr>
        <w:t xml:space="preserve">Single applicants default at a 20% higher rate than married applicants, suggesting that dual-income households provide greater financial stability.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Default Rate by Vehicle Ownership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Vehicle Ownership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 Rate (%)</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Observation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No Car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14.33%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Higher risk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Has Car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9.94%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Lower risk — signals asset ownership</w:t>
            </w:r>
          </w:p>
        </w:tc>
      </w:tr>
    </w:tbl>
    <w:p>
      <w:pPr>
        <w:spacing w:after="80" w:before="80"/>
      </w:pPr>
      <w:r>
        <w:t xml:space="preserve"/>
      </w:r>
    </w:p>
    <w:p>
      <w:pPr>
        <w:spacing w:after="80" w:before="80"/>
      </w:pPr>
      <w:r>
        <w:rPr>
          <w:rFonts w:ascii="Arial" w:cs="Arial" w:eastAsia="Arial" w:hAnsi="Arial"/>
          <w:color w:val="4A4A4A"/>
          <w:sz w:val="22"/>
          <w:szCs w:val="22"/>
        </w:rPr>
        <w:t xml:space="preserve">Applicants without a vehicle default at 44% higher rates than those who own one, suggesting that vehicle ownership acts as a proxy for financial health.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Default Rate by Age 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Age Group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 Rate (%)</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Observation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&lt;25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14.57%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Highest — limited credit history &amp; experience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25-35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14.23%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High — early career financial pressures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35-45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12.21%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Moderate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45-55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13.32%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Moderate — nearing retirement concerns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12.32%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Lower — established financial profile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4.5 Default Rate by Income Bracket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Income Bracket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Annual Income (INR)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 Rate (%)</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&lt; 25 Lakhs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13.60%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Medium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25L - 50L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12.49%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50L - 75L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12.50%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Very High</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&gt; 75 Lakhs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13.40%</w:t>
            </w:r>
          </w:p>
        </w:tc>
      </w:tr>
    </w:tbl>
    <w:p>
      <w:pPr>
        <w:spacing w:after="80" w:before="80"/>
      </w:pPr>
      <w:r>
        <w:t xml:space="preserve"/>
      </w:r>
    </w:p>
    <w:p>
      <w:pPr>
        <w:spacing w:after="80" w:before="80"/>
      </w:pPr>
      <w:r>
        <w:rPr>
          <w:rFonts w:ascii="Arial" w:cs="Arial" w:eastAsia="Arial" w:hAnsi="Arial"/>
          <w:color w:val="4A4A4A"/>
          <w:sz w:val="22"/>
          <w:szCs w:val="22"/>
        </w:rPr>
        <w:t xml:space="preserve">Interestingly, income bracket alone is not a strong differentiator — default rates remain near 13% across all income levels. This suggests that income alone is insufficient for risk assessment and must be combined with other behavioral and demographic factors.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4.6 Top 5 Riskiest Occupations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Rank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Occupation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 Rate (%)</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Police Officer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18.61%</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Army Officer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17.59%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Chartered Accountant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16.97%</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Scientist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16.80%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Surveyor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16.70%</w:t>
            </w:r>
          </w:p>
        </w:tc>
      </w:tr>
    </w:tbl>
    <w:p>
      <w:pPr>
        <w:spacing w:after="80" w:before="80"/>
      </w:pPr>
      <w:r>
        <w:t xml:space="preserve"/>
      </w:r>
    </w:p>
    <w:p>
      <w:pPr>
        <w:spacing w:after="80" w:before="80"/>
      </w:pPr>
      <w:r>
        <w:rPr>
          <w:rFonts w:ascii="Arial" w:cs="Arial" w:eastAsia="Arial" w:hAnsi="Arial"/>
          <w:color w:val="4A4A4A"/>
          <w:sz w:val="22"/>
          <w:szCs w:val="22"/>
        </w:rPr>
        <w:t xml:space="preserve">Uniformed services (Police, Army) showing high default rates may reflect irregular posting patterns, relocation pressures, or irregular bonus-based pay structures.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4.7 Top 5 Riskiest States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Rank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State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 Rate (%)</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Manipur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25.74%</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Tripura</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19.23%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Kerala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17.96%</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Jammu &amp; Kashmir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17.89%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Madhya Pradesh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17.25%</w:t>
            </w:r>
          </w:p>
        </w:tc>
      </w:tr>
    </w:tbl>
    <w:p>
      <w:pPr>
        <w:spacing w:after="80" w:before="80"/>
      </w:pPr>
      <w:r>
        <w:t xml:space="preserve"/>
      </w:r>
    </w:p>
    <w:p>
      <w:pPr>
        <w:spacing w:after="80" w:before="80"/>
      </w:pPr>
      <w:r>
        <w:rPr>
          <w:rFonts w:ascii="Arial" w:cs="Arial" w:eastAsia="Arial" w:hAnsi="Arial"/>
          <w:color w:val="4A4A4A"/>
          <w:sz w:val="22"/>
          <w:szCs w:val="22"/>
        </w:rPr>
        <w:t xml:space="preserve">Northeastern states and conflict-affected regions show significantly higher default rates, possibly reflecting lower economic stability, limited formal employment, and weaker credit infrastructure.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5. Defaulter vs Non-Defaulter Profile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Non-Defaulters (0)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Defaulters (1)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Difference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Avg Annual Income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50.06L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49.74L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Rs. 0.32L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Avg Age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50.1 years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49.0 years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1.1 years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Avg Work Experience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10.2 years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9.7 years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0.5 years</w:t>
            </w:r>
          </w:p>
        </w:tc>
      </w:tr>
    </w:tbl>
    <w:p>
      <w:pPr>
        <w:spacing w:after="80" w:before="80"/>
      </w:pPr>
      <w:r>
        <w:t xml:space="preserve"/>
      </w:r>
    </w:p>
    <w:p>
      <w:pPr>
        <w:spacing w:after="80" w:before="80"/>
      </w:pPr>
      <w:r>
        <w:rPr>
          <w:rFonts w:ascii="Arial" w:cs="Arial" w:eastAsia="Arial" w:hAnsi="Arial"/>
          <w:color w:val="4A4A4A"/>
          <w:sz w:val="22"/>
          <w:szCs w:val="22"/>
        </w:rPr>
        <w:t xml:space="preserve">The numerical differences between defaulters and non-defaulters are minimal. This confirms that income, age, and experience alone cannot reliably predict default — categorical lifestyle factors like housing, vehicle ownership, and occupation are far more discriminating.</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6. Conclusions</w:t>
      </w:r>
    </w:p>
    <w:p>
      <w:pPr>
        <w:spacing w:after="80" w:before="80"/>
      </w:pPr>
      <w:r>
        <w:rPr>
          <w:rFonts w:ascii="Arial" w:cs="Arial" w:eastAsia="Arial" w:hAnsi="Arial"/>
          <w:color w:val="4A4A4A"/>
          <w:sz w:val="22"/>
          <w:szCs w:val="22"/>
        </w:rPr>
        <w:t xml:space="preserve">Based on the analysis of 1,00,000 loan applicants, the following conclusions can be drawn:</w:t>
      </w:r>
    </w:p>
    <w:p>
      <w:pPr>
        <w:spacing w:after="80" w:before="80"/>
      </w:pPr>
      <w:r>
        <w:t xml:space="preserve"/>
      </w:r>
    </w:p>
    <w:p>
      <w:pPr>
        <w:pStyle w:val="ListParagraph"/>
        <w:numPr>
          <w:ilvl w:val="0"/>
          <w:numId w:val="2"/>
        </w:numPr>
        <w:spacing w:after="40" w:before="40"/>
      </w:pPr>
      <w:r>
        <w:rPr>
          <w:rFonts w:ascii="Arial" w:cs="Arial" w:eastAsia="Arial" w:hAnsi="Arial"/>
          <w:color w:val="4A4A4A"/>
          <w:sz w:val="22"/>
          <w:szCs w:val="22"/>
        </w:rPr>
        <w:t xml:space="preserve">House ownership is the single strongest lifestyle indicator — renters are 48% more likely to default than homeowners</w:t>
      </w:r>
    </w:p>
    <w:p>
      <w:pPr>
        <w:pStyle w:val="ListParagraph"/>
        <w:numPr>
          <w:ilvl w:val="0"/>
          <w:numId w:val="2"/>
        </w:numPr>
        <w:spacing w:after="40" w:before="40"/>
      </w:pPr>
      <w:r>
        <w:rPr>
          <w:rFonts w:ascii="Arial" w:cs="Arial" w:eastAsia="Arial" w:hAnsi="Arial"/>
          <w:color w:val="4A4A4A"/>
          <w:sz w:val="22"/>
          <w:szCs w:val="22"/>
        </w:rPr>
        <w:t xml:space="preserve">Vehicle ownership acts as a reliable asset proxy — non-car-owners default at significantly higher rates</w:t>
      </w:r>
    </w:p>
    <w:p>
      <w:pPr>
        <w:pStyle w:val="ListParagraph"/>
        <w:numPr>
          <w:ilvl w:val="0"/>
          <w:numId w:val="2"/>
        </w:numPr>
        <w:spacing w:after="40" w:before="40"/>
      </w:pPr>
      <w:r>
        <w:rPr>
          <w:rFonts w:ascii="Arial" w:cs="Arial" w:eastAsia="Arial" w:hAnsi="Arial"/>
          <w:color w:val="4A4A4A"/>
          <w:sz w:val="22"/>
          <w:szCs w:val="22"/>
        </w:rPr>
        <w:t xml:space="preserve">Younger applicants (&lt;35 years) present higher risk due to limited financial stability</w:t>
      </w:r>
    </w:p>
    <w:p>
      <w:pPr>
        <w:pStyle w:val="ListParagraph"/>
        <w:numPr>
          <w:ilvl w:val="0"/>
          <w:numId w:val="2"/>
        </w:numPr>
        <w:spacing w:after="40" w:before="40"/>
      </w:pPr>
      <w:r>
        <w:rPr>
          <w:rFonts w:ascii="Arial" w:cs="Arial" w:eastAsia="Arial" w:hAnsi="Arial"/>
          <w:color w:val="4A4A4A"/>
          <w:sz w:val="22"/>
          <w:szCs w:val="22"/>
        </w:rPr>
        <w:t xml:space="preserve">Income alone is not a reliable default predictor — the spread is nearly uniform across income brackets</w:t>
      </w:r>
    </w:p>
    <w:p>
      <w:pPr>
        <w:pStyle w:val="ListParagraph"/>
        <w:numPr>
          <w:ilvl w:val="0"/>
          <w:numId w:val="2"/>
        </w:numPr>
        <w:spacing w:after="40" w:before="40"/>
      </w:pPr>
      <w:r>
        <w:rPr>
          <w:rFonts w:ascii="Arial" w:cs="Arial" w:eastAsia="Arial" w:hAnsi="Arial"/>
          <w:color w:val="4A4A4A"/>
          <w:sz w:val="22"/>
          <w:szCs w:val="22"/>
        </w:rPr>
        <w:t xml:space="preserve">Geographic risk is concentrated in Northeastern and border states</w:t>
      </w:r>
    </w:p>
    <w:p>
      <w:pPr>
        <w:pStyle w:val="ListParagraph"/>
        <w:numPr>
          <w:ilvl w:val="0"/>
          <w:numId w:val="2"/>
        </w:numPr>
        <w:spacing w:after="40" w:before="40"/>
      </w:pPr>
      <w:r>
        <w:rPr>
          <w:rFonts w:ascii="Arial" w:cs="Arial" w:eastAsia="Arial" w:hAnsi="Arial"/>
          <w:color w:val="4A4A4A"/>
          <w:sz w:val="22"/>
          <w:szCs w:val="22"/>
        </w:rPr>
        <w:t xml:space="preserve">Uniformed professionals (Police, Army) show unexpectedly high default rates</w:t>
      </w:r>
    </w:p>
    <w:p>
      <w:pPr>
        <w:pStyle w:val="ListParagraph"/>
        <w:numPr>
          <w:ilvl w:val="0"/>
          <w:numId w:val="2"/>
        </w:numPr>
        <w:spacing w:after="40" w:before="40"/>
      </w:pPr>
      <w:r>
        <w:rPr>
          <w:rFonts w:ascii="Arial" w:cs="Arial" w:eastAsia="Arial" w:hAnsi="Arial"/>
          <w:color w:val="4A4A4A"/>
          <w:sz w:val="22"/>
          <w:szCs w:val="22"/>
        </w:rPr>
        <w:t xml:space="preserve">Single applicants carry moderately higher risk than married ones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7. Recommendations</w:t>
      </w:r>
    </w:p>
    <w:p>
      <w:pPr>
        <w:pStyle w:val="ListParagraph"/>
        <w:numPr>
          <w:ilvl w:val="0"/>
          <w:numId w:val="2"/>
        </w:numPr>
        <w:spacing w:after="40" w:before="40"/>
      </w:pPr>
      <w:r>
        <w:rPr>
          <w:rFonts w:ascii="Arial" w:cs="Arial" w:eastAsia="Arial" w:hAnsi="Arial"/>
          <w:color w:val="4A4A4A"/>
          <w:sz w:val="22"/>
          <w:szCs w:val="22"/>
        </w:rPr>
        <w:t xml:space="preserve">Apply stricter income-to-EMI ratio checks for renting applicants with no vehicle ownership</w:t>
      </w:r>
    </w:p>
    <w:p>
      <w:pPr>
        <w:pStyle w:val="ListParagraph"/>
        <w:numPr>
          <w:ilvl w:val="0"/>
          <w:numId w:val="2"/>
        </w:numPr>
        <w:spacing w:after="40" w:before="40"/>
      </w:pPr>
      <w:r>
        <w:rPr>
          <w:rFonts w:ascii="Arial" w:cs="Arial" w:eastAsia="Arial" w:hAnsi="Arial"/>
          <w:color w:val="4A4A4A"/>
          <w:sz w:val="22"/>
          <w:szCs w:val="22"/>
        </w:rPr>
        <w:t xml:space="preserve">Design location-adjusted risk scoring for high-default states like Manipur and Tripura</w:t>
      </w:r>
    </w:p>
    <w:p>
      <w:pPr>
        <w:pStyle w:val="ListParagraph"/>
        <w:numPr>
          <w:ilvl w:val="0"/>
          <w:numId w:val="2"/>
        </w:numPr>
        <w:spacing w:after="40" w:before="40"/>
      </w:pPr>
      <w:r>
        <w:rPr>
          <w:rFonts w:ascii="Arial" w:cs="Arial" w:eastAsia="Arial" w:hAnsi="Arial"/>
          <w:color w:val="4A4A4A"/>
          <w:sz w:val="22"/>
          <w:szCs w:val="22"/>
        </w:rPr>
        <w:t xml:space="preserve">Develop age-specific loan products for applicants under 35 with limited financial history</w:t>
      </w:r>
    </w:p>
    <w:p>
      <w:pPr>
        <w:pStyle w:val="ListParagraph"/>
        <w:numPr>
          <w:ilvl w:val="0"/>
          <w:numId w:val="2"/>
        </w:numPr>
        <w:spacing w:after="40" w:before="40"/>
      </w:pPr>
      <w:r>
        <w:rPr>
          <w:rFonts w:ascii="Arial" w:cs="Arial" w:eastAsia="Arial" w:hAnsi="Arial"/>
          <w:color w:val="4A4A4A"/>
          <w:sz w:val="22"/>
          <w:szCs w:val="22"/>
        </w:rPr>
        <w:t xml:space="preserve">Consider occupation-based risk premiums for Police, Army, and CA profiles</w:t>
      </w:r>
    </w:p>
    <w:p>
      <w:pPr>
        <w:pStyle w:val="ListParagraph"/>
        <w:numPr>
          <w:ilvl w:val="0"/>
          <w:numId w:val="2"/>
        </w:numPr>
        <w:spacing w:after="40" w:before="40"/>
      </w:pPr>
      <w:r>
        <w:rPr>
          <w:rFonts w:ascii="Arial" w:cs="Arial" w:eastAsia="Arial" w:hAnsi="Arial"/>
          <w:color w:val="4A4A4A"/>
          <w:sz w:val="22"/>
          <w:szCs w:val="22"/>
        </w:rPr>
        <w:t xml:space="preserve">Build a composite risk score combining house ownership + vehicle + marital status for better accuracy</w:t>
      </w:r>
    </w:p>
    <w:p>
      <w:pPr>
        <w:pStyle w:val="ListParagraph"/>
        <w:numPr>
          <w:ilvl w:val="0"/>
          <w:numId w:val="2"/>
        </w:numPr>
        <w:spacing w:after="40" w:before="40"/>
      </w:pPr>
      <w:r>
        <w:rPr>
          <w:rFonts w:ascii="Arial" w:cs="Arial" w:eastAsia="Arial" w:hAnsi="Arial"/>
          <w:color w:val="4A4A4A"/>
          <w:sz w:val="22"/>
          <w:szCs w:val="22"/>
        </w:rPr>
        <w:t xml:space="preserve">Use this EDA as the foundation for a supervised ML model (Logistic Regression / Random Forest)</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8. Tools &amp; Technologies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Tool</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Python (Pandas, NumPy)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Data loading, cleaning, feature engineering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Matplotlib / Seaborn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Exploratory data visualization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PostgreSQL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Structured querying and aggregations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Power BI</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color w:val="1A1A1A"/>
                <w:sz w:val="20"/>
                <w:szCs w:val="20"/>
              </w:rPr>
              <w:t xml:space="preserve">Interactive dashboard and business reporting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SQLAlchemy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A1A1A"/>
                <w:sz w:val="20"/>
                <w:szCs w:val="20"/>
              </w:rPr>
              <w:t xml:space="preserve">DataFrame-to-SQL pipeline</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2026-06-12T08:54:57.386Z</dcterms:created>
  <dcterms:modified xsi:type="dcterms:W3CDTF">2026-06-12T08:54:57.387Z</dcterms:modified>
</cp:coreProperties>
</file>

<file path=docProps/custom.xml><?xml version="1.0" encoding="utf-8"?>
<Properties xmlns="http://schemas.openxmlformats.org/officeDocument/2006/custom-properties" xmlns:vt="http://schemas.openxmlformats.org/officeDocument/2006/docPropsVTypes"/>
</file>