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D8609" w14:textId="79AF1CCF" w:rsidR="009F5DCF" w:rsidRPr="00111742" w:rsidRDefault="009F5DCF" w:rsidP="00420EC7">
      <w:pPr>
        <w:rPr>
          <w:rFonts w:asciiTheme="majorHAnsi" w:hAnsiTheme="majorHAnsi"/>
          <w:b/>
          <w:bCs/>
          <w:sz w:val="32"/>
          <w:szCs w:val="32"/>
        </w:rPr>
      </w:pPr>
      <w:r w:rsidRPr="00111742">
        <w:rPr>
          <w:rFonts w:asciiTheme="majorHAnsi" w:hAnsiTheme="majorHAnsi"/>
          <w:b/>
          <w:bCs/>
          <w:sz w:val="32"/>
          <w:szCs w:val="32"/>
        </w:rPr>
        <w:t>Event</w:t>
      </w:r>
      <w:r w:rsidR="00111742" w:rsidRPr="00111742">
        <w:rPr>
          <w:rFonts w:asciiTheme="majorHAnsi" w:hAnsiTheme="majorHAnsi"/>
          <w:b/>
          <w:bCs/>
          <w:sz w:val="32"/>
          <w:szCs w:val="32"/>
        </w:rPr>
        <w:t xml:space="preserve"> -</w:t>
      </w:r>
      <w:r w:rsidRPr="00111742">
        <w:rPr>
          <w:rFonts w:asciiTheme="majorHAnsi" w:hAnsiTheme="majorHAnsi"/>
          <w:b/>
          <w:bCs/>
          <w:sz w:val="32"/>
          <w:szCs w:val="32"/>
        </w:rPr>
        <w:t xml:space="preserve"> </w:t>
      </w:r>
      <w:r w:rsidR="00111742" w:rsidRPr="00111742">
        <w:rPr>
          <w:rFonts w:asciiTheme="majorHAnsi" w:hAnsiTheme="majorHAnsi"/>
          <w:b/>
          <w:bCs/>
          <w:sz w:val="32"/>
          <w:szCs w:val="32"/>
        </w:rPr>
        <w:t>Menstrual Equity Seminar: Educating Local Schools</w:t>
      </w:r>
    </w:p>
    <w:tbl>
      <w:tblPr>
        <w:tblStyle w:val="TableGrid"/>
        <w:tblW w:w="0" w:type="auto"/>
        <w:tblLook w:val="04A0" w:firstRow="1" w:lastRow="0" w:firstColumn="1" w:lastColumn="0" w:noHBand="0" w:noVBand="1"/>
      </w:tblPr>
      <w:tblGrid>
        <w:gridCol w:w="1838"/>
        <w:gridCol w:w="7178"/>
      </w:tblGrid>
      <w:tr w:rsidR="009F5DCF" w:rsidRPr="00111742" w14:paraId="6161F3F8" w14:textId="77777777" w:rsidTr="00C74656">
        <w:tc>
          <w:tcPr>
            <w:tcW w:w="1838" w:type="dxa"/>
          </w:tcPr>
          <w:p w14:paraId="3815916B" w14:textId="77777777" w:rsidR="009F5DCF" w:rsidRPr="00111742" w:rsidRDefault="009F5DCF" w:rsidP="00C74656">
            <w:pPr>
              <w:rPr>
                <w:rFonts w:asciiTheme="majorHAnsi" w:hAnsiTheme="majorHAnsi"/>
              </w:rPr>
            </w:pPr>
          </w:p>
        </w:tc>
        <w:tc>
          <w:tcPr>
            <w:tcW w:w="7178" w:type="dxa"/>
          </w:tcPr>
          <w:p w14:paraId="2E788A64" w14:textId="77777777" w:rsidR="009F5DCF" w:rsidRPr="00111742" w:rsidRDefault="009F5DCF" w:rsidP="00C74656">
            <w:pPr>
              <w:rPr>
                <w:rFonts w:asciiTheme="majorHAnsi" w:hAnsiTheme="majorHAnsi"/>
              </w:rPr>
            </w:pPr>
          </w:p>
        </w:tc>
      </w:tr>
      <w:tr w:rsidR="009F5DCF" w:rsidRPr="00111742" w14:paraId="3929A60E" w14:textId="77777777" w:rsidTr="00C74656">
        <w:trPr>
          <w:trHeight w:val="1114"/>
        </w:trPr>
        <w:tc>
          <w:tcPr>
            <w:tcW w:w="1838" w:type="dxa"/>
          </w:tcPr>
          <w:p w14:paraId="05D9628A" w14:textId="77777777" w:rsidR="009F5DCF" w:rsidRPr="00111742" w:rsidRDefault="009F5DCF" w:rsidP="00C74656">
            <w:pPr>
              <w:rPr>
                <w:rFonts w:asciiTheme="majorHAnsi" w:hAnsiTheme="majorHAnsi"/>
              </w:rPr>
            </w:pPr>
          </w:p>
          <w:p w14:paraId="7FA5FBC1" w14:textId="77777777" w:rsidR="009F5DCF" w:rsidRPr="00111742" w:rsidRDefault="009F5DCF" w:rsidP="00C74656">
            <w:pPr>
              <w:rPr>
                <w:rFonts w:asciiTheme="majorHAnsi" w:hAnsiTheme="majorHAnsi"/>
              </w:rPr>
            </w:pPr>
            <w:r w:rsidRPr="00111742">
              <w:rPr>
                <w:rFonts w:asciiTheme="majorHAnsi" w:hAnsiTheme="majorHAnsi"/>
              </w:rPr>
              <w:t>Event Tags</w:t>
            </w:r>
          </w:p>
        </w:tc>
        <w:tc>
          <w:tcPr>
            <w:tcW w:w="7178" w:type="dxa"/>
          </w:tcPr>
          <w:p w14:paraId="5060A448" w14:textId="77777777" w:rsidR="00111742" w:rsidRPr="00111742" w:rsidRDefault="00111742" w:rsidP="00C74656">
            <w:pPr>
              <w:rPr>
                <w:rFonts w:asciiTheme="majorHAnsi" w:hAnsiTheme="majorHAnsi"/>
              </w:rPr>
            </w:pPr>
          </w:p>
          <w:p w14:paraId="3BDA1A24" w14:textId="77C4B4FF" w:rsidR="00502B94" w:rsidRPr="00111742" w:rsidRDefault="00111742" w:rsidP="00C74656">
            <w:pPr>
              <w:rPr>
                <w:rFonts w:asciiTheme="majorHAnsi" w:hAnsiTheme="majorHAnsi"/>
              </w:rPr>
            </w:pPr>
            <w:r w:rsidRPr="00111742">
              <w:rPr>
                <w:rFonts w:asciiTheme="majorHAnsi" w:hAnsiTheme="majorHAnsi"/>
              </w:rPr>
              <w:t>Educational Seminar, Menstrual Equity, School Outreach, Community Engagement, Awareness Campaign</w:t>
            </w:r>
          </w:p>
        </w:tc>
      </w:tr>
      <w:tr w:rsidR="009F5DCF" w:rsidRPr="00111742" w14:paraId="7DACDAC9" w14:textId="77777777" w:rsidTr="00C74656">
        <w:tc>
          <w:tcPr>
            <w:tcW w:w="1838" w:type="dxa"/>
          </w:tcPr>
          <w:p w14:paraId="0DD42BCC" w14:textId="77777777" w:rsidR="009F5DCF" w:rsidRPr="00111742" w:rsidRDefault="009F5DCF" w:rsidP="00C74656">
            <w:pPr>
              <w:rPr>
                <w:rFonts w:asciiTheme="majorHAnsi" w:hAnsiTheme="majorHAnsi"/>
              </w:rPr>
            </w:pPr>
          </w:p>
        </w:tc>
        <w:tc>
          <w:tcPr>
            <w:tcW w:w="7178" w:type="dxa"/>
          </w:tcPr>
          <w:p w14:paraId="1FA0FA3E" w14:textId="77777777" w:rsidR="009F5DCF" w:rsidRPr="00111742" w:rsidRDefault="009F5DCF" w:rsidP="00C74656">
            <w:pPr>
              <w:rPr>
                <w:rFonts w:asciiTheme="majorHAnsi" w:hAnsiTheme="majorHAnsi"/>
              </w:rPr>
            </w:pPr>
          </w:p>
        </w:tc>
      </w:tr>
      <w:tr w:rsidR="009F5DCF" w:rsidRPr="00111742" w14:paraId="4D8BDF84" w14:textId="77777777" w:rsidTr="00C74656">
        <w:trPr>
          <w:trHeight w:val="2049"/>
        </w:trPr>
        <w:tc>
          <w:tcPr>
            <w:tcW w:w="1838" w:type="dxa"/>
          </w:tcPr>
          <w:p w14:paraId="6B524F0C" w14:textId="77777777" w:rsidR="009F5DCF" w:rsidRPr="00111742" w:rsidRDefault="009F5DCF" w:rsidP="00C74656">
            <w:pPr>
              <w:rPr>
                <w:rFonts w:asciiTheme="majorHAnsi" w:hAnsiTheme="majorHAnsi"/>
              </w:rPr>
            </w:pPr>
          </w:p>
          <w:p w14:paraId="1800289E" w14:textId="77777777" w:rsidR="009F5DCF" w:rsidRPr="00111742" w:rsidRDefault="009F5DCF" w:rsidP="00C74656">
            <w:pPr>
              <w:rPr>
                <w:rFonts w:asciiTheme="majorHAnsi" w:hAnsiTheme="majorHAnsi"/>
              </w:rPr>
            </w:pPr>
            <w:r w:rsidRPr="00111742">
              <w:rPr>
                <w:rFonts w:asciiTheme="majorHAnsi" w:hAnsiTheme="majorHAnsi"/>
              </w:rPr>
              <w:t xml:space="preserve">Event </w:t>
            </w:r>
          </w:p>
          <w:p w14:paraId="5922F77C" w14:textId="77777777" w:rsidR="009F5DCF" w:rsidRPr="00111742" w:rsidRDefault="009F5DCF" w:rsidP="00C74656">
            <w:pPr>
              <w:rPr>
                <w:rFonts w:asciiTheme="majorHAnsi" w:hAnsiTheme="majorHAnsi"/>
              </w:rPr>
            </w:pPr>
            <w:r w:rsidRPr="00111742">
              <w:rPr>
                <w:rFonts w:asciiTheme="majorHAnsi" w:hAnsiTheme="majorHAnsi"/>
              </w:rPr>
              <w:t>Description</w:t>
            </w:r>
          </w:p>
        </w:tc>
        <w:tc>
          <w:tcPr>
            <w:tcW w:w="7178" w:type="dxa"/>
          </w:tcPr>
          <w:p w14:paraId="2D7D31D4" w14:textId="77777777" w:rsidR="009F5DCF" w:rsidRPr="00111742" w:rsidRDefault="009F5DCF" w:rsidP="00C74656">
            <w:pPr>
              <w:rPr>
                <w:rFonts w:asciiTheme="majorHAnsi" w:hAnsiTheme="majorHAnsi"/>
              </w:rPr>
            </w:pPr>
          </w:p>
          <w:p w14:paraId="5FD82719" w14:textId="77777777" w:rsidR="00502B94" w:rsidRPr="00111742" w:rsidRDefault="00111742" w:rsidP="00C74656">
            <w:pPr>
              <w:rPr>
                <w:rFonts w:asciiTheme="majorHAnsi" w:hAnsiTheme="majorHAnsi"/>
              </w:rPr>
            </w:pPr>
            <w:r w:rsidRPr="00111742">
              <w:rPr>
                <w:rFonts w:asciiTheme="majorHAnsi" w:hAnsiTheme="majorHAnsi"/>
              </w:rPr>
              <w:t>The Menstrual Equity Seminar is an educational event aimed at raising awareness about menstrual health and promoting menstrual equity among students in local schools. The seminar will cover topics such as menstrual hygiene, puberty education, access to menstrual products, and breaking stigma around menstruation. Expert speakers, interactive sessions, and informational resources will empower students with knowledge and promote a supportive environment for menstrual health.</w:t>
            </w:r>
          </w:p>
          <w:p w14:paraId="36ED6D6E" w14:textId="08F11683" w:rsidR="00111742" w:rsidRPr="00111742" w:rsidRDefault="00111742" w:rsidP="00C74656">
            <w:pPr>
              <w:rPr>
                <w:rFonts w:asciiTheme="majorHAnsi" w:hAnsiTheme="majorHAnsi"/>
              </w:rPr>
            </w:pPr>
          </w:p>
        </w:tc>
      </w:tr>
      <w:tr w:rsidR="009F5DCF" w:rsidRPr="00111742" w14:paraId="7AA0243D" w14:textId="77777777" w:rsidTr="00C74656">
        <w:tc>
          <w:tcPr>
            <w:tcW w:w="1838" w:type="dxa"/>
          </w:tcPr>
          <w:p w14:paraId="0A0A9A88" w14:textId="77777777" w:rsidR="009F5DCF" w:rsidRPr="00111742" w:rsidRDefault="009F5DCF" w:rsidP="00C74656">
            <w:pPr>
              <w:rPr>
                <w:rFonts w:asciiTheme="majorHAnsi" w:hAnsiTheme="majorHAnsi"/>
              </w:rPr>
            </w:pPr>
          </w:p>
        </w:tc>
        <w:tc>
          <w:tcPr>
            <w:tcW w:w="7178" w:type="dxa"/>
          </w:tcPr>
          <w:p w14:paraId="53D70322" w14:textId="77777777" w:rsidR="009F5DCF" w:rsidRPr="00111742" w:rsidRDefault="009F5DCF" w:rsidP="00C74656">
            <w:pPr>
              <w:rPr>
                <w:rFonts w:asciiTheme="majorHAnsi" w:hAnsiTheme="majorHAnsi"/>
              </w:rPr>
            </w:pPr>
          </w:p>
        </w:tc>
      </w:tr>
      <w:tr w:rsidR="009F5DCF" w:rsidRPr="00111742" w14:paraId="658900F0" w14:textId="77777777" w:rsidTr="00C74656">
        <w:trPr>
          <w:trHeight w:val="1387"/>
        </w:trPr>
        <w:tc>
          <w:tcPr>
            <w:tcW w:w="1838" w:type="dxa"/>
          </w:tcPr>
          <w:p w14:paraId="6C9B1FC9" w14:textId="77777777" w:rsidR="009F5DCF" w:rsidRPr="00111742" w:rsidRDefault="009F5DCF" w:rsidP="00C74656">
            <w:pPr>
              <w:rPr>
                <w:rFonts w:asciiTheme="majorHAnsi" w:hAnsiTheme="majorHAnsi"/>
              </w:rPr>
            </w:pPr>
          </w:p>
          <w:p w14:paraId="161F43F4" w14:textId="77777777" w:rsidR="009F5DCF" w:rsidRPr="00111742" w:rsidRDefault="009F5DCF" w:rsidP="00C74656">
            <w:pPr>
              <w:rPr>
                <w:rFonts w:asciiTheme="majorHAnsi" w:hAnsiTheme="majorHAnsi"/>
              </w:rPr>
            </w:pPr>
            <w:r w:rsidRPr="00111742">
              <w:rPr>
                <w:rFonts w:asciiTheme="majorHAnsi" w:hAnsiTheme="majorHAnsi"/>
              </w:rPr>
              <w:t xml:space="preserve">Rules and regulations </w:t>
            </w:r>
          </w:p>
        </w:tc>
        <w:tc>
          <w:tcPr>
            <w:tcW w:w="7178" w:type="dxa"/>
          </w:tcPr>
          <w:p w14:paraId="667F66C0" w14:textId="77777777" w:rsidR="00FC2354" w:rsidRPr="00111742" w:rsidRDefault="00FC2354" w:rsidP="00FC2354">
            <w:pPr>
              <w:rPr>
                <w:rFonts w:asciiTheme="majorHAnsi" w:eastAsia="Times New Roman" w:hAnsiTheme="majorHAnsi" w:cs="Times New Roman"/>
                <w:kern w:val="0"/>
                <w:lang w:eastAsia="en-IN"/>
                <w14:ligatures w14:val="none"/>
              </w:rPr>
            </w:pPr>
          </w:p>
          <w:p w14:paraId="17B10EF7" w14:textId="44E4B668" w:rsidR="00111742" w:rsidRPr="00111742" w:rsidRDefault="00111742" w:rsidP="00111742">
            <w:pPr>
              <w:rPr>
                <w:rFonts w:asciiTheme="majorHAnsi" w:eastAsia="Times New Roman" w:hAnsiTheme="majorHAnsi" w:cs="Times New Roman"/>
                <w:kern w:val="0"/>
                <w:lang w:eastAsia="en-IN"/>
                <w14:ligatures w14:val="none"/>
              </w:rPr>
            </w:pPr>
            <w:r w:rsidRPr="00111742">
              <w:rPr>
                <w:rFonts w:asciiTheme="majorHAnsi" w:eastAsia="Times New Roman" w:hAnsiTheme="majorHAnsi" w:cs="Times New Roman"/>
                <w:kern w:val="0"/>
                <w:lang w:eastAsia="en-IN"/>
                <w14:ligatures w14:val="none"/>
              </w:rPr>
              <w:t>Respectful behavio</w:t>
            </w:r>
            <w:r>
              <w:rPr>
                <w:rFonts w:asciiTheme="majorHAnsi" w:eastAsia="Times New Roman" w:hAnsiTheme="majorHAnsi" w:cs="Times New Roman"/>
                <w:kern w:val="0"/>
                <w:lang w:eastAsia="en-IN"/>
                <w14:ligatures w14:val="none"/>
              </w:rPr>
              <w:t>u</w:t>
            </w:r>
            <w:r w:rsidRPr="00111742">
              <w:rPr>
                <w:rFonts w:asciiTheme="majorHAnsi" w:eastAsia="Times New Roman" w:hAnsiTheme="majorHAnsi" w:cs="Times New Roman"/>
                <w:kern w:val="0"/>
                <w:lang w:eastAsia="en-IN"/>
                <w14:ligatures w14:val="none"/>
              </w:rPr>
              <w:t>r and active participation are encouraged.</w:t>
            </w:r>
          </w:p>
          <w:p w14:paraId="7E97E21C" w14:textId="36DCFCE1" w:rsidR="00111742" w:rsidRPr="00111742" w:rsidRDefault="00111742" w:rsidP="00111742">
            <w:pPr>
              <w:rPr>
                <w:rFonts w:asciiTheme="majorHAnsi" w:eastAsia="Times New Roman" w:hAnsiTheme="majorHAnsi" w:cs="Times New Roman"/>
                <w:kern w:val="0"/>
                <w:lang w:eastAsia="en-IN"/>
                <w14:ligatures w14:val="none"/>
              </w:rPr>
            </w:pPr>
            <w:r w:rsidRPr="00111742">
              <w:rPr>
                <w:rFonts w:asciiTheme="majorHAnsi" w:eastAsia="Times New Roman" w:hAnsiTheme="majorHAnsi" w:cs="Times New Roman"/>
                <w:kern w:val="0"/>
                <w:lang w:eastAsia="en-IN"/>
                <w14:ligatures w14:val="none"/>
              </w:rPr>
              <w:t>Follow the instructions of event organizers and school staff.</w:t>
            </w:r>
          </w:p>
          <w:p w14:paraId="02DA7106" w14:textId="112EA10A" w:rsidR="00502B94" w:rsidRDefault="00111742" w:rsidP="00111742">
            <w:pPr>
              <w:rPr>
                <w:rFonts w:asciiTheme="majorHAnsi" w:eastAsia="Times New Roman" w:hAnsiTheme="majorHAnsi" w:cs="Times New Roman"/>
                <w:kern w:val="0"/>
                <w:lang w:eastAsia="en-IN"/>
                <w14:ligatures w14:val="none"/>
              </w:rPr>
            </w:pPr>
            <w:r w:rsidRPr="00111742">
              <w:rPr>
                <w:rFonts w:asciiTheme="majorHAnsi" w:eastAsia="Times New Roman" w:hAnsiTheme="majorHAnsi" w:cs="Times New Roman"/>
                <w:kern w:val="0"/>
                <w:lang w:eastAsia="en-IN"/>
                <w14:ligatures w14:val="none"/>
              </w:rPr>
              <w:t>No disruptive behavio</w:t>
            </w:r>
            <w:r>
              <w:rPr>
                <w:rFonts w:asciiTheme="majorHAnsi" w:eastAsia="Times New Roman" w:hAnsiTheme="majorHAnsi" w:cs="Times New Roman"/>
                <w:kern w:val="0"/>
                <w:lang w:eastAsia="en-IN"/>
                <w14:ligatures w14:val="none"/>
              </w:rPr>
              <w:t>u</w:t>
            </w:r>
            <w:r w:rsidRPr="00111742">
              <w:rPr>
                <w:rFonts w:asciiTheme="majorHAnsi" w:eastAsia="Times New Roman" w:hAnsiTheme="majorHAnsi" w:cs="Times New Roman"/>
                <w:kern w:val="0"/>
                <w:lang w:eastAsia="en-IN"/>
                <w14:ligatures w14:val="none"/>
              </w:rPr>
              <w:t>r or bullying will be tolerated.</w:t>
            </w:r>
          </w:p>
          <w:p w14:paraId="1990DD5D" w14:textId="13622197" w:rsidR="00111742" w:rsidRPr="00111742" w:rsidRDefault="00111742" w:rsidP="00111742">
            <w:pPr>
              <w:rPr>
                <w:rFonts w:asciiTheme="majorHAnsi" w:eastAsia="Times New Roman" w:hAnsiTheme="majorHAnsi" w:cs="Times New Roman"/>
                <w:kern w:val="0"/>
                <w:lang w:eastAsia="en-IN"/>
                <w14:ligatures w14:val="none"/>
              </w:rPr>
            </w:pPr>
          </w:p>
        </w:tc>
      </w:tr>
      <w:tr w:rsidR="009F5DCF" w:rsidRPr="00111742" w14:paraId="37EDA8E0" w14:textId="77777777" w:rsidTr="00C74656">
        <w:tc>
          <w:tcPr>
            <w:tcW w:w="1838" w:type="dxa"/>
          </w:tcPr>
          <w:p w14:paraId="53F5F451" w14:textId="77777777" w:rsidR="009F5DCF" w:rsidRPr="00111742" w:rsidRDefault="009F5DCF" w:rsidP="00C74656">
            <w:pPr>
              <w:rPr>
                <w:rFonts w:asciiTheme="majorHAnsi" w:hAnsiTheme="majorHAnsi"/>
              </w:rPr>
            </w:pPr>
          </w:p>
        </w:tc>
        <w:tc>
          <w:tcPr>
            <w:tcW w:w="7178" w:type="dxa"/>
          </w:tcPr>
          <w:p w14:paraId="1DAAAE4E" w14:textId="77777777" w:rsidR="009F5DCF" w:rsidRPr="00111742" w:rsidRDefault="009F5DCF" w:rsidP="00C74656">
            <w:pPr>
              <w:rPr>
                <w:rFonts w:asciiTheme="majorHAnsi" w:hAnsiTheme="majorHAnsi"/>
              </w:rPr>
            </w:pPr>
          </w:p>
        </w:tc>
      </w:tr>
      <w:tr w:rsidR="009F5DCF" w:rsidRPr="00111742" w14:paraId="7B5AEC9A" w14:textId="77777777" w:rsidTr="00C74656">
        <w:trPr>
          <w:trHeight w:val="1433"/>
        </w:trPr>
        <w:tc>
          <w:tcPr>
            <w:tcW w:w="1838" w:type="dxa"/>
          </w:tcPr>
          <w:p w14:paraId="3374583E" w14:textId="77777777" w:rsidR="009F5DCF" w:rsidRPr="00111742" w:rsidRDefault="009F5DCF" w:rsidP="00C74656">
            <w:pPr>
              <w:rPr>
                <w:rFonts w:asciiTheme="majorHAnsi" w:hAnsiTheme="majorHAnsi"/>
              </w:rPr>
            </w:pPr>
          </w:p>
          <w:p w14:paraId="116A0536" w14:textId="77777777" w:rsidR="009F5DCF" w:rsidRPr="00111742" w:rsidRDefault="009F5DCF" w:rsidP="00C74656">
            <w:pPr>
              <w:rPr>
                <w:rFonts w:asciiTheme="majorHAnsi" w:hAnsiTheme="majorHAnsi"/>
              </w:rPr>
            </w:pPr>
            <w:r w:rsidRPr="00111742">
              <w:rPr>
                <w:rFonts w:asciiTheme="majorHAnsi" w:hAnsiTheme="majorHAnsi"/>
              </w:rPr>
              <w:t>Judgement criteria/ evaluation</w:t>
            </w:r>
          </w:p>
        </w:tc>
        <w:tc>
          <w:tcPr>
            <w:tcW w:w="7178" w:type="dxa"/>
          </w:tcPr>
          <w:p w14:paraId="2B56B56C" w14:textId="77777777" w:rsidR="009F5DCF" w:rsidRPr="00111742" w:rsidRDefault="009F5DCF" w:rsidP="00C74656">
            <w:pPr>
              <w:rPr>
                <w:rFonts w:asciiTheme="majorHAnsi" w:hAnsiTheme="majorHAnsi"/>
              </w:rPr>
            </w:pPr>
            <w:r w:rsidRPr="00111742">
              <w:rPr>
                <w:rFonts w:asciiTheme="majorHAnsi" w:hAnsiTheme="majorHAnsi"/>
              </w:rPr>
              <w:t xml:space="preserve">  </w:t>
            </w:r>
          </w:p>
          <w:p w14:paraId="54F2A2C3" w14:textId="49914270" w:rsidR="009F5DCF" w:rsidRPr="00111742" w:rsidRDefault="00FC2354" w:rsidP="00FC2354">
            <w:pPr>
              <w:rPr>
                <w:rFonts w:asciiTheme="majorHAnsi" w:hAnsiTheme="majorHAnsi"/>
              </w:rPr>
            </w:pPr>
            <w:r w:rsidRPr="00111742">
              <w:rPr>
                <w:rFonts w:asciiTheme="majorHAnsi" w:hAnsiTheme="majorHAnsi"/>
              </w:rPr>
              <w:t>N/A</w:t>
            </w:r>
          </w:p>
        </w:tc>
      </w:tr>
      <w:tr w:rsidR="009F5DCF" w:rsidRPr="00111742" w14:paraId="7FFC5AAA" w14:textId="77777777" w:rsidTr="00C74656">
        <w:tc>
          <w:tcPr>
            <w:tcW w:w="1838" w:type="dxa"/>
          </w:tcPr>
          <w:p w14:paraId="6A33C103" w14:textId="77777777" w:rsidR="009F5DCF" w:rsidRPr="00111742" w:rsidRDefault="009F5DCF" w:rsidP="00C74656">
            <w:pPr>
              <w:rPr>
                <w:rFonts w:asciiTheme="majorHAnsi" w:hAnsiTheme="majorHAnsi"/>
              </w:rPr>
            </w:pPr>
          </w:p>
        </w:tc>
        <w:tc>
          <w:tcPr>
            <w:tcW w:w="7178" w:type="dxa"/>
          </w:tcPr>
          <w:p w14:paraId="5E806DAC" w14:textId="77777777" w:rsidR="009F5DCF" w:rsidRPr="00111742" w:rsidRDefault="009F5DCF" w:rsidP="00C74656">
            <w:pPr>
              <w:rPr>
                <w:rFonts w:asciiTheme="majorHAnsi" w:hAnsiTheme="majorHAnsi"/>
              </w:rPr>
            </w:pPr>
            <w:r w:rsidRPr="00111742">
              <w:rPr>
                <w:rFonts w:asciiTheme="majorHAnsi" w:hAnsiTheme="majorHAnsi"/>
              </w:rPr>
              <w:t xml:space="preserve"> </w:t>
            </w:r>
          </w:p>
        </w:tc>
      </w:tr>
      <w:tr w:rsidR="009F5DCF" w:rsidRPr="00111742" w14:paraId="667757FA" w14:textId="77777777" w:rsidTr="00C74656">
        <w:trPr>
          <w:trHeight w:val="1093"/>
        </w:trPr>
        <w:tc>
          <w:tcPr>
            <w:tcW w:w="1838" w:type="dxa"/>
          </w:tcPr>
          <w:p w14:paraId="0F2F1D47" w14:textId="77777777" w:rsidR="009F5DCF" w:rsidRPr="00111742" w:rsidRDefault="009F5DCF" w:rsidP="00C74656">
            <w:pPr>
              <w:rPr>
                <w:rFonts w:asciiTheme="majorHAnsi" w:hAnsiTheme="majorHAnsi"/>
              </w:rPr>
            </w:pPr>
          </w:p>
          <w:p w14:paraId="1D82E777" w14:textId="77777777" w:rsidR="009F5DCF" w:rsidRPr="00111742" w:rsidRDefault="009F5DCF" w:rsidP="00C74656">
            <w:pPr>
              <w:rPr>
                <w:rFonts w:asciiTheme="majorHAnsi" w:hAnsiTheme="majorHAnsi"/>
              </w:rPr>
            </w:pPr>
            <w:r w:rsidRPr="00111742">
              <w:rPr>
                <w:rFonts w:asciiTheme="majorHAnsi" w:hAnsiTheme="majorHAnsi"/>
              </w:rPr>
              <w:t xml:space="preserve">Incentives for </w:t>
            </w:r>
          </w:p>
          <w:p w14:paraId="41F67C53" w14:textId="77777777" w:rsidR="009F5DCF" w:rsidRPr="00111742" w:rsidRDefault="009F5DCF" w:rsidP="00C74656">
            <w:pPr>
              <w:rPr>
                <w:rFonts w:asciiTheme="majorHAnsi" w:hAnsiTheme="majorHAnsi"/>
              </w:rPr>
            </w:pPr>
            <w:r w:rsidRPr="00111742">
              <w:rPr>
                <w:rFonts w:asciiTheme="majorHAnsi" w:hAnsiTheme="majorHAnsi"/>
              </w:rPr>
              <w:t xml:space="preserve">Winners </w:t>
            </w:r>
          </w:p>
          <w:p w14:paraId="280C498E" w14:textId="77777777" w:rsidR="009F5DCF" w:rsidRPr="00111742" w:rsidRDefault="009F5DCF" w:rsidP="00C74656">
            <w:pPr>
              <w:rPr>
                <w:rFonts w:asciiTheme="majorHAnsi" w:hAnsiTheme="majorHAnsi"/>
              </w:rPr>
            </w:pPr>
          </w:p>
        </w:tc>
        <w:tc>
          <w:tcPr>
            <w:tcW w:w="7178" w:type="dxa"/>
          </w:tcPr>
          <w:p w14:paraId="7A6E9869" w14:textId="77777777" w:rsidR="009F5DCF" w:rsidRPr="00111742" w:rsidRDefault="009F5DCF" w:rsidP="00C74656">
            <w:pPr>
              <w:rPr>
                <w:rFonts w:asciiTheme="majorHAnsi" w:hAnsiTheme="majorHAnsi"/>
              </w:rPr>
            </w:pPr>
          </w:p>
          <w:p w14:paraId="4631C125" w14:textId="4BC0BAB0" w:rsidR="00502B94" w:rsidRPr="00111742" w:rsidRDefault="009F5DCF" w:rsidP="00502B94">
            <w:pPr>
              <w:rPr>
                <w:rFonts w:asciiTheme="majorHAnsi" w:eastAsia="Times New Roman" w:hAnsiTheme="majorHAnsi" w:cs="Times New Roman"/>
                <w:kern w:val="0"/>
                <w:lang w:eastAsia="en-IN"/>
                <w14:ligatures w14:val="none"/>
              </w:rPr>
            </w:pPr>
            <w:r w:rsidRPr="00111742">
              <w:rPr>
                <w:rFonts w:asciiTheme="majorHAnsi" w:hAnsiTheme="majorHAnsi"/>
              </w:rPr>
              <w:t xml:space="preserve"> </w:t>
            </w:r>
            <w:r w:rsidR="00FC2354" w:rsidRPr="00111742">
              <w:rPr>
                <w:rFonts w:asciiTheme="majorHAnsi" w:eastAsia="Times New Roman" w:hAnsiTheme="majorHAnsi" w:cs="Times New Roman"/>
                <w:kern w:val="0"/>
                <w:lang w:eastAsia="en-IN"/>
                <w14:ligatures w14:val="none"/>
              </w:rPr>
              <w:t>N/A</w:t>
            </w:r>
          </w:p>
          <w:p w14:paraId="7FD9ED73" w14:textId="11E1EAEF" w:rsidR="009F5DCF" w:rsidRPr="00111742" w:rsidRDefault="009F5DCF" w:rsidP="00502B94">
            <w:pPr>
              <w:tabs>
                <w:tab w:val="left" w:pos="1635"/>
              </w:tabs>
              <w:ind w:firstLine="720"/>
              <w:rPr>
                <w:rFonts w:asciiTheme="majorHAnsi" w:hAnsiTheme="majorHAnsi"/>
              </w:rPr>
            </w:pPr>
          </w:p>
        </w:tc>
      </w:tr>
      <w:tr w:rsidR="009F5DCF" w:rsidRPr="00111742" w14:paraId="51F9EE81" w14:textId="77777777" w:rsidTr="00C74656">
        <w:tc>
          <w:tcPr>
            <w:tcW w:w="1838" w:type="dxa"/>
          </w:tcPr>
          <w:p w14:paraId="0B76EDC3" w14:textId="77777777" w:rsidR="009F5DCF" w:rsidRPr="00111742" w:rsidRDefault="009F5DCF" w:rsidP="00C74656">
            <w:pPr>
              <w:rPr>
                <w:rFonts w:asciiTheme="majorHAnsi" w:hAnsiTheme="majorHAnsi"/>
              </w:rPr>
            </w:pPr>
          </w:p>
        </w:tc>
        <w:tc>
          <w:tcPr>
            <w:tcW w:w="7178" w:type="dxa"/>
          </w:tcPr>
          <w:p w14:paraId="6C8C0071" w14:textId="77777777" w:rsidR="009F5DCF" w:rsidRPr="00111742" w:rsidRDefault="009F5DCF" w:rsidP="00C74656">
            <w:pPr>
              <w:rPr>
                <w:rFonts w:asciiTheme="majorHAnsi" w:hAnsiTheme="majorHAnsi"/>
              </w:rPr>
            </w:pPr>
          </w:p>
        </w:tc>
      </w:tr>
      <w:tr w:rsidR="009F5DCF" w:rsidRPr="00111742" w14:paraId="01D4F8AA" w14:textId="77777777" w:rsidTr="00502B94">
        <w:trPr>
          <w:trHeight w:val="1860"/>
        </w:trPr>
        <w:tc>
          <w:tcPr>
            <w:tcW w:w="1838" w:type="dxa"/>
          </w:tcPr>
          <w:p w14:paraId="7C3FA3A6" w14:textId="77777777" w:rsidR="009F5DCF" w:rsidRPr="00111742" w:rsidRDefault="009F5DCF" w:rsidP="00C74656">
            <w:pPr>
              <w:rPr>
                <w:rFonts w:asciiTheme="majorHAnsi" w:hAnsiTheme="majorHAnsi"/>
              </w:rPr>
            </w:pPr>
          </w:p>
          <w:p w14:paraId="3ED7F7BC" w14:textId="77777777" w:rsidR="009F5DCF" w:rsidRPr="00111742" w:rsidRDefault="009F5DCF" w:rsidP="00C74656">
            <w:pPr>
              <w:rPr>
                <w:rFonts w:asciiTheme="majorHAnsi" w:hAnsiTheme="majorHAnsi"/>
              </w:rPr>
            </w:pPr>
            <w:r w:rsidRPr="00111742">
              <w:rPr>
                <w:rFonts w:asciiTheme="majorHAnsi" w:hAnsiTheme="majorHAnsi"/>
              </w:rPr>
              <w:t>Code of conduct</w:t>
            </w:r>
          </w:p>
        </w:tc>
        <w:tc>
          <w:tcPr>
            <w:tcW w:w="7178" w:type="dxa"/>
          </w:tcPr>
          <w:p w14:paraId="4D120083" w14:textId="77777777" w:rsidR="00502B94" w:rsidRPr="00111742" w:rsidRDefault="00502B94" w:rsidP="00502B94">
            <w:pPr>
              <w:rPr>
                <w:rFonts w:asciiTheme="majorHAnsi" w:eastAsia="Times New Roman" w:hAnsiTheme="majorHAnsi" w:cs="Times New Roman"/>
                <w:kern w:val="0"/>
                <w:lang w:eastAsia="en-IN"/>
                <w14:ligatures w14:val="none"/>
              </w:rPr>
            </w:pPr>
          </w:p>
          <w:p w14:paraId="34534751" w14:textId="7973ED06" w:rsidR="00FC2354" w:rsidRPr="00111742" w:rsidRDefault="00FC2354" w:rsidP="00FC2354">
            <w:pPr>
              <w:rPr>
                <w:rFonts w:asciiTheme="majorHAnsi" w:eastAsia="Times New Roman" w:hAnsiTheme="majorHAnsi" w:cs="Times New Roman"/>
                <w:kern w:val="0"/>
                <w:lang w:eastAsia="en-IN"/>
                <w14:ligatures w14:val="none"/>
              </w:rPr>
            </w:pPr>
            <w:r w:rsidRPr="00111742">
              <w:rPr>
                <w:rFonts w:asciiTheme="majorHAnsi" w:eastAsia="Times New Roman" w:hAnsiTheme="majorHAnsi" w:cs="Times New Roman"/>
                <w:kern w:val="0"/>
                <w:lang w:eastAsia="en-IN"/>
                <w14:ligatures w14:val="none"/>
              </w:rPr>
              <w:t>Follow the event’s rules and regulations.</w:t>
            </w:r>
          </w:p>
          <w:p w14:paraId="79E3AAE4" w14:textId="18EF9CF8" w:rsidR="00FC2354" w:rsidRPr="00111742" w:rsidRDefault="00FC2354" w:rsidP="00FC2354">
            <w:pPr>
              <w:rPr>
                <w:rFonts w:asciiTheme="majorHAnsi" w:eastAsia="Times New Roman" w:hAnsiTheme="majorHAnsi" w:cs="Times New Roman"/>
                <w:kern w:val="0"/>
                <w:lang w:eastAsia="en-IN"/>
                <w14:ligatures w14:val="none"/>
              </w:rPr>
            </w:pPr>
            <w:r w:rsidRPr="00111742">
              <w:rPr>
                <w:rFonts w:asciiTheme="majorHAnsi" w:eastAsia="Times New Roman" w:hAnsiTheme="majorHAnsi" w:cs="Times New Roman"/>
                <w:kern w:val="0"/>
                <w:lang w:eastAsia="en-IN"/>
                <w14:ligatures w14:val="none"/>
              </w:rPr>
              <w:t>Act responsibly and ensure the safety of oneself and others.</w:t>
            </w:r>
          </w:p>
          <w:p w14:paraId="30673124" w14:textId="357C3FB0" w:rsidR="009F5DCF" w:rsidRPr="00111742" w:rsidRDefault="00FC2354" w:rsidP="00FC2354">
            <w:pPr>
              <w:rPr>
                <w:rFonts w:asciiTheme="majorHAnsi" w:hAnsiTheme="majorHAnsi"/>
              </w:rPr>
            </w:pPr>
            <w:r w:rsidRPr="00111742">
              <w:rPr>
                <w:rFonts w:asciiTheme="majorHAnsi" w:eastAsia="Times New Roman" w:hAnsiTheme="majorHAnsi" w:cs="Times New Roman"/>
                <w:kern w:val="0"/>
                <w:lang w:eastAsia="en-IN"/>
                <w14:ligatures w14:val="none"/>
              </w:rPr>
              <w:t>Promote a positive and inclusive environment.</w:t>
            </w:r>
            <w:r w:rsidR="00502B94" w:rsidRPr="00111742">
              <w:rPr>
                <w:rFonts w:asciiTheme="majorHAnsi" w:eastAsia="Times New Roman" w:hAnsiTheme="majorHAnsi" w:cs="Times New Roman"/>
                <w:kern w:val="0"/>
                <w:lang w:eastAsia="en-IN"/>
                <w14:ligatures w14:val="none"/>
              </w:rPr>
              <w:t xml:space="preserve">  </w:t>
            </w:r>
          </w:p>
        </w:tc>
      </w:tr>
      <w:tr w:rsidR="009F5DCF" w:rsidRPr="00111742" w14:paraId="57BAA215" w14:textId="77777777" w:rsidTr="00C74656">
        <w:tc>
          <w:tcPr>
            <w:tcW w:w="1838" w:type="dxa"/>
          </w:tcPr>
          <w:p w14:paraId="62544947" w14:textId="77777777" w:rsidR="009F5DCF" w:rsidRPr="00111742" w:rsidRDefault="009F5DCF" w:rsidP="00C74656">
            <w:pPr>
              <w:rPr>
                <w:rFonts w:asciiTheme="majorHAnsi" w:hAnsiTheme="majorHAnsi"/>
              </w:rPr>
            </w:pPr>
          </w:p>
        </w:tc>
        <w:tc>
          <w:tcPr>
            <w:tcW w:w="7178" w:type="dxa"/>
          </w:tcPr>
          <w:p w14:paraId="568C197D" w14:textId="77777777" w:rsidR="009F5DCF" w:rsidRPr="00111742" w:rsidRDefault="009F5DCF" w:rsidP="00C74656">
            <w:pPr>
              <w:rPr>
                <w:rFonts w:asciiTheme="majorHAnsi" w:hAnsiTheme="majorHAnsi"/>
              </w:rPr>
            </w:pPr>
          </w:p>
        </w:tc>
      </w:tr>
      <w:tr w:rsidR="009F5DCF" w:rsidRPr="00111742" w14:paraId="72CBD7BB" w14:textId="77777777" w:rsidTr="00C74656">
        <w:trPr>
          <w:trHeight w:val="962"/>
        </w:trPr>
        <w:tc>
          <w:tcPr>
            <w:tcW w:w="1838" w:type="dxa"/>
          </w:tcPr>
          <w:p w14:paraId="2DE8D905" w14:textId="77777777" w:rsidR="009F5DCF" w:rsidRPr="00111742" w:rsidRDefault="009F5DCF" w:rsidP="00C74656">
            <w:pPr>
              <w:rPr>
                <w:rFonts w:asciiTheme="majorHAnsi" w:hAnsiTheme="majorHAnsi"/>
              </w:rPr>
            </w:pPr>
          </w:p>
          <w:p w14:paraId="58DA630A" w14:textId="77777777" w:rsidR="009F5DCF" w:rsidRPr="00111742" w:rsidRDefault="009F5DCF" w:rsidP="00C74656">
            <w:pPr>
              <w:rPr>
                <w:rFonts w:asciiTheme="majorHAnsi" w:hAnsiTheme="majorHAnsi"/>
              </w:rPr>
            </w:pPr>
            <w:r w:rsidRPr="00111742">
              <w:rPr>
                <w:rFonts w:asciiTheme="majorHAnsi" w:hAnsiTheme="majorHAnsi"/>
              </w:rPr>
              <w:t>Venue/portal</w:t>
            </w:r>
          </w:p>
          <w:p w14:paraId="4D1668C0" w14:textId="77777777" w:rsidR="009F5DCF" w:rsidRPr="00111742" w:rsidRDefault="009F5DCF" w:rsidP="00C74656">
            <w:pPr>
              <w:rPr>
                <w:rFonts w:asciiTheme="majorHAnsi" w:hAnsiTheme="majorHAnsi"/>
              </w:rPr>
            </w:pPr>
          </w:p>
        </w:tc>
        <w:tc>
          <w:tcPr>
            <w:tcW w:w="7178" w:type="dxa"/>
          </w:tcPr>
          <w:p w14:paraId="6FBD59BA" w14:textId="77777777" w:rsidR="009F5DCF" w:rsidRPr="00111742" w:rsidRDefault="009F5DCF" w:rsidP="00C74656">
            <w:pPr>
              <w:rPr>
                <w:rFonts w:asciiTheme="majorHAnsi" w:hAnsiTheme="majorHAnsi"/>
              </w:rPr>
            </w:pPr>
          </w:p>
          <w:p w14:paraId="4E281574" w14:textId="77777777" w:rsidR="009F5DCF" w:rsidRPr="00111742" w:rsidRDefault="009F5DCF" w:rsidP="00C74656">
            <w:pPr>
              <w:rPr>
                <w:rFonts w:asciiTheme="majorHAnsi" w:hAnsiTheme="majorHAnsi"/>
              </w:rPr>
            </w:pPr>
            <w:r w:rsidRPr="00111742">
              <w:rPr>
                <w:rFonts w:asciiTheme="majorHAnsi" w:hAnsiTheme="majorHAnsi"/>
              </w:rPr>
              <w:t>To be decided</w:t>
            </w:r>
          </w:p>
        </w:tc>
      </w:tr>
      <w:tr w:rsidR="009F5DCF" w:rsidRPr="00111742" w14:paraId="58CFB64F" w14:textId="77777777" w:rsidTr="00C74656">
        <w:tc>
          <w:tcPr>
            <w:tcW w:w="1838" w:type="dxa"/>
          </w:tcPr>
          <w:p w14:paraId="112023E9" w14:textId="77777777" w:rsidR="009F5DCF" w:rsidRPr="00111742" w:rsidRDefault="009F5DCF" w:rsidP="00C74656">
            <w:pPr>
              <w:rPr>
                <w:rFonts w:asciiTheme="majorHAnsi" w:hAnsiTheme="majorHAnsi"/>
              </w:rPr>
            </w:pPr>
          </w:p>
        </w:tc>
        <w:tc>
          <w:tcPr>
            <w:tcW w:w="7178" w:type="dxa"/>
          </w:tcPr>
          <w:p w14:paraId="190E689B" w14:textId="77777777" w:rsidR="009F5DCF" w:rsidRPr="00111742" w:rsidRDefault="009F5DCF" w:rsidP="00C74656">
            <w:pPr>
              <w:rPr>
                <w:rFonts w:asciiTheme="majorHAnsi" w:hAnsiTheme="majorHAnsi"/>
              </w:rPr>
            </w:pPr>
          </w:p>
        </w:tc>
      </w:tr>
      <w:tr w:rsidR="009F5DCF" w:rsidRPr="00111742" w14:paraId="0A454A0F" w14:textId="77777777" w:rsidTr="00C74656">
        <w:trPr>
          <w:trHeight w:val="1692"/>
        </w:trPr>
        <w:tc>
          <w:tcPr>
            <w:tcW w:w="1838" w:type="dxa"/>
          </w:tcPr>
          <w:p w14:paraId="3391D0CA" w14:textId="77777777" w:rsidR="009F5DCF" w:rsidRPr="00111742" w:rsidRDefault="009F5DCF" w:rsidP="00C74656">
            <w:pPr>
              <w:rPr>
                <w:rFonts w:asciiTheme="majorHAnsi" w:hAnsiTheme="majorHAnsi"/>
              </w:rPr>
            </w:pPr>
          </w:p>
          <w:p w14:paraId="7C0391EC" w14:textId="77777777" w:rsidR="009F5DCF" w:rsidRPr="00111742" w:rsidRDefault="009F5DCF" w:rsidP="00C74656">
            <w:pPr>
              <w:rPr>
                <w:rFonts w:asciiTheme="majorHAnsi" w:hAnsiTheme="majorHAnsi"/>
              </w:rPr>
            </w:pPr>
            <w:r w:rsidRPr="00111742">
              <w:rPr>
                <w:rFonts w:asciiTheme="majorHAnsi" w:hAnsiTheme="majorHAnsi"/>
              </w:rPr>
              <w:t>Requirements</w:t>
            </w:r>
          </w:p>
          <w:p w14:paraId="300201F2" w14:textId="77777777" w:rsidR="009F5DCF" w:rsidRPr="00111742" w:rsidRDefault="009F5DCF" w:rsidP="00C74656">
            <w:pPr>
              <w:rPr>
                <w:rFonts w:asciiTheme="majorHAnsi" w:hAnsiTheme="majorHAnsi"/>
              </w:rPr>
            </w:pPr>
          </w:p>
        </w:tc>
        <w:tc>
          <w:tcPr>
            <w:tcW w:w="7178" w:type="dxa"/>
          </w:tcPr>
          <w:p w14:paraId="58117A74" w14:textId="77777777" w:rsidR="009F5DCF" w:rsidRPr="00111742" w:rsidRDefault="009F5DCF" w:rsidP="00C74656">
            <w:pPr>
              <w:rPr>
                <w:rFonts w:asciiTheme="majorHAnsi" w:eastAsia="Times New Roman" w:hAnsiTheme="majorHAnsi" w:cs="Calibri"/>
                <w:kern w:val="0"/>
                <w:lang w:eastAsia="en-IN"/>
                <w14:ligatures w14:val="none"/>
              </w:rPr>
            </w:pPr>
          </w:p>
          <w:p w14:paraId="5AECEFAA" w14:textId="77777777" w:rsidR="009F5DCF" w:rsidRPr="00111742" w:rsidRDefault="00502B94" w:rsidP="00C74656">
            <w:pPr>
              <w:rPr>
                <w:rFonts w:asciiTheme="majorHAnsi" w:eastAsia="Times New Roman" w:hAnsiTheme="majorHAnsi" w:cs="Calibri"/>
                <w:kern w:val="0"/>
                <w:lang w:eastAsia="en-IN"/>
                <w14:ligatures w14:val="none"/>
              </w:rPr>
            </w:pPr>
            <w:r w:rsidRPr="00111742">
              <w:rPr>
                <w:rFonts w:asciiTheme="majorHAnsi" w:eastAsia="Times New Roman" w:hAnsiTheme="majorHAnsi" w:cs="Calibri"/>
                <w:kern w:val="0"/>
                <w:lang w:eastAsia="en-IN"/>
                <w14:ligatures w14:val="none"/>
              </w:rPr>
              <w:t>To be decided</w:t>
            </w:r>
          </w:p>
          <w:p w14:paraId="4519CFCA" w14:textId="1ED5081A" w:rsidR="00502B94" w:rsidRPr="00111742" w:rsidRDefault="00502B94" w:rsidP="00C74656">
            <w:pPr>
              <w:rPr>
                <w:rFonts w:asciiTheme="majorHAnsi" w:hAnsiTheme="majorHAnsi"/>
              </w:rPr>
            </w:pPr>
          </w:p>
        </w:tc>
      </w:tr>
      <w:tr w:rsidR="009F5DCF" w:rsidRPr="00111742" w14:paraId="3B41389D" w14:textId="77777777" w:rsidTr="00C74656">
        <w:tc>
          <w:tcPr>
            <w:tcW w:w="1838" w:type="dxa"/>
          </w:tcPr>
          <w:p w14:paraId="1F36D47A" w14:textId="77777777" w:rsidR="009F5DCF" w:rsidRPr="00111742" w:rsidRDefault="009F5DCF" w:rsidP="00C74656">
            <w:pPr>
              <w:rPr>
                <w:rFonts w:asciiTheme="majorHAnsi" w:hAnsiTheme="majorHAnsi"/>
              </w:rPr>
            </w:pPr>
          </w:p>
        </w:tc>
        <w:tc>
          <w:tcPr>
            <w:tcW w:w="7178" w:type="dxa"/>
          </w:tcPr>
          <w:p w14:paraId="15821A8C" w14:textId="77777777" w:rsidR="009F5DCF" w:rsidRPr="00111742" w:rsidRDefault="009F5DCF" w:rsidP="00C74656">
            <w:pPr>
              <w:rPr>
                <w:rFonts w:asciiTheme="majorHAnsi" w:hAnsiTheme="majorHAnsi"/>
              </w:rPr>
            </w:pPr>
          </w:p>
        </w:tc>
      </w:tr>
      <w:tr w:rsidR="009F5DCF" w:rsidRPr="00111742" w14:paraId="62C84276" w14:textId="77777777" w:rsidTr="00C74656">
        <w:trPr>
          <w:trHeight w:val="686"/>
        </w:trPr>
        <w:tc>
          <w:tcPr>
            <w:tcW w:w="1838" w:type="dxa"/>
          </w:tcPr>
          <w:p w14:paraId="5025AB03" w14:textId="77777777" w:rsidR="009F5DCF" w:rsidRPr="00111742" w:rsidRDefault="009F5DCF" w:rsidP="00C74656">
            <w:pPr>
              <w:rPr>
                <w:rFonts w:asciiTheme="majorHAnsi" w:hAnsiTheme="majorHAnsi"/>
              </w:rPr>
            </w:pPr>
          </w:p>
          <w:p w14:paraId="501E72F9" w14:textId="77777777" w:rsidR="009F5DCF" w:rsidRPr="00111742" w:rsidRDefault="009F5DCF" w:rsidP="00C74656">
            <w:pPr>
              <w:rPr>
                <w:rFonts w:asciiTheme="majorHAnsi" w:hAnsiTheme="majorHAnsi"/>
              </w:rPr>
            </w:pPr>
            <w:r w:rsidRPr="00111742">
              <w:rPr>
                <w:rFonts w:asciiTheme="majorHAnsi" w:hAnsiTheme="majorHAnsi"/>
              </w:rPr>
              <w:t>Logistics</w:t>
            </w:r>
          </w:p>
        </w:tc>
        <w:tc>
          <w:tcPr>
            <w:tcW w:w="7178" w:type="dxa"/>
          </w:tcPr>
          <w:p w14:paraId="3B2D8EFA" w14:textId="77777777" w:rsidR="009F5DCF" w:rsidRPr="00111742" w:rsidRDefault="009F5DCF" w:rsidP="00C74656">
            <w:pPr>
              <w:pStyle w:val="ListParagraph"/>
              <w:ind w:left="0"/>
              <w:rPr>
                <w:rFonts w:asciiTheme="majorHAnsi" w:eastAsia="Times New Roman" w:hAnsiTheme="majorHAnsi" w:cs="Calibri"/>
                <w:kern w:val="0"/>
                <w:lang w:eastAsia="en-IN"/>
                <w14:ligatures w14:val="none"/>
              </w:rPr>
            </w:pPr>
          </w:p>
          <w:p w14:paraId="79BED4A1" w14:textId="77777777" w:rsidR="00502B94" w:rsidRPr="00111742" w:rsidRDefault="00502B94" w:rsidP="00502B94">
            <w:pPr>
              <w:rPr>
                <w:rFonts w:asciiTheme="majorHAnsi" w:eastAsia="Times New Roman" w:hAnsiTheme="majorHAnsi" w:cs="Calibri"/>
                <w:kern w:val="0"/>
                <w:lang w:eastAsia="en-IN"/>
                <w14:ligatures w14:val="none"/>
              </w:rPr>
            </w:pPr>
            <w:r w:rsidRPr="00111742">
              <w:rPr>
                <w:rFonts w:asciiTheme="majorHAnsi" w:eastAsia="Times New Roman" w:hAnsiTheme="majorHAnsi" w:cs="Calibri"/>
                <w:kern w:val="0"/>
                <w:lang w:eastAsia="en-IN"/>
                <w14:ligatures w14:val="none"/>
              </w:rPr>
              <w:t>To be decided</w:t>
            </w:r>
          </w:p>
          <w:p w14:paraId="4019399F" w14:textId="77777777" w:rsidR="009F5DCF" w:rsidRPr="00111742" w:rsidRDefault="009F5DCF" w:rsidP="00C74656">
            <w:pPr>
              <w:rPr>
                <w:rFonts w:asciiTheme="majorHAnsi" w:eastAsia="Times New Roman" w:hAnsiTheme="majorHAnsi" w:cs="Calibri"/>
                <w:kern w:val="0"/>
                <w:lang w:eastAsia="en-IN"/>
                <w14:ligatures w14:val="none"/>
              </w:rPr>
            </w:pPr>
          </w:p>
          <w:p w14:paraId="22C460F4" w14:textId="77777777" w:rsidR="009F5DCF" w:rsidRPr="00111742" w:rsidRDefault="009F5DCF" w:rsidP="00C74656">
            <w:pPr>
              <w:rPr>
                <w:rFonts w:asciiTheme="majorHAnsi" w:eastAsia="Times New Roman" w:hAnsiTheme="majorHAnsi" w:cs="Calibri"/>
                <w:kern w:val="0"/>
                <w:lang w:eastAsia="en-IN"/>
                <w14:ligatures w14:val="none"/>
              </w:rPr>
            </w:pPr>
          </w:p>
        </w:tc>
      </w:tr>
      <w:tr w:rsidR="009F5DCF" w:rsidRPr="00111742" w14:paraId="04C2424F" w14:textId="77777777" w:rsidTr="00C74656">
        <w:tc>
          <w:tcPr>
            <w:tcW w:w="1838" w:type="dxa"/>
          </w:tcPr>
          <w:p w14:paraId="37AA9032" w14:textId="77777777" w:rsidR="009F5DCF" w:rsidRPr="00111742" w:rsidRDefault="009F5DCF" w:rsidP="00C74656">
            <w:pPr>
              <w:rPr>
                <w:rFonts w:asciiTheme="majorHAnsi" w:hAnsiTheme="majorHAnsi"/>
              </w:rPr>
            </w:pPr>
          </w:p>
        </w:tc>
        <w:tc>
          <w:tcPr>
            <w:tcW w:w="7178" w:type="dxa"/>
          </w:tcPr>
          <w:p w14:paraId="256A9426" w14:textId="77777777" w:rsidR="009F5DCF" w:rsidRPr="00111742" w:rsidRDefault="009F5DCF" w:rsidP="00C74656">
            <w:pPr>
              <w:rPr>
                <w:rFonts w:asciiTheme="majorHAnsi" w:hAnsiTheme="majorHAnsi"/>
              </w:rPr>
            </w:pPr>
          </w:p>
        </w:tc>
      </w:tr>
      <w:tr w:rsidR="009F5DCF" w:rsidRPr="00111742" w14:paraId="27CE1728" w14:textId="77777777" w:rsidTr="00C74656">
        <w:trPr>
          <w:trHeight w:val="1640"/>
        </w:trPr>
        <w:tc>
          <w:tcPr>
            <w:tcW w:w="1838" w:type="dxa"/>
          </w:tcPr>
          <w:p w14:paraId="2B7695A3" w14:textId="77777777" w:rsidR="009F5DCF" w:rsidRPr="00111742" w:rsidRDefault="009F5DCF" w:rsidP="00C74656">
            <w:pPr>
              <w:rPr>
                <w:rFonts w:asciiTheme="majorHAnsi" w:hAnsiTheme="majorHAnsi"/>
              </w:rPr>
            </w:pPr>
          </w:p>
          <w:p w14:paraId="7F5745E2" w14:textId="77777777" w:rsidR="009F5DCF" w:rsidRPr="00111742" w:rsidRDefault="009F5DCF" w:rsidP="00C74656">
            <w:pPr>
              <w:rPr>
                <w:rFonts w:asciiTheme="majorHAnsi" w:hAnsiTheme="majorHAnsi"/>
              </w:rPr>
            </w:pPr>
            <w:r w:rsidRPr="00111742">
              <w:rPr>
                <w:rFonts w:asciiTheme="majorHAnsi" w:hAnsiTheme="majorHAnsi"/>
              </w:rPr>
              <w:t>Number of events volunteers required</w:t>
            </w:r>
          </w:p>
        </w:tc>
        <w:tc>
          <w:tcPr>
            <w:tcW w:w="7178" w:type="dxa"/>
          </w:tcPr>
          <w:p w14:paraId="5220EDBB" w14:textId="77777777" w:rsidR="009F5DCF" w:rsidRPr="00111742" w:rsidRDefault="009F5DCF" w:rsidP="00C74656">
            <w:pPr>
              <w:rPr>
                <w:rFonts w:asciiTheme="majorHAnsi" w:hAnsiTheme="majorHAnsi"/>
              </w:rPr>
            </w:pPr>
          </w:p>
          <w:p w14:paraId="544CF7DF" w14:textId="77777777" w:rsidR="009F5DCF" w:rsidRPr="00111742" w:rsidRDefault="009F5DCF" w:rsidP="00C74656">
            <w:pPr>
              <w:rPr>
                <w:rFonts w:asciiTheme="majorHAnsi" w:hAnsiTheme="majorHAnsi"/>
              </w:rPr>
            </w:pPr>
            <w:r w:rsidRPr="00111742">
              <w:rPr>
                <w:rFonts w:asciiTheme="majorHAnsi" w:hAnsiTheme="majorHAnsi"/>
              </w:rPr>
              <w:t>To be decided</w:t>
            </w:r>
          </w:p>
        </w:tc>
      </w:tr>
      <w:tr w:rsidR="009F5DCF" w:rsidRPr="00111742" w14:paraId="2778F9EC" w14:textId="77777777" w:rsidTr="00C74656">
        <w:tc>
          <w:tcPr>
            <w:tcW w:w="1838" w:type="dxa"/>
          </w:tcPr>
          <w:p w14:paraId="285B17A6" w14:textId="77777777" w:rsidR="009F5DCF" w:rsidRPr="00111742" w:rsidRDefault="009F5DCF" w:rsidP="00C74656">
            <w:pPr>
              <w:rPr>
                <w:rFonts w:asciiTheme="majorHAnsi" w:hAnsiTheme="majorHAnsi"/>
              </w:rPr>
            </w:pPr>
          </w:p>
        </w:tc>
        <w:tc>
          <w:tcPr>
            <w:tcW w:w="7178" w:type="dxa"/>
          </w:tcPr>
          <w:p w14:paraId="49A70509" w14:textId="77777777" w:rsidR="009F5DCF" w:rsidRPr="00111742" w:rsidRDefault="009F5DCF" w:rsidP="00C74656">
            <w:pPr>
              <w:rPr>
                <w:rFonts w:asciiTheme="majorHAnsi" w:hAnsiTheme="majorHAnsi"/>
              </w:rPr>
            </w:pPr>
          </w:p>
        </w:tc>
      </w:tr>
      <w:tr w:rsidR="009F5DCF" w:rsidRPr="00111742" w14:paraId="18CE4A2A" w14:textId="77777777" w:rsidTr="00C74656">
        <w:trPr>
          <w:trHeight w:val="1257"/>
        </w:trPr>
        <w:tc>
          <w:tcPr>
            <w:tcW w:w="1838" w:type="dxa"/>
          </w:tcPr>
          <w:p w14:paraId="6718896E" w14:textId="77777777" w:rsidR="009F5DCF" w:rsidRPr="00111742" w:rsidRDefault="009F5DCF" w:rsidP="00C74656">
            <w:pPr>
              <w:rPr>
                <w:rFonts w:asciiTheme="majorHAnsi" w:hAnsiTheme="majorHAnsi"/>
              </w:rPr>
            </w:pPr>
          </w:p>
          <w:p w14:paraId="335D31BB" w14:textId="77777777" w:rsidR="009F5DCF" w:rsidRPr="00111742" w:rsidRDefault="009F5DCF" w:rsidP="00C74656">
            <w:pPr>
              <w:rPr>
                <w:rFonts w:asciiTheme="majorHAnsi" w:hAnsiTheme="majorHAnsi"/>
              </w:rPr>
            </w:pPr>
            <w:r w:rsidRPr="00111742">
              <w:rPr>
                <w:rFonts w:asciiTheme="majorHAnsi" w:hAnsiTheme="majorHAnsi"/>
              </w:rPr>
              <w:t xml:space="preserve">Name of Event </w:t>
            </w:r>
          </w:p>
          <w:p w14:paraId="19499493" w14:textId="77777777" w:rsidR="009F5DCF" w:rsidRPr="00111742" w:rsidRDefault="009F5DCF" w:rsidP="00C74656">
            <w:pPr>
              <w:rPr>
                <w:rFonts w:asciiTheme="majorHAnsi" w:hAnsiTheme="majorHAnsi"/>
              </w:rPr>
            </w:pPr>
            <w:r w:rsidRPr="00111742">
              <w:rPr>
                <w:rFonts w:asciiTheme="majorHAnsi" w:hAnsiTheme="majorHAnsi"/>
              </w:rPr>
              <w:t xml:space="preserve">Volunteers </w:t>
            </w:r>
          </w:p>
          <w:p w14:paraId="36D58360" w14:textId="77777777" w:rsidR="009F5DCF" w:rsidRPr="00111742" w:rsidRDefault="009F5DCF" w:rsidP="00C74656">
            <w:pPr>
              <w:rPr>
                <w:rFonts w:asciiTheme="majorHAnsi" w:hAnsiTheme="majorHAnsi"/>
              </w:rPr>
            </w:pPr>
          </w:p>
        </w:tc>
        <w:tc>
          <w:tcPr>
            <w:tcW w:w="7178" w:type="dxa"/>
          </w:tcPr>
          <w:p w14:paraId="381DC7A7" w14:textId="77777777" w:rsidR="009F5DCF" w:rsidRPr="00111742" w:rsidRDefault="009F5DCF" w:rsidP="00C74656">
            <w:pPr>
              <w:rPr>
                <w:rFonts w:asciiTheme="majorHAnsi" w:hAnsiTheme="majorHAnsi"/>
              </w:rPr>
            </w:pPr>
          </w:p>
          <w:p w14:paraId="698119F9" w14:textId="77777777" w:rsidR="009F5DCF" w:rsidRPr="00111742" w:rsidRDefault="009F5DCF" w:rsidP="00C74656">
            <w:pPr>
              <w:rPr>
                <w:rFonts w:asciiTheme="majorHAnsi" w:hAnsiTheme="majorHAnsi"/>
              </w:rPr>
            </w:pPr>
            <w:r w:rsidRPr="00111742">
              <w:rPr>
                <w:rFonts w:asciiTheme="majorHAnsi" w:hAnsiTheme="majorHAnsi"/>
              </w:rPr>
              <w:t>To be decided</w:t>
            </w:r>
          </w:p>
        </w:tc>
      </w:tr>
      <w:tr w:rsidR="009F5DCF" w:rsidRPr="00111742" w14:paraId="0D85457D" w14:textId="77777777" w:rsidTr="00C74656">
        <w:tc>
          <w:tcPr>
            <w:tcW w:w="1838" w:type="dxa"/>
          </w:tcPr>
          <w:p w14:paraId="3CFFE588" w14:textId="77777777" w:rsidR="009F5DCF" w:rsidRPr="00111742" w:rsidRDefault="009F5DCF" w:rsidP="00C74656">
            <w:pPr>
              <w:rPr>
                <w:rFonts w:asciiTheme="majorHAnsi" w:hAnsiTheme="majorHAnsi"/>
              </w:rPr>
            </w:pPr>
          </w:p>
        </w:tc>
        <w:tc>
          <w:tcPr>
            <w:tcW w:w="7178" w:type="dxa"/>
          </w:tcPr>
          <w:p w14:paraId="401555B1" w14:textId="77777777" w:rsidR="009F5DCF" w:rsidRPr="00111742" w:rsidRDefault="009F5DCF" w:rsidP="00C74656">
            <w:pPr>
              <w:rPr>
                <w:rFonts w:asciiTheme="majorHAnsi" w:hAnsiTheme="majorHAnsi"/>
              </w:rPr>
            </w:pPr>
          </w:p>
        </w:tc>
      </w:tr>
      <w:tr w:rsidR="009F5DCF" w:rsidRPr="00111742" w14:paraId="0F32DBE9" w14:textId="77777777" w:rsidTr="00C74656">
        <w:trPr>
          <w:trHeight w:val="1104"/>
        </w:trPr>
        <w:tc>
          <w:tcPr>
            <w:tcW w:w="1838" w:type="dxa"/>
          </w:tcPr>
          <w:p w14:paraId="4CC78C40" w14:textId="77777777" w:rsidR="009F5DCF" w:rsidRPr="00111742" w:rsidRDefault="009F5DCF" w:rsidP="00C74656">
            <w:pPr>
              <w:rPr>
                <w:rFonts w:asciiTheme="majorHAnsi" w:hAnsiTheme="majorHAnsi"/>
              </w:rPr>
            </w:pPr>
          </w:p>
          <w:p w14:paraId="1E5C43CD" w14:textId="77777777" w:rsidR="009F5DCF" w:rsidRPr="00111742" w:rsidRDefault="009F5DCF" w:rsidP="00C74656">
            <w:pPr>
              <w:rPr>
                <w:rFonts w:asciiTheme="majorHAnsi" w:hAnsiTheme="majorHAnsi"/>
              </w:rPr>
            </w:pPr>
            <w:r w:rsidRPr="00111742">
              <w:rPr>
                <w:rFonts w:asciiTheme="majorHAnsi" w:hAnsiTheme="majorHAnsi"/>
              </w:rPr>
              <w:t>Details of the event head</w:t>
            </w:r>
          </w:p>
        </w:tc>
        <w:tc>
          <w:tcPr>
            <w:tcW w:w="7178" w:type="dxa"/>
          </w:tcPr>
          <w:p w14:paraId="54A1CD10" w14:textId="77777777" w:rsidR="009F5DCF" w:rsidRPr="00111742" w:rsidRDefault="009F5DCF" w:rsidP="00C74656">
            <w:pPr>
              <w:rPr>
                <w:rFonts w:asciiTheme="majorHAnsi" w:hAnsiTheme="majorHAnsi"/>
              </w:rPr>
            </w:pPr>
            <w:r w:rsidRPr="00111742">
              <w:rPr>
                <w:rFonts w:asciiTheme="majorHAnsi" w:hAnsiTheme="majorHAnsi"/>
              </w:rPr>
              <w:t xml:space="preserve">        </w:t>
            </w:r>
          </w:p>
          <w:p w14:paraId="5E44C47D" w14:textId="77777777" w:rsidR="009F5DCF" w:rsidRPr="00111742" w:rsidRDefault="009F5DCF" w:rsidP="00C74656">
            <w:pPr>
              <w:rPr>
                <w:rFonts w:asciiTheme="majorHAnsi" w:hAnsiTheme="majorHAnsi"/>
              </w:rPr>
            </w:pPr>
            <w:r w:rsidRPr="00111742">
              <w:rPr>
                <w:rFonts w:asciiTheme="majorHAnsi" w:hAnsiTheme="majorHAnsi"/>
              </w:rPr>
              <w:t>To be decided</w:t>
            </w:r>
          </w:p>
        </w:tc>
      </w:tr>
      <w:tr w:rsidR="009F5DCF" w:rsidRPr="00111742" w14:paraId="645F2C56" w14:textId="77777777" w:rsidTr="00C74656">
        <w:tc>
          <w:tcPr>
            <w:tcW w:w="1838" w:type="dxa"/>
          </w:tcPr>
          <w:p w14:paraId="2D2B2DB9" w14:textId="77777777" w:rsidR="009F5DCF" w:rsidRPr="00111742" w:rsidRDefault="009F5DCF" w:rsidP="00C74656">
            <w:pPr>
              <w:rPr>
                <w:rFonts w:asciiTheme="majorHAnsi" w:hAnsiTheme="majorHAnsi"/>
              </w:rPr>
            </w:pPr>
          </w:p>
        </w:tc>
        <w:tc>
          <w:tcPr>
            <w:tcW w:w="7178" w:type="dxa"/>
          </w:tcPr>
          <w:p w14:paraId="6C85CEE6" w14:textId="77777777" w:rsidR="009F5DCF" w:rsidRPr="00111742" w:rsidRDefault="009F5DCF" w:rsidP="00C74656">
            <w:pPr>
              <w:rPr>
                <w:rFonts w:asciiTheme="majorHAnsi" w:hAnsiTheme="majorHAnsi"/>
              </w:rPr>
            </w:pPr>
          </w:p>
        </w:tc>
      </w:tr>
    </w:tbl>
    <w:p w14:paraId="5D20381D" w14:textId="77777777" w:rsidR="009F5DCF" w:rsidRPr="00111742" w:rsidRDefault="009F5DCF" w:rsidP="00420EC7">
      <w:pPr>
        <w:rPr>
          <w:rFonts w:asciiTheme="majorHAnsi" w:hAnsiTheme="majorHAnsi"/>
        </w:rPr>
      </w:pPr>
    </w:p>
    <w:p w14:paraId="1BAB06A5" w14:textId="77777777" w:rsidR="00420EC7" w:rsidRPr="00111742" w:rsidRDefault="00420EC7">
      <w:pPr>
        <w:rPr>
          <w:rFonts w:asciiTheme="majorHAnsi" w:hAnsiTheme="majorHAnsi"/>
        </w:rPr>
      </w:pPr>
    </w:p>
    <w:sectPr w:rsidR="00420EC7" w:rsidRPr="001117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80E44" w14:textId="77777777" w:rsidR="006559B5" w:rsidRDefault="006559B5" w:rsidP="006559B5">
      <w:pPr>
        <w:spacing w:after="0" w:line="240" w:lineRule="auto"/>
      </w:pPr>
      <w:r>
        <w:separator/>
      </w:r>
    </w:p>
  </w:endnote>
  <w:endnote w:type="continuationSeparator" w:id="0">
    <w:p w14:paraId="7E10AE25" w14:textId="77777777" w:rsidR="006559B5" w:rsidRDefault="006559B5" w:rsidP="0065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1F225" w14:textId="77777777" w:rsidR="006559B5" w:rsidRDefault="006559B5" w:rsidP="006559B5">
      <w:pPr>
        <w:spacing w:after="0" w:line="240" w:lineRule="auto"/>
      </w:pPr>
      <w:r>
        <w:separator/>
      </w:r>
    </w:p>
  </w:footnote>
  <w:footnote w:type="continuationSeparator" w:id="0">
    <w:p w14:paraId="453744D1" w14:textId="77777777" w:rsidR="006559B5" w:rsidRDefault="006559B5" w:rsidP="00655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321F2"/>
    <w:multiLevelType w:val="hybridMultilevel"/>
    <w:tmpl w:val="8A6EFEA6"/>
    <w:lvl w:ilvl="0" w:tplc="001A492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4C5574"/>
    <w:multiLevelType w:val="hybridMultilevel"/>
    <w:tmpl w:val="03CE3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5862F2"/>
    <w:multiLevelType w:val="hybridMultilevel"/>
    <w:tmpl w:val="4858B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2B441E"/>
    <w:multiLevelType w:val="hybridMultilevel"/>
    <w:tmpl w:val="E97A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967065"/>
    <w:multiLevelType w:val="hybridMultilevel"/>
    <w:tmpl w:val="488A3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1D27AE0"/>
    <w:multiLevelType w:val="hybridMultilevel"/>
    <w:tmpl w:val="70666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924C5"/>
    <w:multiLevelType w:val="hybridMultilevel"/>
    <w:tmpl w:val="C53E6B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DDF4982"/>
    <w:multiLevelType w:val="hybridMultilevel"/>
    <w:tmpl w:val="665E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948994">
    <w:abstractNumId w:val="7"/>
  </w:num>
  <w:num w:numId="2" w16cid:durableId="1961455952">
    <w:abstractNumId w:val="5"/>
  </w:num>
  <w:num w:numId="3" w16cid:durableId="1340544343">
    <w:abstractNumId w:val="4"/>
  </w:num>
  <w:num w:numId="4" w16cid:durableId="893202306">
    <w:abstractNumId w:val="1"/>
  </w:num>
  <w:num w:numId="5" w16cid:durableId="862325168">
    <w:abstractNumId w:val="6"/>
  </w:num>
  <w:num w:numId="6" w16cid:durableId="923299462">
    <w:abstractNumId w:val="3"/>
  </w:num>
  <w:num w:numId="7" w16cid:durableId="236208861">
    <w:abstractNumId w:val="2"/>
  </w:num>
  <w:num w:numId="8" w16cid:durableId="9324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C7"/>
    <w:rsid w:val="00111742"/>
    <w:rsid w:val="003A064D"/>
    <w:rsid w:val="00420EC7"/>
    <w:rsid w:val="004F2F81"/>
    <w:rsid w:val="00502B94"/>
    <w:rsid w:val="00510B3F"/>
    <w:rsid w:val="006559B5"/>
    <w:rsid w:val="00686294"/>
    <w:rsid w:val="00840FAE"/>
    <w:rsid w:val="009F5DCF"/>
    <w:rsid w:val="00FA7BF6"/>
    <w:rsid w:val="00FC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0861"/>
  <w15:chartTrackingRefBased/>
  <w15:docId w15:val="{9C168D59-F65C-4216-847E-1F7701F8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0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0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C7"/>
    <w:rPr>
      <w:rFonts w:eastAsiaTheme="majorEastAsia" w:cstheme="majorBidi"/>
      <w:color w:val="272727" w:themeColor="text1" w:themeTint="D8"/>
    </w:rPr>
  </w:style>
  <w:style w:type="paragraph" w:styleId="Title">
    <w:name w:val="Title"/>
    <w:basedOn w:val="Normal"/>
    <w:next w:val="Normal"/>
    <w:link w:val="TitleChar"/>
    <w:uiPriority w:val="10"/>
    <w:qFormat/>
    <w:rsid w:val="00420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C7"/>
    <w:pPr>
      <w:spacing w:before="160"/>
      <w:jc w:val="center"/>
    </w:pPr>
    <w:rPr>
      <w:i/>
      <w:iCs/>
      <w:color w:val="404040" w:themeColor="text1" w:themeTint="BF"/>
    </w:rPr>
  </w:style>
  <w:style w:type="character" w:customStyle="1" w:styleId="QuoteChar">
    <w:name w:val="Quote Char"/>
    <w:basedOn w:val="DefaultParagraphFont"/>
    <w:link w:val="Quote"/>
    <w:uiPriority w:val="29"/>
    <w:rsid w:val="00420EC7"/>
    <w:rPr>
      <w:i/>
      <w:iCs/>
      <w:color w:val="404040" w:themeColor="text1" w:themeTint="BF"/>
    </w:rPr>
  </w:style>
  <w:style w:type="paragraph" w:styleId="ListParagraph">
    <w:name w:val="List Paragraph"/>
    <w:basedOn w:val="Normal"/>
    <w:uiPriority w:val="34"/>
    <w:qFormat/>
    <w:rsid w:val="00420EC7"/>
    <w:pPr>
      <w:ind w:left="720"/>
      <w:contextualSpacing/>
    </w:pPr>
  </w:style>
  <w:style w:type="character" w:styleId="IntenseEmphasis">
    <w:name w:val="Intense Emphasis"/>
    <w:basedOn w:val="DefaultParagraphFont"/>
    <w:uiPriority w:val="21"/>
    <w:qFormat/>
    <w:rsid w:val="00420EC7"/>
    <w:rPr>
      <w:i/>
      <w:iCs/>
      <w:color w:val="0F4761" w:themeColor="accent1" w:themeShade="BF"/>
    </w:rPr>
  </w:style>
  <w:style w:type="paragraph" w:styleId="IntenseQuote">
    <w:name w:val="Intense Quote"/>
    <w:basedOn w:val="Normal"/>
    <w:next w:val="Normal"/>
    <w:link w:val="IntenseQuoteChar"/>
    <w:uiPriority w:val="30"/>
    <w:qFormat/>
    <w:rsid w:val="00420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EC7"/>
    <w:rPr>
      <w:i/>
      <w:iCs/>
      <w:color w:val="0F4761" w:themeColor="accent1" w:themeShade="BF"/>
    </w:rPr>
  </w:style>
  <w:style w:type="character" w:styleId="IntenseReference">
    <w:name w:val="Intense Reference"/>
    <w:basedOn w:val="DefaultParagraphFont"/>
    <w:uiPriority w:val="32"/>
    <w:qFormat/>
    <w:rsid w:val="00420EC7"/>
    <w:rPr>
      <w:b/>
      <w:bCs/>
      <w:smallCaps/>
      <w:color w:val="0F4761" w:themeColor="accent1" w:themeShade="BF"/>
      <w:spacing w:val="5"/>
    </w:rPr>
  </w:style>
  <w:style w:type="table" w:styleId="TableGrid">
    <w:name w:val="Table Grid"/>
    <w:basedOn w:val="TableNormal"/>
    <w:uiPriority w:val="39"/>
    <w:rsid w:val="0042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9B5"/>
  </w:style>
  <w:style w:type="paragraph" w:styleId="Footer">
    <w:name w:val="footer"/>
    <w:basedOn w:val="Normal"/>
    <w:link w:val="FooterChar"/>
    <w:uiPriority w:val="99"/>
    <w:unhideWhenUsed/>
    <w:rsid w:val="0065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9B5"/>
  </w:style>
  <w:style w:type="character" w:styleId="Strong">
    <w:name w:val="Strong"/>
    <w:basedOn w:val="DefaultParagraphFont"/>
    <w:uiPriority w:val="22"/>
    <w:qFormat/>
    <w:rsid w:val="00FC2354"/>
    <w:rPr>
      <w:b/>
      <w:bCs/>
    </w:rPr>
  </w:style>
  <w:style w:type="paragraph" w:styleId="NormalWeb">
    <w:name w:val="Normal (Web)"/>
    <w:basedOn w:val="Normal"/>
    <w:uiPriority w:val="99"/>
    <w:semiHidden/>
    <w:unhideWhenUsed/>
    <w:rsid w:val="00FC235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383">
      <w:bodyDiv w:val="1"/>
      <w:marLeft w:val="0"/>
      <w:marRight w:val="0"/>
      <w:marTop w:val="0"/>
      <w:marBottom w:val="0"/>
      <w:divBdr>
        <w:top w:val="none" w:sz="0" w:space="0" w:color="auto"/>
        <w:left w:val="none" w:sz="0" w:space="0" w:color="auto"/>
        <w:bottom w:val="none" w:sz="0" w:space="0" w:color="auto"/>
        <w:right w:val="none" w:sz="0" w:space="0" w:color="auto"/>
      </w:divBdr>
    </w:div>
    <w:div w:id="309335721">
      <w:bodyDiv w:val="1"/>
      <w:marLeft w:val="0"/>
      <w:marRight w:val="0"/>
      <w:marTop w:val="0"/>
      <w:marBottom w:val="0"/>
      <w:divBdr>
        <w:top w:val="none" w:sz="0" w:space="0" w:color="auto"/>
        <w:left w:val="none" w:sz="0" w:space="0" w:color="auto"/>
        <w:bottom w:val="none" w:sz="0" w:space="0" w:color="auto"/>
        <w:right w:val="none" w:sz="0" w:space="0" w:color="auto"/>
      </w:divBdr>
    </w:div>
    <w:div w:id="365452577">
      <w:bodyDiv w:val="1"/>
      <w:marLeft w:val="0"/>
      <w:marRight w:val="0"/>
      <w:marTop w:val="0"/>
      <w:marBottom w:val="0"/>
      <w:divBdr>
        <w:top w:val="none" w:sz="0" w:space="0" w:color="auto"/>
        <w:left w:val="none" w:sz="0" w:space="0" w:color="auto"/>
        <w:bottom w:val="none" w:sz="0" w:space="0" w:color="auto"/>
        <w:right w:val="none" w:sz="0" w:space="0" w:color="auto"/>
      </w:divBdr>
    </w:div>
    <w:div w:id="578057657">
      <w:bodyDiv w:val="1"/>
      <w:marLeft w:val="0"/>
      <w:marRight w:val="0"/>
      <w:marTop w:val="0"/>
      <w:marBottom w:val="0"/>
      <w:divBdr>
        <w:top w:val="none" w:sz="0" w:space="0" w:color="auto"/>
        <w:left w:val="none" w:sz="0" w:space="0" w:color="auto"/>
        <w:bottom w:val="none" w:sz="0" w:space="0" w:color="auto"/>
        <w:right w:val="none" w:sz="0" w:space="0" w:color="auto"/>
      </w:divBdr>
    </w:div>
    <w:div w:id="699664272">
      <w:bodyDiv w:val="1"/>
      <w:marLeft w:val="0"/>
      <w:marRight w:val="0"/>
      <w:marTop w:val="0"/>
      <w:marBottom w:val="0"/>
      <w:divBdr>
        <w:top w:val="none" w:sz="0" w:space="0" w:color="auto"/>
        <w:left w:val="none" w:sz="0" w:space="0" w:color="auto"/>
        <w:bottom w:val="none" w:sz="0" w:space="0" w:color="auto"/>
        <w:right w:val="none" w:sz="0" w:space="0" w:color="auto"/>
      </w:divBdr>
    </w:div>
    <w:div w:id="780690425">
      <w:bodyDiv w:val="1"/>
      <w:marLeft w:val="0"/>
      <w:marRight w:val="0"/>
      <w:marTop w:val="0"/>
      <w:marBottom w:val="0"/>
      <w:divBdr>
        <w:top w:val="none" w:sz="0" w:space="0" w:color="auto"/>
        <w:left w:val="none" w:sz="0" w:space="0" w:color="auto"/>
        <w:bottom w:val="none" w:sz="0" w:space="0" w:color="auto"/>
        <w:right w:val="none" w:sz="0" w:space="0" w:color="auto"/>
      </w:divBdr>
    </w:div>
    <w:div w:id="846360075">
      <w:bodyDiv w:val="1"/>
      <w:marLeft w:val="0"/>
      <w:marRight w:val="0"/>
      <w:marTop w:val="0"/>
      <w:marBottom w:val="0"/>
      <w:divBdr>
        <w:top w:val="none" w:sz="0" w:space="0" w:color="auto"/>
        <w:left w:val="none" w:sz="0" w:space="0" w:color="auto"/>
        <w:bottom w:val="none" w:sz="0" w:space="0" w:color="auto"/>
        <w:right w:val="none" w:sz="0" w:space="0" w:color="auto"/>
      </w:divBdr>
    </w:div>
    <w:div w:id="865214418">
      <w:bodyDiv w:val="1"/>
      <w:marLeft w:val="0"/>
      <w:marRight w:val="0"/>
      <w:marTop w:val="0"/>
      <w:marBottom w:val="0"/>
      <w:divBdr>
        <w:top w:val="none" w:sz="0" w:space="0" w:color="auto"/>
        <w:left w:val="none" w:sz="0" w:space="0" w:color="auto"/>
        <w:bottom w:val="none" w:sz="0" w:space="0" w:color="auto"/>
        <w:right w:val="none" w:sz="0" w:space="0" w:color="auto"/>
      </w:divBdr>
    </w:div>
    <w:div w:id="867572315">
      <w:bodyDiv w:val="1"/>
      <w:marLeft w:val="0"/>
      <w:marRight w:val="0"/>
      <w:marTop w:val="0"/>
      <w:marBottom w:val="0"/>
      <w:divBdr>
        <w:top w:val="none" w:sz="0" w:space="0" w:color="auto"/>
        <w:left w:val="none" w:sz="0" w:space="0" w:color="auto"/>
        <w:bottom w:val="none" w:sz="0" w:space="0" w:color="auto"/>
        <w:right w:val="none" w:sz="0" w:space="0" w:color="auto"/>
      </w:divBdr>
    </w:div>
    <w:div w:id="879785674">
      <w:bodyDiv w:val="1"/>
      <w:marLeft w:val="0"/>
      <w:marRight w:val="0"/>
      <w:marTop w:val="0"/>
      <w:marBottom w:val="0"/>
      <w:divBdr>
        <w:top w:val="none" w:sz="0" w:space="0" w:color="auto"/>
        <w:left w:val="none" w:sz="0" w:space="0" w:color="auto"/>
        <w:bottom w:val="none" w:sz="0" w:space="0" w:color="auto"/>
        <w:right w:val="none" w:sz="0" w:space="0" w:color="auto"/>
      </w:divBdr>
    </w:div>
    <w:div w:id="1248003638">
      <w:bodyDiv w:val="1"/>
      <w:marLeft w:val="0"/>
      <w:marRight w:val="0"/>
      <w:marTop w:val="0"/>
      <w:marBottom w:val="0"/>
      <w:divBdr>
        <w:top w:val="none" w:sz="0" w:space="0" w:color="auto"/>
        <w:left w:val="none" w:sz="0" w:space="0" w:color="auto"/>
        <w:bottom w:val="none" w:sz="0" w:space="0" w:color="auto"/>
        <w:right w:val="none" w:sz="0" w:space="0" w:color="auto"/>
      </w:divBdr>
    </w:div>
    <w:div w:id="1298947299">
      <w:bodyDiv w:val="1"/>
      <w:marLeft w:val="0"/>
      <w:marRight w:val="0"/>
      <w:marTop w:val="0"/>
      <w:marBottom w:val="0"/>
      <w:divBdr>
        <w:top w:val="none" w:sz="0" w:space="0" w:color="auto"/>
        <w:left w:val="none" w:sz="0" w:space="0" w:color="auto"/>
        <w:bottom w:val="none" w:sz="0" w:space="0" w:color="auto"/>
        <w:right w:val="none" w:sz="0" w:space="0" w:color="auto"/>
      </w:divBdr>
    </w:div>
    <w:div w:id="1384139136">
      <w:bodyDiv w:val="1"/>
      <w:marLeft w:val="0"/>
      <w:marRight w:val="0"/>
      <w:marTop w:val="0"/>
      <w:marBottom w:val="0"/>
      <w:divBdr>
        <w:top w:val="none" w:sz="0" w:space="0" w:color="auto"/>
        <w:left w:val="none" w:sz="0" w:space="0" w:color="auto"/>
        <w:bottom w:val="none" w:sz="0" w:space="0" w:color="auto"/>
        <w:right w:val="none" w:sz="0" w:space="0" w:color="auto"/>
      </w:divBdr>
    </w:div>
    <w:div w:id="1423261983">
      <w:bodyDiv w:val="1"/>
      <w:marLeft w:val="0"/>
      <w:marRight w:val="0"/>
      <w:marTop w:val="0"/>
      <w:marBottom w:val="0"/>
      <w:divBdr>
        <w:top w:val="none" w:sz="0" w:space="0" w:color="auto"/>
        <w:left w:val="none" w:sz="0" w:space="0" w:color="auto"/>
        <w:bottom w:val="none" w:sz="0" w:space="0" w:color="auto"/>
        <w:right w:val="none" w:sz="0" w:space="0" w:color="auto"/>
      </w:divBdr>
    </w:div>
    <w:div w:id="16970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209</Words>
  <Characters>1195</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Nautiyal</dc:creator>
  <cp:keywords/>
  <dc:description/>
  <cp:lastModifiedBy>Aaryan Bhandari</cp:lastModifiedBy>
  <cp:revision>2</cp:revision>
  <dcterms:created xsi:type="dcterms:W3CDTF">2024-06-09T18:11:00Z</dcterms:created>
  <dcterms:modified xsi:type="dcterms:W3CDTF">2024-06-09T18:11:00Z</dcterms:modified>
</cp:coreProperties>
</file>