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9B3" w:rsidRDefault="005079B3" w:rsidP="005079B3">
      <w:pPr>
        <w:pStyle w:val="NormalWeb"/>
      </w:pPr>
      <w:proofErr w:type="spellStart"/>
      <w:r>
        <w:rPr>
          <w:rFonts w:ascii="Times" w:hAnsi="Times"/>
          <w:sz w:val="30"/>
          <w:szCs w:val="30"/>
        </w:rPr>
        <w:t>Treculia</w:t>
      </w:r>
      <w:proofErr w:type="spellEnd"/>
      <w:r>
        <w:rPr>
          <w:rFonts w:ascii="Times" w:hAnsi="Times"/>
          <w:sz w:val="30"/>
          <w:szCs w:val="30"/>
        </w:rPr>
        <w:t xml:space="preserve"> </w:t>
      </w:r>
      <w:proofErr w:type="spellStart"/>
      <w:r>
        <w:rPr>
          <w:rFonts w:ascii="Times" w:hAnsi="Times"/>
          <w:sz w:val="30"/>
          <w:szCs w:val="30"/>
        </w:rPr>
        <w:t>africana</w:t>
      </w:r>
      <w:proofErr w:type="spellEnd"/>
      <w:r>
        <w:rPr>
          <w:rFonts w:ascii="Times" w:hAnsi="Times"/>
          <w:sz w:val="30"/>
          <w:szCs w:val="30"/>
        </w:rPr>
        <w:t xml:space="preserve"> </w:t>
      </w:r>
      <w:proofErr w:type="spellStart"/>
      <w:r>
        <w:rPr>
          <w:rFonts w:ascii="Times" w:hAnsi="Times"/>
          <w:i/>
          <w:iCs/>
          <w:sz w:val="30"/>
          <w:szCs w:val="30"/>
        </w:rPr>
        <w:t>Moraceae</w:t>
      </w:r>
      <w:proofErr w:type="spellEnd"/>
      <w:r>
        <w:rPr>
          <w:rFonts w:ascii="Times" w:hAnsi="Times"/>
          <w:i/>
          <w:iCs/>
          <w:sz w:val="30"/>
          <w:szCs w:val="30"/>
        </w:rPr>
        <w:t xml:space="preserve"> </w:t>
      </w:r>
      <w:r>
        <w:rPr>
          <w:rFonts w:ascii="Times" w:hAnsi="Times"/>
          <w:sz w:val="22"/>
          <w:szCs w:val="22"/>
        </w:rPr>
        <w:t>Indigenous</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African breadfruit, wild jackfruit </w:t>
      </w:r>
      <w:r>
        <w:rPr>
          <w:rFonts w:ascii="Times" w:hAnsi="Times"/>
          <w:b/>
          <w:bCs/>
          <w:sz w:val="22"/>
          <w:szCs w:val="22"/>
        </w:rPr>
        <w:t xml:space="preserve">Luganda: </w:t>
      </w:r>
      <w:proofErr w:type="spellStart"/>
      <w:r>
        <w:rPr>
          <w:rFonts w:ascii="Times" w:hAnsi="Times"/>
          <w:sz w:val="22"/>
          <w:szCs w:val="22"/>
        </w:rPr>
        <w:t>Muzinda</w:t>
      </w:r>
      <w:proofErr w:type="spellEnd"/>
      <w:r>
        <w:rPr>
          <w:rFonts w:ascii="Times" w:hAnsi="Times"/>
          <w:sz w:val="22"/>
          <w:szCs w:val="22"/>
        </w:rPr>
        <w:t xml:space="preserve">. </w:t>
      </w:r>
    </w:p>
    <w:p w:rsidR="005079B3" w:rsidRDefault="005079B3" w:rsidP="005079B3">
      <w:pPr>
        <w:pStyle w:val="NormalWeb"/>
      </w:pPr>
      <w:r>
        <w:rPr>
          <w:rFonts w:ascii="Times" w:hAnsi="Times"/>
          <w:b/>
          <w:bCs/>
          <w:sz w:val="22"/>
          <w:szCs w:val="22"/>
        </w:rPr>
        <w:t xml:space="preserve">Ecology: </w:t>
      </w:r>
      <w:r>
        <w:rPr>
          <w:rFonts w:ascii="Times" w:hAnsi="Times"/>
          <w:sz w:val="22"/>
          <w:szCs w:val="22"/>
        </w:rPr>
        <w:t xml:space="preserve">A fruit tree of riverine forest in tropical Africa, Madagascar and Tanzania, 0-1,200 m. A rare species in Uganda, it is usually found near streams or in swampy areas in forests up to 1,500 m. </w:t>
      </w:r>
    </w:p>
    <w:p w:rsidR="005079B3" w:rsidRDefault="005079B3" w:rsidP="005079B3">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timber, food, ornamental</w:t>
      </w:r>
      <w:bookmarkStart w:id="0" w:name="_GoBack"/>
      <w:bookmarkEnd w:id="0"/>
      <w:r>
        <w:rPr>
          <w:rFonts w:ascii="Times" w:hAnsi="Times"/>
          <w:sz w:val="22"/>
          <w:szCs w:val="22"/>
        </w:rPr>
        <w:t xml:space="preserve">. </w:t>
      </w:r>
    </w:p>
    <w:p w:rsidR="005079B3" w:rsidRDefault="005079B3" w:rsidP="005079B3">
      <w:pPr>
        <w:pStyle w:val="NormalWeb"/>
      </w:pPr>
      <w:r>
        <w:rPr>
          <w:rFonts w:ascii="Times" w:hAnsi="Times"/>
          <w:b/>
          <w:bCs/>
          <w:sz w:val="22"/>
          <w:szCs w:val="22"/>
        </w:rPr>
        <w:t xml:space="preserve">Description: </w:t>
      </w:r>
      <w:r>
        <w:rPr>
          <w:rFonts w:ascii="Times" w:hAnsi="Times"/>
          <w:sz w:val="22"/>
          <w:szCs w:val="22"/>
        </w:rPr>
        <w:t xml:space="preserve">An evergreen tree 15-30 m, up to 50 m, with a dense spreading crown and a fluted trunk. BARK: </w:t>
      </w:r>
      <w:r>
        <w:rPr>
          <w:rFonts w:ascii="Times" w:hAnsi="Times"/>
          <w:b/>
          <w:bCs/>
          <w:sz w:val="22"/>
          <w:szCs w:val="22"/>
        </w:rPr>
        <w:t xml:space="preserve">grey, smooth, </w:t>
      </w:r>
      <w:r>
        <w:rPr>
          <w:rFonts w:ascii="Times" w:hAnsi="Times"/>
          <w:sz w:val="22"/>
          <w:szCs w:val="22"/>
        </w:rPr>
        <w:t xml:space="preserve">thick, exuding </w:t>
      </w:r>
      <w:r>
        <w:rPr>
          <w:rFonts w:ascii="Times" w:hAnsi="Times"/>
          <w:b/>
          <w:bCs/>
          <w:sz w:val="22"/>
          <w:szCs w:val="22"/>
        </w:rPr>
        <w:t xml:space="preserve">white latex </w:t>
      </w:r>
      <w:r>
        <w:rPr>
          <w:rFonts w:ascii="Times" w:hAnsi="Times"/>
          <w:sz w:val="22"/>
          <w:szCs w:val="22"/>
        </w:rPr>
        <w:t xml:space="preserve">when cut, which later </w:t>
      </w:r>
      <w:r>
        <w:rPr>
          <w:rFonts w:ascii="Times" w:hAnsi="Times"/>
          <w:b/>
          <w:bCs/>
          <w:sz w:val="22"/>
          <w:szCs w:val="22"/>
        </w:rPr>
        <w:t xml:space="preserve">turns rusty-red. </w:t>
      </w:r>
      <w:r>
        <w:rPr>
          <w:rFonts w:ascii="Times" w:hAnsi="Times"/>
          <w:sz w:val="22"/>
          <w:szCs w:val="22"/>
        </w:rPr>
        <w:t xml:space="preserve">LEAVES: simple, alternate, </w:t>
      </w:r>
      <w:r>
        <w:rPr>
          <w:rFonts w:ascii="Times" w:hAnsi="Times"/>
          <w:b/>
          <w:bCs/>
          <w:sz w:val="22"/>
          <w:szCs w:val="22"/>
        </w:rPr>
        <w:t xml:space="preserve">very large, about 30 x 14 cm </w:t>
      </w:r>
      <w:r>
        <w:rPr>
          <w:rFonts w:ascii="Times" w:hAnsi="Times"/>
          <w:sz w:val="22"/>
          <w:szCs w:val="22"/>
        </w:rPr>
        <w:t xml:space="preserve">(up to 50 x 20 cm), dark green, smooth above, tough, paler below with some hairs on the </w:t>
      </w:r>
      <w:r>
        <w:rPr>
          <w:rFonts w:ascii="Times" w:hAnsi="Times"/>
          <w:b/>
          <w:bCs/>
          <w:sz w:val="22"/>
          <w:szCs w:val="22"/>
        </w:rPr>
        <w:t xml:space="preserve">10-18 pairs of clear veins, tip pointed, a short stalk </w:t>
      </w:r>
      <w:r>
        <w:rPr>
          <w:rFonts w:ascii="Times" w:hAnsi="Times"/>
          <w:sz w:val="22"/>
          <w:szCs w:val="22"/>
        </w:rPr>
        <w:t xml:space="preserve">to 1.5 cm. Young leaves red or yellow. FLOWERS: flower head brown-yellow, </w:t>
      </w:r>
      <w:r>
        <w:rPr>
          <w:rFonts w:ascii="Times" w:hAnsi="Times"/>
          <w:b/>
          <w:bCs/>
          <w:sz w:val="22"/>
          <w:szCs w:val="22"/>
        </w:rPr>
        <w:t xml:space="preserve">rounded, 2.5-10.0 cm across, </w:t>
      </w:r>
      <w:r>
        <w:rPr>
          <w:rFonts w:ascii="Times" w:hAnsi="Times"/>
          <w:sz w:val="22"/>
          <w:szCs w:val="22"/>
        </w:rPr>
        <w:t xml:space="preserve">male and female usually separate, growing </w:t>
      </w:r>
      <w:r>
        <w:rPr>
          <w:rFonts w:ascii="Times" w:hAnsi="Times"/>
          <w:b/>
          <w:bCs/>
          <w:sz w:val="22"/>
          <w:szCs w:val="22"/>
        </w:rPr>
        <w:t xml:space="preserve">beside leaves </w:t>
      </w:r>
      <w:r>
        <w:rPr>
          <w:rFonts w:ascii="Times" w:hAnsi="Times"/>
          <w:sz w:val="22"/>
          <w:szCs w:val="22"/>
        </w:rPr>
        <w:t xml:space="preserve">(axillary) or </w:t>
      </w:r>
      <w:r>
        <w:rPr>
          <w:rFonts w:ascii="Times" w:hAnsi="Times"/>
          <w:b/>
          <w:bCs/>
          <w:sz w:val="22"/>
          <w:szCs w:val="22"/>
        </w:rPr>
        <w:t xml:space="preserve">on older wood </w:t>
      </w:r>
      <w:r>
        <w:rPr>
          <w:rFonts w:ascii="Times" w:hAnsi="Times"/>
          <w:sz w:val="22"/>
          <w:szCs w:val="22"/>
        </w:rPr>
        <w:t xml:space="preserve">down to the trunk. FRUIT: compound, </w:t>
      </w:r>
      <w:r>
        <w:rPr>
          <w:rFonts w:ascii="Times" w:hAnsi="Times"/>
          <w:b/>
          <w:bCs/>
          <w:sz w:val="22"/>
          <w:szCs w:val="22"/>
        </w:rPr>
        <w:t xml:space="preserve">rounded, very large, up to 30 cm across, </w:t>
      </w:r>
      <w:r>
        <w:rPr>
          <w:rFonts w:ascii="Times" w:hAnsi="Times"/>
          <w:sz w:val="22"/>
          <w:szCs w:val="22"/>
        </w:rPr>
        <w:t xml:space="preserve">on the trunk or main branches, containing many orange seeds, about 1 cm, buried in spongy pulp of the fruit. The outer surface is covered with rough pointed outgrowths. </w:t>
      </w:r>
    </w:p>
    <w:p w:rsidR="005079B3" w:rsidRDefault="005079B3" w:rsidP="005079B3">
      <w:pPr>
        <w:pStyle w:val="NormalWeb"/>
        <w:rPr>
          <w:rFonts w:ascii="Times" w:hAnsi="Times"/>
          <w:b/>
          <w:bCs/>
          <w:sz w:val="22"/>
          <w:szCs w:val="22"/>
        </w:rPr>
      </w:pPr>
      <w:r>
        <w:rPr>
          <w:rFonts w:ascii="Times" w:hAnsi="Times"/>
          <w:b/>
          <w:bCs/>
          <w:sz w:val="22"/>
          <w:szCs w:val="22"/>
        </w:rPr>
        <w:t>Propagation</w:t>
      </w:r>
      <w:r>
        <w:rPr>
          <w:rFonts w:ascii="Times" w:hAnsi="Times"/>
          <w:b/>
          <w:bCs/>
          <w:sz w:val="22"/>
          <w:szCs w:val="22"/>
        </w:rPr>
        <w:t xml:space="preserve">: </w:t>
      </w:r>
      <w:r>
        <w:rPr>
          <w:rFonts w:ascii="Times" w:hAnsi="Times"/>
          <w:sz w:val="22"/>
          <w:szCs w:val="22"/>
        </w:rPr>
        <w:t xml:space="preserve">Seedlings (sow seed in pots), direct spot sowing at site. </w:t>
      </w:r>
    </w:p>
    <w:p w:rsidR="005079B3" w:rsidRDefault="005079B3" w:rsidP="005079B3">
      <w:pPr>
        <w:pStyle w:val="NormalWeb"/>
      </w:pPr>
      <w:r>
        <w:rPr>
          <w:rFonts w:ascii="Times" w:hAnsi="Times"/>
          <w:b/>
          <w:bCs/>
          <w:sz w:val="22"/>
          <w:szCs w:val="22"/>
        </w:rPr>
        <w:t xml:space="preserve">Seed: </w:t>
      </w:r>
      <w:r>
        <w:rPr>
          <w:rFonts w:ascii="Times" w:hAnsi="Times"/>
          <w:sz w:val="22"/>
          <w:szCs w:val="22"/>
        </w:rPr>
        <w:t>No. of seeds per kg: 4,500-5,000.</w:t>
      </w:r>
    </w:p>
    <w:p w:rsidR="005079B3" w:rsidRDefault="005079B3" w:rsidP="005079B3">
      <w:pPr>
        <w:pStyle w:val="NormalWeb"/>
      </w:pPr>
      <w:r>
        <w:rPr>
          <w:rFonts w:ascii="Times" w:hAnsi="Times"/>
          <w:b/>
          <w:bCs/>
          <w:sz w:val="22"/>
          <w:szCs w:val="22"/>
        </w:rPr>
        <w:t xml:space="preserve">treatment: </w:t>
      </w:r>
      <w:r>
        <w:rPr>
          <w:rFonts w:ascii="Times" w:hAnsi="Times"/>
          <w:sz w:val="22"/>
          <w:szCs w:val="22"/>
        </w:rPr>
        <w:t>not necessary.</w:t>
      </w:r>
    </w:p>
    <w:p w:rsidR="005079B3" w:rsidRDefault="005079B3" w:rsidP="005079B3">
      <w:pPr>
        <w:pStyle w:val="NormalWeb"/>
      </w:pPr>
      <w:r>
        <w:rPr>
          <w:rFonts w:ascii="Times" w:hAnsi="Times"/>
          <w:b/>
          <w:bCs/>
          <w:sz w:val="22"/>
          <w:szCs w:val="22"/>
        </w:rPr>
        <w:t xml:space="preserve">storage: </w:t>
      </w:r>
      <w:r>
        <w:rPr>
          <w:rFonts w:ascii="Times" w:hAnsi="Times"/>
          <w:sz w:val="22"/>
          <w:szCs w:val="22"/>
        </w:rPr>
        <w:t xml:space="preserve">perishable; viable for a few weeks at most. </w:t>
      </w:r>
    </w:p>
    <w:p w:rsidR="005079B3" w:rsidRDefault="005079B3" w:rsidP="005079B3">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Fairly fast growing.</w:t>
      </w:r>
    </w:p>
    <w:p w:rsidR="005079B3" w:rsidRDefault="005079B3" w:rsidP="005079B3">
      <w:pPr>
        <w:pStyle w:val="NormalWeb"/>
      </w:pPr>
      <w:r>
        <w:rPr>
          <w:rFonts w:ascii="Times" w:hAnsi="Times"/>
          <w:b/>
          <w:bCs/>
          <w:sz w:val="22"/>
          <w:szCs w:val="22"/>
        </w:rPr>
        <w:t xml:space="preserve">Remarks: </w:t>
      </w:r>
      <w:r>
        <w:rPr>
          <w:rFonts w:ascii="Times" w:hAnsi="Times"/>
          <w:sz w:val="22"/>
          <w:szCs w:val="22"/>
        </w:rPr>
        <w:t xml:space="preserve">A tree with potential to be grown in valleys and riverine areas. It could be domesticated on farmlands or planted as an avenue tree. The seeds can be dried, fried and eaten. </w:t>
      </w:r>
    </w:p>
    <w:p w:rsidR="005079B3" w:rsidRDefault="005079B3" w:rsidP="005079B3">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B3"/>
    <w:rsid w:val="00330D82"/>
    <w:rsid w:val="005079B3"/>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86ECC9"/>
  <w15:chartTrackingRefBased/>
  <w15:docId w15:val="{34F3649E-46E5-C74A-91B3-C50BC6E5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9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6647">
      <w:bodyDiv w:val="1"/>
      <w:marLeft w:val="0"/>
      <w:marRight w:val="0"/>
      <w:marTop w:val="0"/>
      <w:marBottom w:val="0"/>
      <w:divBdr>
        <w:top w:val="none" w:sz="0" w:space="0" w:color="auto"/>
        <w:left w:val="none" w:sz="0" w:space="0" w:color="auto"/>
        <w:bottom w:val="none" w:sz="0" w:space="0" w:color="auto"/>
        <w:right w:val="none" w:sz="0" w:space="0" w:color="auto"/>
      </w:divBdr>
      <w:divsChild>
        <w:div w:id="1839343350">
          <w:marLeft w:val="0"/>
          <w:marRight w:val="0"/>
          <w:marTop w:val="0"/>
          <w:marBottom w:val="0"/>
          <w:divBdr>
            <w:top w:val="none" w:sz="0" w:space="0" w:color="auto"/>
            <w:left w:val="none" w:sz="0" w:space="0" w:color="auto"/>
            <w:bottom w:val="none" w:sz="0" w:space="0" w:color="auto"/>
            <w:right w:val="none" w:sz="0" w:space="0" w:color="auto"/>
          </w:divBdr>
          <w:divsChild>
            <w:div w:id="835849228">
              <w:marLeft w:val="0"/>
              <w:marRight w:val="0"/>
              <w:marTop w:val="0"/>
              <w:marBottom w:val="0"/>
              <w:divBdr>
                <w:top w:val="none" w:sz="0" w:space="0" w:color="auto"/>
                <w:left w:val="none" w:sz="0" w:space="0" w:color="auto"/>
                <w:bottom w:val="none" w:sz="0" w:space="0" w:color="auto"/>
                <w:right w:val="none" w:sz="0" w:space="0" w:color="auto"/>
              </w:divBdr>
              <w:divsChild>
                <w:div w:id="207570883">
                  <w:marLeft w:val="0"/>
                  <w:marRight w:val="0"/>
                  <w:marTop w:val="0"/>
                  <w:marBottom w:val="0"/>
                  <w:divBdr>
                    <w:top w:val="none" w:sz="0" w:space="0" w:color="auto"/>
                    <w:left w:val="none" w:sz="0" w:space="0" w:color="auto"/>
                    <w:bottom w:val="none" w:sz="0" w:space="0" w:color="auto"/>
                    <w:right w:val="none" w:sz="0" w:space="0" w:color="auto"/>
                  </w:divBdr>
                </w:div>
              </w:divsChild>
            </w:div>
            <w:div w:id="1014965857">
              <w:marLeft w:val="0"/>
              <w:marRight w:val="0"/>
              <w:marTop w:val="0"/>
              <w:marBottom w:val="0"/>
              <w:divBdr>
                <w:top w:val="none" w:sz="0" w:space="0" w:color="auto"/>
                <w:left w:val="none" w:sz="0" w:space="0" w:color="auto"/>
                <w:bottom w:val="none" w:sz="0" w:space="0" w:color="auto"/>
                <w:right w:val="none" w:sz="0" w:space="0" w:color="auto"/>
              </w:divBdr>
              <w:divsChild>
                <w:div w:id="872310740">
                  <w:marLeft w:val="0"/>
                  <w:marRight w:val="0"/>
                  <w:marTop w:val="0"/>
                  <w:marBottom w:val="0"/>
                  <w:divBdr>
                    <w:top w:val="none" w:sz="0" w:space="0" w:color="auto"/>
                    <w:left w:val="none" w:sz="0" w:space="0" w:color="auto"/>
                    <w:bottom w:val="none" w:sz="0" w:space="0" w:color="auto"/>
                    <w:right w:val="none" w:sz="0" w:space="0" w:color="auto"/>
                  </w:divBdr>
                </w:div>
                <w:div w:id="1635259091">
                  <w:marLeft w:val="0"/>
                  <w:marRight w:val="0"/>
                  <w:marTop w:val="0"/>
                  <w:marBottom w:val="0"/>
                  <w:divBdr>
                    <w:top w:val="none" w:sz="0" w:space="0" w:color="auto"/>
                    <w:left w:val="none" w:sz="0" w:space="0" w:color="auto"/>
                    <w:bottom w:val="none" w:sz="0" w:space="0" w:color="auto"/>
                    <w:right w:val="none" w:sz="0" w:space="0" w:color="auto"/>
                  </w:divBdr>
                </w:div>
              </w:divsChild>
            </w:div>
            <w:div w:id="481628114">
              <w:marLeft w:val="0"/>
              <w:marRight w:val="0"/>
              <w:marTop w:val="0"/>
              <w:marBottom w:val="0"/>
              <w:divBdr>
                <w:top w:val="none" w:sz="0" w:space="0" w:color="auto"/>
                <w:left w:val="none" w:sz="0" w:space="0" w:color="auto"/>
                <w:bottom w:val="none" w:sz="0" w:space="0" w:color="auto"/>
                <w:right w:val="none" w:sz="0" w:space="0" w:color="auto"/>
              </w:divBdr>
              <w:divsChild>
                <w:div w:id="18955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2019-06-25T14:35:00Z</dcterms:created>
  <dcterms:modified xsi:type="dcterms:W3CDTF">2019-06-25T14:37:00Z</dcterms:modified>
</cp:coreProperties>
</file>