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A993" w14:textId="77777777" w:rsidR="009B1ED3" w:rsidRDefault="009B1ED3" w:rsidP="009B1ED3">
      <w:pPr>
        <w:pStyle w:val="NormalWeb"/>
      </w:pPr>
      <w:proofErr w:type="spellStart"/>
      <w:r>
        <w:rPr>
          <w:rFonts w:ascii="Times" w:hAnsi="Times"/>
          <w:sz w:val="30"/>
          <w:szCs w:val="30"/>
        </w:rPr>
        <w:t>Blighia</w:t>
      </w:r>
      <w:proofErr w:type="spellEnd"/>
      <w:r>
        <w:rPr>
          <w:rFonts w:ascii="Times" w:hAnsi="Times"/>
          <w:sz w:val="30"/>
          <w:szCs w:val="30"/>
        </w:rPr>
        <w:t xml:space="preserve"> </w:t>
      </w:r>
      <w:proofErr w:type="spellStart"/>
      <w:r>
        <w:rPr>
          <w:rFonts w:ascii="Times" w:hAnsi="Times"/>
          <w:sz w:val="30"/>
          <w:szCs w:val="30"/>
        </w:rPr>
        <w:t>unijugata</w:t>
      </w:r>
      <w:proofErr w:type="spellEnd"/>
      <w:r>
        <w:rPr>
          <w:rFonts w:ascii="Times" w:hAnsi="Times"/>
          <w:sz w:val="30"/>
          <w:szCs w:val="30"/>
        </w:rPr>
        <w:t xml:space="preserve"> </w:t>
      </w:r>
      <w:proofErr w:type="spellStart"/>
      <w:r>
        <w:rPr>
          <w:rFonts w:ascii="Times" w:hAnsi="Times"/>
          <w:i/>
          <w:iCs/>
          <w:sz w:val="30"/>
          <w:szCs w:val="30"/>
        </w:rPr>
        <w:t>Sapindaceae</w:t>
      </w:r>
      <w:proofErr w:type="spellEnd"/>
      <w:r>
        <w:rPr>
          <w:rFonts w:ascii="Times" w:hAnsi="Times"/>
          <w:i/>
          <w:iCs/>
          <w:sz w:val="30"/>
          <w:szCs w:val="30"/>
        </w:rPr>
        <w:t xml:space="preserve"> </w:t>
      </w:r>
    </w:p>
    <w:p w14:paraId="1BC738AF" w14:textId="77777777" w:rsidR="009B1ED3" w:rsidRDefault="009B1ED3" w:rsidP="009B1ED3">
      <w:pPr>
        <w:pStyle w:val="NormalWeb"/>
      </w:pPr>
      <w:r>
        <w:rPr>
          <w:rFonts w:ascii="Times" w:hAnsi="Times"/>
          <w:sz w:val="22"/>
          <w:szCs w:val="22"/>
        </w:rPr>
        <w:t xml:space="preserve">Indigenous </w:t>
      </w:r>
    </w:p>
    <w:p w14:paraId="44D6419A" w14:textId="1A5CCB0B" w:rsidR="009B1ED3" w:rsidRDefault="009B1ED3" w:rsidP="009B1ED3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Common names: Luganda: </w:t>
      </w:r>
      <w:proofErr w:type="spellStart"/>
      <w:r>
        <w:rPr>
          <w:rFonts w:ascii="Times" w:hAnsi="Times"/>
          <w:sz w:val="22"/>
          <w:szCs w:val="22"/>
        </w:rPr>
        <w:t>Mukuzanyana</w:t>
      </w:r>
      <w:proofErr w:type="spellEnd"/>
      <w:r>
        <w:rPr>
          <w:rFonts w:ascii="Times" w:hAnsi="Times"/>
          <w:sz w:val="22"/>
          <w:szCs w:val="22"/>
        </w:rPr>
        <w:t>,</w:t>
      </w:r>
      <w:bookmarkStart w:id="0" w:name="_GoBack"/>
      <w:bookmarkEnd w:id="0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Lugwe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Muhehete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Lusoga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Mukuza</w:t>
      </w:r>
      <w:proofErr w:type="spellEnd"/>
      <w:r>
        <w:rPr>
          <w:rFonts w:ascii="Times" w:hAnsi="Times"/>
          <w:sz w:val="22"/>
          <w:szCs w:val="22"/>
        </w:rPr>
        <w:t xml:space="preserve">- </w:t>
      </w:r>
      <w:proofErr w:type="spellStart"/>
      <w:r>
        <w:rPr>
          <w:rFonts w:ascii="Times" w:hAnsi="Times"/>
          <w:sz w:val="22"/>
          <w:szCs w:val="22"/>
        </w:rPr>
        <w:t>dhyana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musandikira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Rutoro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Mwatibale</w:t>
      </w:r>
      <w:proofErr w:type="spellEnd"/>
      <w:r>
        <w:rPr>
          <w:rFonts w:ascii="Times" w:hAnsi="Times"/>
          <w:sz w:val="22"/>
          <w:szCs w:val="22"/>
        </w:rPr>
        <w:t xml:space="preserve">. </w:t>
      </w:r>
    </w:p>
    <w:p w14:paraId="6A9F9B57" w14:textId="38CE84DD" w:rsidR="009B1ED3" w:rsidRDefault="009B1ED3" w:rsidP="009B1ED3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Ecology: </w:t>
      </w:r>
      <w:r>
        <w:rPr>
          <w:rFonts w:ascii="Times" w:hAnsi="Times"/>
          <w:sz w:val="22"/>
          <w:szCs w:val="22"/>
        </w:rPr>
        <w:t xml:space="preserve">A tree extending to southern Africa. It is found in evergreen lowland and upland forest in dry and moist areas of Eastern, Central and Western Uganda. Often a colonizer in secondary vegetation. Abundant in forests between </w:t>
      </w:r>
      <w:proofErr w:type="spellStart"/>
      <w:r>
        <w:rPr>
          <w:rFonts w:ascii="Times" w:hAnsi="Times"/>
          <w:sz w:val="22"/>
          <w:szCs w:val="22"/>
        </w:rPr>
        <w:t>Kyegegwa</w:t>
      </w:r>
      <w:proofErr w:type="spellEnd"/>
      <w:r>
        <w:rPr>
          <w:rFonts w:ascii="Times" w:hAnsi="Times"/>
          <w:sz w:val="22"/>
          <w:szCs w:val="22"/>
        </w:rPr>
        <w:t xml:space="preserve"> and </w:t>
      </w:r>
      <w:proofErr w:type="spellStart"/>
      <w:r>
        <w:rPr>
          <w:rFonts w:ascii="Times" w:hAnsi="Times"/>
          <w:sz w:val="22"/>
          <w:szCs w:val="22"/>
        </w:rPr>
        <w:t>Kyenjojo</w:t>
      </w:r>
      <w:proofErr w:type="spellEnd"/>
      <w:r>
        <w:rPr>
          <w:rFonts w:ascii="Times" w:hAnsi="Times"/>
          <w:sz w:val="22"/>
          <w:szCs w:val="22"/>
        </w:rPr>
        <w:t xml:space="preserve"> along the Kampala-Fort Portal road. </w:t>
      </w:r>
    </w:p>
    <w:p w14:paraId="20FA2417" w14:textId="77777777" w:rsidR="009B1ED3" w:rsidRDefault="009B1ED3" w:rsidP="009B1ED3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Uses: </w:t>
      </w:r>
      <w:r>
        <w:rPr>
          <w:rFonts w:ascii="Times" w:hAnsi="Times"/>
          <w:sz w:val="22"/>
          <w:szCs w:val="22"/>
        </w:rPr>
        <w:t xml:space="preserve">Firewood, charcoal, timber, poles, flooring, shade (for coffee). </w:t>
      </w:r>
    </w:p>
    <w:p w14:paraId="0817561D" w14:textId="5A0C065C" w:rsidR="009B1ED3" w:rsidRDefault="009B1ED3" w:rsidP="009B1ED3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Description: </w:t>
      </w:r>
      <w:r>
        <w:rPr>
          <w:rFonts w:ascii="Times" w:hAnsi="Times"/>
          <w:sz w:val="22"/>
          <w:szCs w:val="22"/>
        </w:rPr>
        <w:t xml:space="preserve">An understorey or canopy tree 7-12 m, but to 25 m in forest. It has a </w:t>
      </w:r>
      <w:r>
        <w:rPr>
          <w:rFonts w:ascii="Times" w:hAnsi="Times"/>
          <w:b/>
          <w:bCs/>
          <w:sz w:val="22"/>
          <w:szCs w:val="22"/>
        </w:rPr>
        <w:t xml:space="preserve">dense, shady, rounded crown </w:t>
      </w:r>
      <w:r>
        <w:rPr>
          <w:rFonts w:ascii="Times" w:hAnsi="Times"/>
          <w:sz w:val="22"/>
          <w:szCs w:val="22"/>
        </w:rPr>
        <w:t xml:space="preserve">(like mango). BARK: thin, </w:t>
      </w:r>
      <w:r>
        <w:rPr>
          <w:rFonts w:ascii="Times" w:hAnsi="Times"/>
          <w:b/>
          <w:bCs/>
          <w:sz w:val="22"/>
          <w:szCs w:val="22"/>
        </w:rPr>
        <w:t xml:space="preserve">grey to dark green, </w:t>
      </w:r>
      <w:r>
        <w:rPr>
          <w:rFonts w:ascii="Times" w:hAnsi="Times"/>
          <w:sz w:val="22"/>
          <w:szCs w:val="22"/>
        </w:rPr>
        <w:t xml:space="preserve">rather smooth but with </w:t>
      </w:r>
      <w:r>
        <w:rPr>
          <w:rFonts w:ascii="Times" w:hAnsi="Times"/>
          <w:b/>
          <w:bCs/>
          <w:sz w:val="22"/>
          <w:szCs w:val="22"/>
        </w:rPr>
        <w:t xml:space="preserve">horizontal ridges </w:t>
      </w:r>
      <w:r>
        <w:rPr>
          <w:rFonts w:ascii="Times" w:hAnsi="Times"/>
          <w:sz w:val="22"/>
          <w:szCs w:val="22"/>
        </w:rPr>
        <w:t xml:space="preserve">and little rounded bumps. LEAVES: compound, only 1-3 pairs leaflets on a short stalk, dramatic </w:t>
      </w:r>
      <w:r>
        <w:rPr>
          <w:rFonts w:ascii="Times" w:hAnsi="Times"/>
          <w:b/>
          <w:bCs/>
          <w:sz w:val="22"/>
          <w:szCs w:val="22"/>
        </w:rPr>
        <w:t xml:space="preserve">pink-red at first, </w:t>
      </w:r>
      <w:r>
        <w:rPr>
          <w:rFonts w:ascii="Times" w:hAnsi="Times"/>
          <w:sz w:val="22"/>
          <w:szCs w:val="22"/>
        </w:rPr>
        <w:t xml:space="preserve">later </w:t>
      </w:r>
      <w:r>
        <w:rPr>
          <w:rFonts w:ascii="Times" w:hAnsi="Times"/>
          <w:b/>
          <w:bCs/>
          <w:sz w:val="22"/>
          <w:szCs w:val="22"/>
        </w:rPr>
        <w:t xml:space="preserve">shiny dark green, </w:t>
      </w:r>
      <w:r>
        <w:rPr>
          <w:rFonts w:ascii="Times" w:hAnsi="Times"/>
          <w:sz w:val="22"/>
          <w:szCs w:val="22"/>
        </w:rPr>
        <w:t xml:space="preserve">dull below. Each leaflet about 12 cm and quite wide, </w:t>
      </w:r>
      <w:r>
        <w:rPr>
          <w:rFonts w:ascii="Times" w:hAnsi="Times"/>
          <w:b/>
          <w:bCs/>
          <w:sz w:val="22"/>
          <w:szCs w:val="22"/>
        </w:rPr>
        <w:t xml:space="preserve">smaller leaflets at the base, </w:t>
      </w:r>
      <w:r>
        <w:rPr>
          <w:rFonts w:ascii="Times" w:hAnsi="Times"/>
          <w:sz w:val="22"/>
          <w:szCs w:val="22"/>
        </w:rPr>
        <w:t xml:space="preserve">the edge wavy and </w:t>
      </w:r>
      <w:r>
        <w:rPr>
          <w:rFonts w:ascii="Times" w:hAnsi="Times"/>
          <w:b/>
          <w:bCs/>
          <w:sz w:val="22"/>
          <w:szCs w:val="22"/>
        </w:rPr>
        <w:t xml:space="preserve">tip long and pointed. </w:t>
      </w:r>
      <w:r>
        <w:rPr>
          <w:rFonts w:ascii="Times" w:hAnsi="Times"/>
          <w:sz w:val="22"/>
          <w:szCs w:val="22"/>
        </w:rPr>
        <w:t xml:space="preserve">FLOWERS: small, fragrant and white on a drooping head 7-8 cm. Male trees and female trees. FRUIT: </w:t>
      </w:r>
      <w:r>
        <w:rPr>
          <w:rFonts w:ascii="Times" w:hAnsi="Times"/>
          <w:b/>
          <w:bCs/>
          <w:sz w:val="22"/>
          <w:szCs w:val="22"/>
        </w:rPr>
        <w:t xml:space="preserve">bright yellow- orange-red capsules </w:t>
      </w:r>
      <w:r>
        <w:rPr>
          <w:rFonts w:ascii="Times" w:hAnsi="Times"/>
          <w:sz w:val="22"/>
          <w:szCs w:val="22"/>
        </w:rPr>
        <w:t xml:space="preserve">decorate the tree, each soft, hairy, </w:t>
      </w:r>
      <w:r>
        <w:rPr>
          <w:rFonts w:ascii="Times" w:hAnsi="Times"/>
          <w:b/>
          <w:bCs/>
          <w:sz w:val="22"/>
          <w:szCs w:val="22"/>
        </w:rPr>
        <w:t xml:space="preserve">rather triangular to 4 cm </w:t>
      </w:r>
      <w:r>
        <w:rPr>
          <w:rFonts w:ascii="Times" w:hAnsi="Times"/>
          <w:sz w:val="22"/>
          <w:szCs w:val="22"/>
        </w:rPr>
        <w:t xml:space="preserve">long with 3 winged lobes. The fruit become woody and split into 3 sections each of which </w:t>
      </w:r>
      <w:r>
        <w:rPr>
          <w:rFonts w:ascii="Times" w:hAnsi="Times"/>
          <w:b/>
          <w:bCs/>
          <w:sz w:val="22"/>
          <w:szCs w:val="22"/>
        </w:rPr>
        <w:t xml:space="preserve">twists back to set free 1 cm shiny brown-black seeds. </w:t>
      </w:r>
      <w:r>
        <w:rPr>
          <w:rFonts w:ascii="Times" w:hAnsi="Times"/>
          <w:sz w:val="22"/>
          <w:szCs w:val="22"/>
        </w:rPr>
        <w:t xml:space="preserve">Each has a small </w:t>
      </w:r>
      <w:r>
        <w:rPr>
          <w:rFonts w:ascii="Times" w:hAnsi="Times"/>
          <w:b/>
          <w:bCs/>
          <w:sz w:val="22"/>
          <w:szCs w:val="22"/>
        </w:rPr>
        <w:t>yellow cup-like aril.</w:t>
      </w:r>
    </w:p>
    <w:p w14:paraId="6AE38ADD" w14:textId="36532E95" w:rsidR="009B1ED3" w:rsidRDefault="009B1ED3" w:rsidP="009B1ED3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Propagation: </w:t>
      </w:r>
      <w:r>
        <w:rPr>
          <w:rFonts w:ascii="Times" w:hAnsi="Times"/>
          <w:sz w:val="22"/>
          <w:szCs w:val="22"/>
        </w:rPr>
        <w:t>Seedlings (sow seed in pots) and wild</w:t>
      </w:r>
      <w:r>
        <w:rPr>
          <w:rFonts w:ascii="Times" w:hAnsi="Times"/>
          <w:sz w:val="22"/>
          <w:szCs w:val="22"/>
        </w:rPr>
        <w:t>l</w:t>
      </w:r>
      <w:r>
        <w:rPr>
          <w:rFonts w:ascii="Times" w:hAnsi="Times"/>
          <w:sz w:val="22"/>
          <w:szCs w:val="22"/>
        </w:rPr>
        <w:t>ings.</w:t>
      </w:r>
    </w:p>
    <w:p w14:paraId="2BE56859" w14:textId="40251D58" w:rsidR="009B1ED3" w:rsidRDefault="009B1ED3" w:rsidP="009B1ED3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Seed: </w:t>
      </w:r>
      <w:r>
        <w:rPr>
          <w:rFonts w:ascii="Times" w:hAnsi="Times"/>
          <w:sz w:val="22"/>
          <w:szCs w:val="22"/>
        </w:rPr>
        <w:t>Seeds are contained in a 3-sided capsule and germinate easily,</w:t>
      </w:r>
    </w:p>
    <w:p w14:paraId="1AE0E66A" w14:textId="3AC10C5A" w:rsidR="009B1ED3" w:rsidRDefault="009B1ED3" w:rsidP="009B1ED3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treatment: </w:t>
      </w:r>
      <w:r>
        <w:rPr>
          <w:rFonts w:ascii="Times" w:hAnsi="Times"/>
          <w:sz w:val="22"/>
          <w:szCs w:val="22"/>
        </w:rPr>
        <w:t>not necessary.</w:t>
      </w:r>
    </w:p>
    <w:p w14:paraId="4EFFDDB9" w14:textId="77777777" w:rsidR="009B1ED3" w:rsidRDefault="009B1ED3" w:rsidP="009B1ED3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>in sealed containers in a cool place.</w:t>
      </w:r>
    </w:p>
    <w:p w14:paraId="40F4404F" w14:textId="3DD928D2" w:rsidR="009B1ED3" w:rsidRDefault="009B1ED3" w:rsidP="009B1ED3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Management: </w:t>
      </w:r>
      <w:r>
        <w:rPr>
          <w:rFonts w:ascii="Times" w:hAnsi="Times"/>
          <w:sz w:val="22"/>
          <w:szCs w:val="22"/>
        </w:rPr>
        <w:t>Coppicing, pollarding.</w:t>
      </w:r>
    </w:p>
    <w:p w14:paraId="7553DB55" w14:textId="48A2153C" w:rsidR="009B1ED3" w:rsidRDefault="009B1ED3" w:rsidP="009B1ED3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Remarks: </w:t>
      </w:r>
      <w:r>
        <w:rPr>
          <w:rFonts w:ascii="Times" w:hAnsi="Times"/>
          <w:sz w:val="22"/>
          <w:szCs w:val="22"/>
        </w:rPr>
        <w:t>Leaves and fruit have been reported to be poisonous—not even eaten by baboons. The red heartwood has been used for building and furniture. Common as a shade tree in coffee plantations and suitable for commercial plantations.</w:t>
      </w:r>
    </w:p>
    <w:p w14:paraId="2ED7A2FF" w14:textId="77777777"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330D82"/>
    <w:rsid w:val="009B1ED3"/>
    <w:rsid w:val="00CF059B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DFDF"/>
  <w15:chartTrackingRefBased/>
  <w15:docId w15:val="{EC553AA9-99A7-A84F-B788-A225392D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E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1</cp:revision>
  <dcterms:created xsi:type="dcterms:W3CDTF">2019-06-27T07:28:00Z</dcterms:created>
  <dcterms:modified xsi:type="dcterms:W3CDTF">2019-06-27T07:29:00Z</dcterms:modified>
</cp:coreProperties>
</file>