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0090E" w14:textId="23926885" w:rsidR="00E57590" w:rsidRDefault="00E57590" w:rsidP="00E57590">
      <w:pPr>
        <w:pStyle w:val="NormalWeb"/>
      </w:pPr>
      <w:r>
        <w:rPr>
          <w:rFonts w:ascii="Times" w:hAnsi="Times"/>
          <w:sz w:val="30"/>
          <w:szCs w:val="30"/>
        </w:rPr>
        <w:t>Margaritaria discoid</w:t>
      </w:r>
      <w:r>
        <w:rPr>
          <w:rFonts w:ascii="Times" w:hAnsi="Times"/>
          <w:sz w:val="30"/>
          <w:szCs w:val="30"/>
        </w:rPr>
        <w:t>ea</w:t>
      </w:r>
      <w:r>
        <w:rPr>
          <w:rFonts w:ascii="Times" w:hAnsi="Times"/>
          <w:sz w:val="30"/>
          <w:szCs w:val="30"/>
        </w:rPr>
        <w:t xml:space="preserve"> </w:t>
      </w:r>
      <w:r>
        <w:rPr>
          <w:rFonts w:ascii="Times" w:hAnsi="Times"/>
          <w:i/>
          <w:iCs/>
          <w:position w:val="-2"/>
          <w:sz w:val="30"/>
          <w:szCs w:val="30"/>
        </w:rPr>
        <w:t xml:space="preserve">Euphorbiaceae </w:t>
      </w:r>
    </w:p>
    <w:p w14:paraId="79A859CB" w14:textId="77777777" w:rsidR="00E57590" w:rsidRDefault="00E57590" w:rsidP="00E57590">
      <w:pPr>
        <w:pStyle w:val="NormalWeb"/>
      </w:pPr>
      <w:r>
        <w:rPr>
          <w:rFonts w:ascii="Times" w:hAnsi="Times"/>
          <w:sz w:val="22"/>
          <w:szCs w:val="22"/>
        </w:rPr>
        <w:t xml:space="preserve">Indigenous </w:t>
      </w:r>
    </w:p>
    <w:p w14:paraId="4A89AD51" w14:textId="3C73309C" w:rsidR="00E57590" w:rsidRDefault="00E57590" w:rsidP="00E57590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Common names: </w:t>
      </w:r>
      <w:r>
        <w:rPr>
          <w:rFonts w:ascii="Times" w:hAnsi="Times"/>
          <w:b/>
          <w:bCs/>
          <w:sz w:val="22"/>
          <w:szCs w:val="22"/>
        </w:rPr>
        <w:t xml:space="preserve">English: </w:t>
      </w:r>
      <w:r w:rsidRPr="00E57590">
        <w:rPr>
          <w:rFonts w:ascii="Times" w:hAnsi="Times"/>
          <w:sz w:val="22"/>
          <w:szCs w:val="22"/>
        </w:rPr>
        <w:t>Pheasant-berry</w:t>
      </w:r>
      <w:r>
        <w:rPr>
          <w:rFonts w:ascii="Times" w:hAnsi="Times"/>
          <w:b/>
          <w:bCs/>
          <w:sz w:val="22"/>
          <w:szCs w:val="22"/>
        </w:rPr>
        <w:t xml:space="preserve">, </w:t>
      </w:r>
      <w:r>
        <w:rPr>
          <w:rFonts w:ascii="Times" w:hAnsi="Times"/>
          <w:b/>
          <w:bCs/>
          <w:sz w:val="22"/>
          <w:szCs w:val="22"/>
        </w:rPr>
        <w:t xml:space="preserve">Ateso: </w:t>
      </w:r>
      <w:r>
        <w:rPr>
          <w:rFonts w:ascii="Times" w:hAnsi="Times"/>
          <w:sz w:val="22"/>
          <w:szCs w:val="22"/>
        </w:rPr>
        <w:t xml:space="preserve">Erionoi </w:t>
      </w:r>
      <w:r>
        <w:rPr>
          <w:rFonts w:ascii="Times" w:hAnsi="Times"/>
          <w:b/>
          <w:bCs/>
          <w:sz w:val="22"/>
          <w:szCs w:val="22"/>
        </w:rPr>
        <w:t xml:space="preserve">Kwamba: </w:t>
      </w:r>
      <w:r>
        <w:rPr>
          <w:rFonts w:ascii="Times" w:hAnsi="Times"/>
          <w:sz w:val="22"/>
          <w:szCs w:val="22"/>
        </w:rPr>
        <w:t xml:space="preserve">Amakeke </w:t>
      </w:r>
      <w:r>
        <w:rPr>
          <w:rFonts w:ascii="Times" w:hAnsi="Times"/>
          <w:b/>
          <w:bCs/>
          <w:sz w:val="22"/>
          <w:szCs w:val="22"/>
        </w:rPr>
        <w:t xml:space="preserve">Luganda: </w:t>
      </w:r>
      <w:r>
        <w:rPr>
          <w:rFonts w:ascii="Times" w:hAnsi="Times"/>
          <w:sz w:val="22"/>
          <w:szCs w:val="22"/>
        </w:rPr>
        <w:t>Kamenyambazi</w:t>
      </w:r>
      <w:r w:rsidR="003C139E">
        <w:rPr>
          <w:rFonts w:ascii="Times" w:hAnsi="Times"/>
          <w:sz w:val="22"/>
          <w:szCs w:val="22"/>
        </w:rPr>
        <w:t>,</w:t>
      </w:r>
      <w:r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b/>
          <w:bCs/>
          <w:sz w:val="22"/>
          <w:szCs w:val="22"/>
        </w:rPr>
        <w:t xml:space="preserve">Luganda, dialect Buddu: </w:t>
      </w:r>
      <w:r>
        <w:rPr>
          <w:rFonts w:ascii="Times" w:hAnsi="Times"/>
          <w:sz w:val="22"/>
          <w:szCs w:val="22"/>
        </w:rPr>
        <w:t xml:space="preserve">Kataibale </w:t>
      </w:r>
      <w:r>
        <w:rPr>
          <w:rFonts w:ascii="Times" w:hAnsi="Times"/>
          <w:b/>
          <w:bCs/>
          <w:sz w:val="22"/>
          <w:szCs w:val="22"/>
        </w:rPr>
        <w:t xml:space="preserve">Lugwere: </w:t>
      </w:r>
      <w:r>
        <w:rPr>
          <w:rFonts w:ascii="Times" w:hAnsi="Times"/>
          <w:sz w:val="22"/>
          <w:szCs w:val="22"/>
        </w:rPr>
        <w:t xml:space="preserve">Lukamakambugo, mutaigumbwa </w:t>
      </w:r>
      <w:r>
        <w:rPr>
          <w:rFonts w:ascii="Times" w:hAnsi="Times"/>
          <w:b/>
          <w:bCs/>
          <w:sz w:val="22"/>
          <w:szCs w:val="22"/>
        </w:rPr>
        <w:t xml:space="preserve">Luo </w:t>
      </w:r>
      <w:r>
        <w:rPr>
          <w:rFonts w:ascii="Times" w:hAnsi="Times"/>
          <w:sz w:val="22"/>
          <w:szCs w:val="22"/>
        </w:rPr>
        <w:t xml:space="preserve">A: Otego, atego </w:t>
      </w:r>
      <w:r>
        <w:rPr>
          <w:rFonts w:ascii="Times" w:hAnsi="Times"/>
          <w:b/>
          <w:bCs/>
          <w:sz w:val="22"/>
          <w:szCs w:val="22"/>
        </w:rPr>
        <w:t xml:space="preserve">Luo </w:t>
      </w:r>
      <w:r>
        <w:rPr>
          <w:rFonts w:ascii="Times" w:hAnsi="Times"/>
          <w:sz w:val="22"/>
          <w:szCs w:val="22"/>
        </w:rPr>
        <w:t xml:space="preserve">L: Atego </w:t>
      </w:r>
      <w:r>
        <w:rPr>
          <w:rFonts w:ascii="Times" w:hAnsi="Times"/>
          <w:b/>
          <w:bCs/>
          <w:sz w:val="22"/>
          <w:szCs w:val="22"/>
        </w:rPr>
        <w:t xml:space="preserve">Lusoga: </w:t>
      </w:r>
      <w:r>
        <w:rPr>
          <w:rFonts w:ascii="Times" w:hAnsi="Times"/>
          <w:sz w:val="22"/>
          <w:szCs w:val="22"/>
        </w:rPr>
        <w:t xml:space="preserve">Luka, kattinganfulu, kakazi </w:t>
      </w:r>
      <w:r>
        <w:rPr>
          <w:rFonts w:ascii="Times" w:hAnsi="Times"/>
          <w:b/>
          <w:bCs/>
          <w:sz w:val="22"/>
          <w:szCs w:val="22"/>
        </w:rPr>
        <w:t xml:space="preserve">Madi: </w:t>
      </w:r>
      <w:r>
        <w:rPr>
          <w:rFonts w:ascii="Times" w:hAnsi="Times"/>
          <w:sz w:val="22"/>
          <w:szCs w:val="22"/>
        </w:rPr>
        <w:t xml:space="preserve">Odzeki </w:t>
      </w:r>
      <w:r>
        <w:rPr>
          <w:rFonts w:ascii="Times" w:hAnsi="Times"/>
          <w:b/>
          <w:bCs/>
          <w:sz w:val="22"/>
          <w:szCs w:val="22"/>
        </w:rPr>
        <w:t xml:space="preserve">Rukiga: </w:t>
      </w:r>
      <w:r>
        <w:rPr>
          <w:rFonts w:ascii="Times" w:hAnsi="Times"/>
          <w:sz w:val="22"/>
          <w:szCs w:val="22"/>
        </w:rPr>
        <w:t xml:space="preserve">Mukale, musongati, muhahara </w:t>
      </w:r>
      <w:r>
        <w:rPr>
          <w:rFonts w:ascii="Times" w:hAnsi="Times"/>
          <w:b/>
          <w:bCs/>
          <w:sz w:val="22"/>
          <w:szCs w:val="22"/>
        </w:rPr>
        <w:t xml:space="preserve">Runyankore: </w:t>
      </w:r>
      <w:r>
        <w:rPr>
          <w:rFonts w:ascii="Times" w:hAnsi="Times"/>
          <w:sz w:val="22"/>
          <w:szCs w:val="22"/>
        </w:rPr>
        <w:t>Muremampango.</w:t>
      </w:r>
    </w:p>
    <w:p w14:paraId="1ECADDE9" w14:textId="1B678FA9" w:rsidR="00E57590" w:rsidRDefault="00E57590" w:rsidP="00E57590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Ecology: </w:t>
      </w:r>
      <w:r>
        <w:rPr>
          <w:rFonts w:ascii="Times" w:hAnsi="Times"/>
          <w:sz w:val="22"/>
          <w:szCs w:val="22"/>
        </w:rPr>
        <w:t>A widespread African tree of moist or dry forest margins, often a pioneer of lowland forest (Sudan), becoming dominant and then dying out. In Uganda it grows in thickets in savanna, secondary scrub and on forest edges.</w:t>
      </w:r>
    </w:p>
    <w:p w14:paraId="4BD34C4C" w14:textId="61A57D73" w:rsidR="00E57590" w:rsidRDefault="00E57590" w:rsidP="00E57590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Uses: </w:t>
      </w:r>
      <w:r>
        <w:rPr>
          <w:rFonts w:ascii="Times" w:hAnsi="Times"/>
          <w:sz w:val="22"/>
          <w:szCs w:val="22"/>
        </w:rPr>
        <w:t>Firewood, charcoal, timber</w:t>
      </w:r>
      <w:r>
        <w:rPr>
          <w:rFonts w:ascii="Times" w:hAnsi="Times"/>
          <w:sz w:val="22"/>
          <w:szCs w:val="22"/>
        </w:rPr>
        <w:t xml:space="preserve">, </w:t>
      </w:r>
      <w:r>
        <w:rPr>
          <w:rFonts w:ascii="Times" w:hAnsi="Times"/>
          <w:sz w:val="22"/>
          <w:szCs w:val="22"/>
        </w:rPr>
        <w:t>cabinet work, poles.</w:t>
      </w:r>
    </w:p>
    <w:p w14:paraId="64112D1C" w14:textId="21D40042" w:rsidR="00E57590" w:rsidRDefault="00E57590" w:rsidP="00E57590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Description: </w:t>
      </w:r>
      <w:r>
        <w:rPr>
          <w:rFonts w:ascii="Times" w:hAnsi="Times"/>
          <w:sz w:val="22"/>
          <w:szCs w:val="22"/>
        </w:rPr>
        <w:t>A deciduous tree 4-25 m high, very variable depending on the habitat. Usually branched near the base, a spreading and drooping branchlets. Branches on young trees are at right angles to the trunk. BARK: thin, smooth grey-brown, slightly fissured becom</w:t>
      </w:r>
      <w:bookmarkStart w:id="0" w:name="_GoBack"/>
      <w:bookmarkEnd w:id="0"/>
      <w:r>
        <w:rPr>
          <w:rFonts w:ascii="Times" w:hAnsi="Times"/>
          <w:sz w:val="22"/>
          <w:szCs w:val="22"/>
        </w:rPr>
        <w:t xml:space="preserve">ing rough and fibrous and scaling in big pieces with age. LEAVES: simple, alternate, sometimes appear compound on young shoots, variable in size, </w:t>
      </w:r>
      <w:r>
        <w:rPr>
          <w:rFonts w:ascii="Times" w:hAnsi="Times"/>
          <w:b/>
          <w:bCs/>
          <w:sz w:val="22"/>
          <w:szCs w:val="22"/>
        </w:rPr>
        <w:t xml:space="preserve">oval bright green and thin, </w:t>
      </w:r>
      <w:r>
        <w:rPr>
          <w:rFonts w:ascii="Times" w:hAnsi="Times"/>
          <w:sz w:val="22"/>
          <w:szCs w:val="22"/>
        </w:rPr>
        <w:t xml:space="preserve">about 10 cm, </w:t>
      </w:r>
      <w:r>
        <w:rPr>
          <w:rFonts w:ascii="Times" w:hAnsi="Times"/>
          <w:b/>
          <w:bCs/>
          <w:sz w:val="22"/>
          <w:szCs w:val="22"/>
        </w:rPr>
        <w:t xml:space="preserve">veins indistinct, </w:t>
      </w:r>
      <w:r>
        <w:rPr>
          <w:rFonts w:ascii="Times" w:hAnsi="Times"/>
          <w:sz w:val="22"/>
          <w:szCs w:val="22"/>
        </w:rPr>
        <w:t xml:space="preserve">edge of leaf clear when held up to the light. FLOWERS: male and female trees, flowers, small and inconspicuous, </w:t>
      </w:r>
      <w:r>
        <w:rPr>
          <w:rFonts w:ascii="Times" w:hAnsi="Times"/>
          <w:b/>
          <w:bCs/>
          <w:sz w:val="22"/>
          <w:szCs w:val="22"/>
        </w:rPr>
        <w:t xml:space="preserve">green-yellow and fragrant, </w:t>
      </w:r>
      <w:r>
        <w:rPr>
          <w:rFonts w:ascii="Times" w:hAnsi="Times"/>
          <w:sz w:val="22"/>
          <w:szCs w:val="22"/>
        </w:rPr>
        <w:t xml:space="preserve">appear on the bare tree. </w:t>
      </w:r>
      <w:r>
        <w:rPr>
          <w:rFonts w:ascii="Times" w:hAnsi="Times"/>
          <w:b/>
          <w:bCs/>
          <w:sz w:val="22"/>
          <w:szCs w:val="22"/>
        </w:rPr>
        <w:t xml:space="preserve">FRUIT: yellow-brown 3-part capsule 1 cm or less, </w:t>
      </w:r>
      <w:r>
        <w:rPr>
          <w:rFonts w:ascii="Times" w:hAnsi="Times"/>
          <w:sz w:val="22"/>
          <w:szCs w:val="22"/>
        </w:rPr>
        <w:t xml:space="preserve">breaking open to set free </w:t>
      </w:r>
      <w:r>
        <w:rPr>
          <w:rFonts w:ascii="Times" w:hAnsi="Times"/>
          <w:b/>
          <w:bCs/>
          <w:sz w:val="22"/>
          <w:szCs w:val="22"/>
        </w:rPr>
        <w:t>3 blue-black metallic-shiny seeds.</w:t>
      </w:r>
    </w:p>
    <w:p w14:paraId="1DD684AC" w14:textId="5A6899F3" w:rsidR="00E57590" w:rsidRDefault="00E57590" w:rsidP="00E57590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Propagation: </w:t>
      </w:r>
      <w:r>
        <w:rPr>
          <w:rFonts w:ascii="Times" w:hAnsi="Times"/>
          <w:sz w:val="22"/>
          <w:szCs w:val="22"/>
        </w:rPr>
        <w:t>Seedlings, wild</w:t>
      </w:r>
      <w:r w:rsidR="00D82101">
        <w:rPr>
          <w:rFonts w:ascii="Times" w:hAnsi="Times"/>
          <w:sz w:val="22"/>
          <w:szCs w:val="22"/>
        </w:rPr>
        <w:t>l</w:t>
      </w:r>
      <w:r>
        <w:rPr>
          <w:rFonts w:ascii="Times" w:hAnsi="Times"/>
          <w:sz w:val="22"/>
          <w:szCs w:val="22"/>
        </w:rPr>
        <w:t>ings, direct sowing at site.</w:t>
      </w:r>
    </w:p>
    <w:p w14:paraId="01FC7F9D" w14:textId="3FBBAC87" w:rsidR="00E57590" w:rsidRDefault="00E57590" w:rsidP="00E57590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Seed: </w:t>
      </w:r>
      <w:r>
        <w:rPr>
          <w:rFonts w:ascii="Times" w:hAnsi="Times"/>
          <w:sz w:val="22"/>
          <w:szCs w:val="22"/>
        </w:rPr>
        <w:t>Seeds prolifically. Unopen capsules can be collected from under the mother tree, then crushed and the seeds separated from the chaff.</w:t>
      </w:r>
    </w:p>
    <w:p w14:paraId="4EB867DA" w14:textId="66388B4A" w:rsidR="00E57590" w:rsidRDefault="00E57590" w:rsidP="00E57590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treatment: </w:t>
      </w:r>
      <w:r>
        <w:rPr>
          <w:rFonts w:ascii="Times" w:hAnsi="Times"/>
          <w:sz w:val="22"/>
          <w:szCs w:val="22"/>
        </w:rPr>
        <w:t>soaking in cold water for 12 hours before sowing will hasten germination.</w:t>
      </w:r>
    </w:p>
    <w:p w14:paraId="0A57AF50" w14:textId="77777777" w:rsidR="00E57590" w:rsidRDefault="00E57590" w:rsidP="00E57590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storage: </w:t>
      </w:r>
      <w:r>
        <w:rPr>
          <w:rFonts w:ascii="Times" w:hAnsi="Times"/>
          <w:sz w:val="22"/>
          <w:szCs w:val="22"/>
        </w:rPr>
        <w:t>store in sealed containers in a cool place.</w:t>
      </w:r>
    </w:p>
    <w:p w14:paraId="5B0F5CE2" w14:textId="71D4C35D" w:rsidR="00E57590" w:rsidRDefault="00E57590" w:rsidP="00E57590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>Management:</w:t>
      </w:r>
      <w:r w:rsidRPr="00E57590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Coppicing, pollarding, pruning.</w:t>
      </w:r>
    </w:p>
    <w:p w14:paraId="1374EA6C" w14:textId="489DBBC0" w:rsidR="00E57590" w:rsidRDefault="00E57590" w:rsidP="00E57590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Remarks: </w:t>
      </w:r>
      <w:r>
        <w:rPr>
          <w:rFonts w:ascii="Times" w:hAnsi="Times"/>
          <w:sz w:val="22"/>
          <w:szCs w:val="22"/>
        </w:rPr>
        <w:t xml:space="preserve">This is a suitable tree for forest plantations and woodlots in northern Uganda. It has been grown together with </w:t>
      </w:r>
      <w:r>
        <w:rPr>
          <w:rFonts w:ascii="Times" w:hAnsi="Times"/>
          <w:i/>
          <w:iCs/>
          <w:sz w:val="22"/>
          <w:szCs w:val="22"/>
        </w:rPr>
        <w:t xml:space="preserve">Markhamia lutea </w:t>
      </w:r>
      <w:r>
        <w:rPr>
          <w:rFonts w:ascii="Times" w:hAnsi="Times"/>
          <w:sz w:val="22"/>
          <w:szCs w:val="22"/>
        </w:rPr>
        <w:t xml:space="preserve">in the Northern Region. The timber is hard and heavy. Coppice shoots make good building poles. The synonym is </w:t>
      </w:r>
      <w:r>
        <w:rPr>
          <w:rFonts w:ascii="Times" w:hAnsi="Times"/>
          <w:i/>
          <w:iCs/>
          <w:sz w:val="22"/>
          <w:szCs w:val="22"/>
        </w:rPr>
        <w:t>Phyllanthus discoideus.</w:t>
      </w:r>
    </w:p>
    <w:p w14:paraId="0751DBA6" w14:textId="77777777" w:rsidR="00F66564" w:rsidRDefault="00F66564"/>
    <w:sectPr w:rsidR="00F66564" w:rsidSect="0033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90"/>
    <w:rsid w:val="00330D82"/>
    <w:rsid w:val="003C139E"/>
    <w:rsid w:val="00A81057"/>
    <w:rsid w:val="00CF059B"/>
    <w:rsid w:val="00D82101"/>
    <w:rsid w:val="00E57590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AB2A"/>
  <w15:chartTrackingRefBased/>
  <w15:docId w15:val="{FBA0BA1B-7DC5-D24A-AAC1-6C7FCFD2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5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Bhasin</dc:creator>
  <cp:keywords/>
  <dc:description/>
  <cp:lastModifiedBy>Aryan Bhasin</cp:lastModifiedBy>
  <cp:revision>4</cp:revision>
  <dcterms:created xsi:type="dcterms:W3CDTF">2019-06-27T07:41:00Z</dcterms:created>
  <dcterms:modified xsi:type="dcterms:W3CDTF">2019-06-27T07:44:00Z</dcterms:modified>
</cp:coreProperties>
</file>