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Times New Roman" w:cs="Times New Roman" w:eastAsia="Times New Roman" w:hAnsi="Times New Roman"/>
          <w:b/>
          <w:bCs/>
          <w:color w:val="000000"/>
          <w:sz w:val="24"/>
          <w:szCs w:val="24"/>
        </w:rPr>
        <w:t xml:space="preserve">RED HERRING PROSPECTUS</w:t>
      </w:r>
    </w:p>
    <w:p>
      <w:pPr>
        <w:spacing w:after="60"/>
        <w:jc w:val="center"/>
      </w:pPr>
      <w:r>
        <w:rPr>
          <w:rFonts w:ascii="Times New Roman" w:cs="Times New Roman" w:eastAsia="Times New Roman" w:hAnsi="Times New Roman"/>
          <w:i/>
          <w:iCs/>
          <w:color w:val="000000"/>
          <w:sz w:val="18"/>
          <w:szCs w:val="18"/>
        </w:rPr>
        <w:t xml:space="preserve">Dated December 10, 2025</w:t>
      </w:r>
    </w:p>
    <w:p>
      <w:pPr>
        <w:spacing w:after="200"/>
        <w:jc w:val="center"/>
      </w:pPr>
      <w:r>
        <w:rPr>
          <w:rFonts w:ascii="Times New Roman" w:cs="Times New Roman" w:eastAsia="Times New Roman" w:hAnsi="Times New Roman"/>
          <w:i/>
          <w:iCs/>
          <w:color w:val="000000"/>
          <w:sz w:val="16"/>
          <w:szCs w:val="16"/>
        </w:rPr>
        <w:t xml:space="preserve">Please read Section 32 of the Companies Act, 2013</w:t>
      </w:r>
    </w:p>
    <w:p>
      <w:pPr>
        <w:spacing w:after="200"/>
        <w:jc w:val="center"/>
      </w:pPr>
      <w:r>
        <w:rPr>
          <w:rFonts w:ascii="Times New Roman" w:cs="Times New Roman" w:eastAsia="Times New Roman" w:hAnsi="Times New Roman"/>
          <w:b/>
          <w:bCs/>
          <w:color w:val="000000"/>
          <w:sz w:val="20"/>
          <w:szCs w:val="20"/>
        </w:rPr>
        <w:t xml:space="preserve">100% Book Built Offer</w:t>
      </w:r>
    </w:p>
    <w:p>
      <w:pPr>
        <w:spacing w:after="100"/>
        <w:jc w:val="center"/>
      </w:pPr>
      <w:r>
        <w:rPr>
          <w:rFonts w:ascii="Times New Roman" w:cs="Times New Roman" w:eastAsia="Times New Roman" w:hAnsi="Times New Roman"/>
          <w:b/>
          <w:bCs/>
          <w:color w:val="000000"/>
          <w:sz w:val="36"/>
          <w:szCs w:val="36"/>
        </w:rPr>
        <w:t xml:space="preserve">KSH INTERNATIONAL LIMITED</w:t>
      </w:r>
    </w:p>
    <w:p>
      <w:pPr>
        <w:spacing w:after="60"/>
        <w:jc w:val="center"/>
      </w:pPr>
      <w:r>
        <w:rPr>
          <w:rFonts w:ascii="Times New Roman" w:cs="Times New Roman" w:eastAsia="Times New Roman" w:hAnsi="Times New Roman"/>
          <w:color w:val="000000"/>
          <w:sz w:val="18"/>
          <w:szCs w:val="18"/>
        </w:rPr>
        <w:t xml:space="preserve">Corporate Identity Number: U28129PN1979PLC141032</w:t>
      </w:r>
    </w:p>
    <w:p>
      <w:pPr>
        <w:spacing w:after="300"/>
        <w:jc w:val="center"/>
      </w:pPr>
      <w:r>
        <w:rPr>
          <w:rFonts w:ascii="Times New Roman" w:cs="Times New Roman" w:eastAsia="Times New Roman" w:hAnsi="Times New Roman"/>
          <w:color w:val="000000"/>
          <w:sz w:val="16"/>
          <w:szCs w:val="16"/>
        </w:rPr>
        <w:t xml:space="preserve">Registered Office: 11/3, 11/4 and 11/5, Village Birdewadi, Chakan Taluka - Khed, Pune – 410 501, Maharashtra, India</w:t>
      </w:r>
    </w:p>
    <w:p>
      <w:pPr>
        <w:spacing w:after="60" w:before="100"/>
        <w:jc w:val="center"/>
      </w:pPr>
      <w:r>
        <w:rPr>
          <w:rFonts w:ascii="Times New Roman" w:cs="Times New Roman" w:eastAsia="Times New Roman" w:hAnsi="Times New Roman"/>
          <w:b/>
          <w:bCs/>
          <w:caps/>
          <w:color w:val="000000"/>
          <w:sz w:val="20"/>
          <w:szCs w:val="20"/>
        </w:rPr>
        <w:t xml:space="preserve">CONDENSED SUMMARY</w:t>
      </w:r>
    </w:p>
    <w:tbl>
      <w:tblPr>
        <w:tblW w:type="dxa" w:w="9860"/>
        <w:tblBorders>
          <w:top w:val="single" w:color="000000" w:sz="4"/>
          <w:left w:val="single" w:color="000000" w:sz="4"/>
          <w:bottom w:val="single" w:color="000000" w:sz="4"/>
          <w:right w:val="single" w:color="000000" w:sz="4"/>
          <w:insideH w:val="single" w:color="808080" w:sz="2"/>
          <w:insideV w:val="single" w:color="808080" w:sz="2"/>
        </w:tblBorders>
      </w:tblPr>
      <w:tblGrid>
        <w:gridCol w:w="2500"/>
        <w:gridCol w:w="2500"/>
        <w:gridCol w:w="2500"/>
        <w:gridCol w:w="2360"/>
      </w:tblGrid>
      <w:tr>
        <w:trPr>
          <w:tblHeader/>
        </w:trPr>
        <w:tc>
          <w:tcPr>
            <w:tcW w:type="dxa" w:w="25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Total Offer Size</w:t>
            </w:r>
          </w:p>
        </w:tc>
        <w:tc>
          <w:tcPr>
            <w:tcW w:type="dxa" w:w="25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Fresh Issue</w:t>
            </w:r>
          </w:p>
        </w:tc>
        <w:tc>
          <w:tcPr>
            <w:tcW w:type="dxa" w:w="25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Offer for Sale</w:t>
            </w:r>
          </w:p>
        </w:tc>
        <w:tc>
          <w:tcPr>
            <w:tcW w:type="dxa" w:w="23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Listing</w:t>
            </w:r>
          </w:p>
        </w:tc>
      </w:tr>
      <w:tr>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Up to ₹7,100.00 million</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Up to ₹4,200.00 million</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Up to ₹2,900.00 million</w:t>
            </w:r>
          </w:p>
        </w:tc>
        <w:tc>
          <w:tcPr>
            <w:tcW w:type="dxa" w:w="23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BSE &amp; NSE (Designated: BSE)</w:t>
            </w:r>
          </w:p>
        </w:tc>
      </w:tr>
    </w:tbl>
    <w:p>
      <w:pPr>
        <w:spacing w:before="300"/>
      </w:pPr>
    </w:p>
    <w:p>
      <w:pPr>
        <w:spacing w:after="100"/>
      </w:pPr>
      <w:r>
        <w:rPr>
          <w:rFonts w:ascii="Times New Roman" w:cs="Times New Roman" w:eastAsia="Times New Roman" w:hAnsi="Times New Roman"/>
          <w:i/>
          <w:iCs/>
          <w:color w:val="3D3D3D"/>
          <w:sz w:val="17"/>
          <w:szCs w:val="17"/>
        </w:rPr>
        <w:t xml:space="preserve">This is a condensed summary prepared from the full Red Herring Prospectus for quick reference. It is not exhaustive and does not replace the complete RHP. Bracketed [●] figures in the original (Offer Price, Price Band, Bid Lot, etc.) were undetermined as of the RHP date and are reproduced as such.</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Contents</w:t>
      </w:r>
    </w:p>
    <w:p>
      <w:pPr>
        <w:pStyle w:val="ListParagraph"/>
        <w:numPr>
          <w:ilvl w:val="0"/>
          <w:numId w:val="1"/>
        </w:numPr>
        <w:spacing w:after="60"/>
      </w:pPr>
      <w:r>
        <w:rPr>
          <w:rFonts w:ascii="Times New Roman" w:cs="Times New Roman" w:eastAsia="Times New Roman" w:hAnsi="Times New Roman"/>
          <w:color w:val="000000"/>
          <w:sz w:val="19"/>
          <w:szCs w:val="19"/>
        </w:rPr>
        <w:t xml:space="preserve">1. Offer at a Glance</w:t>
      </w:r>
    </w:p>
    <w:p>
      <w:pPr>
        <w:pStyle w:val="ListParagraph"/>
        <w:numPr>
          <w:ilvl w:val="0"/>
          <w:numId w:val="1"/>
        </w:numPr>
        <w:spacing w:after="60"/>
      </w:pPr>
      <w:r>
        <w:rPr>
          <w:rFonts w:ascii="Times New Roman" w:cs="Times New Roman" w:eastAsia="Times New Roman" w:hAnsi="Times New Roman"/>
          <w:color w:val="000000"/>
          <w:sz w:val="19"/>
          <w:szCs w:val="19"/>
        </w:rPr>
        <w:t xml:space="preserve">2. Company &amp; Business Overview</w:t>
      </w:r>
    </w:p>
    <w:p>
      <w:pPr>
        <w:pStyle w:val="ListParagraph"/>
        <w:numPr>
          <w:ilvl w:val="0"/>
          <w:numId w:val="1"/>
        </w:numPr>
        <w:spacing w:after="60"/>
      </w:pPr>
      <w:r>
        <w:rPr>
          <w:rFonts w:ascii="Times New Roman" w:cs="Times New Roman" w:eastAsia="Times New Roman" w:hAnsi="Times New Roman"/>
          <w:color w:val="000000"/>
          <w:sz w:val="19"/>
          <w:szCs w:val="19"/>
        </w:rPr>
        <w:t xml:space="preserve">3. Objects of the Offer</w:t>
      </w:r>
    </w:p>
    <w:p>
      <w:pPr>
        <w:pStyle w:val="ListParagraph"/>
        <w:numPr>
          <w:ilvl w:val="0"/>
          <w:numId w:val="1"/>
        </w:numPr>
        <w:spacing w:after="60"/>
      </w:pPr>
      <w:r>
        <w:rPr>
          <w:rFonts w:ascii="Times New Roman" w:cs="Times New Roman" w:eastAsia="Times New Roman" w:hAnsi="Times New Roman"/>
          <w:color w:val="000000"/>
          <w:sz w:val="19"/>
          <w:szCs w:val="19"/>
        </w:rPr>
        <w:t xml:space="preserve">4. Capital Structure &amp; Shareholding</w:t>
      </w:r>
    </w:p>
    <w:p>
      <w:pPr>
        <w:pStyle w:val="ListParagraph"/>
        <w:numPr>
          <w:ilvl w:val="0"/>
          <w:numId w:val="1"/>
        </w:numPr>
        <w:spacing w:after="60"/>
      </w:pPr>
      <w:r>
        <w:rPr>
          <w:rFonts w:ascii="Times New Roman" w:cs="Times New Roman" w:eastAsia="Times New Roman" w:hAnsi="Times New Roman"/>
          <w:color w:val="000000"/>
          <w:sz w:val="19"/>
          <w:szCs w:val="19"/>
        </w:rPr>
        <w:t xml:space="preserve">5. Summary Financial Statements</w:t>
      </w:r>
    </w:p>
    <w:p>
      <w:pPr>
        <w:pStyle w:val="ListParagraph"/>
        <w:numPr>
          <w:ilvl w:val="0"/>
          <w:numId w:val="1"/>
        </w:numPr>
        <w:spacing w:after="60"/>
      </w:pPr>
      <w:r>
        <w:rPr>
          <w:rFonts w:ascii="Times New Roman" w:cs="Times New Roman" w:eastAsia="Times New Roman" w:hAnsi="Times New Roman"/>
          <w:color w:val="000000"/>
          <w:sz w:val="19"/>
          <w:szCs w:val="19"/>
        </w:rPr>
        <w:t xml:space="preserve">6. Risk Factors — Top 10 (by materiality)</w:t>
      </w:r>
    </w:p>
    <w:p>
      <w:pPr>
        <w:pStyle w:val="ListParagraph"/>
        <w:numPr>
          <w:ilvl w:val="0"/>
          <w:numId w:val="1"/>
        </w:numPr>
        <w:spacing w:after="60"/>
      </w:pPr>
      <w:r>
        <w:rPr>
          <w:rFonts w:ascii="Times New Roman" w:cs="Times New Roman" w:eastAsia="Times New Roman" w:hAnsi="Times New Roman"/>
          <w:color w:val="000000"/>
          <w:sz w:val="19"/>
          <w:szCs w:val="19"/>
        </w:rPr>
        <w:t xml:space="preserve">7. Outstanding Litigation Summary</w:t>
      </w:r>
    </w:p>
    <w:p>
      <w:pPr>
        <w:pStyle w:val="ListParagraph"/>
        <w:numPr>
          <w:ilvl w:val="0"/>
          <w:numId w:val="1"/>
        </w:numPr>
        <w:spacing w:after="60"/>
      </w:pPr>
      <w:r>
        <w:rPr>
          <w:rFonts w:ascii="Times New Roman" w:cs="Times New Roman" w:eastAsia="Times New Roman" w:hAnsi="Times New Roman"/>
          <w:color w:val="000000"/>
          <w:sz w:val="19"/>
          <w:szCs w:val="19"/>
        </w:rPr>
        <w:t xml:space="preserve">8. Key Management &amp; Contacts</w:t>
      </w:r>
    </w:p>
    <w:p>
      <w:pPr>
        <w:pStyle w:val="ListParagraph"/>
        <w:numPr>
          <w:ilvl w:val="0"/>
          <w:numId w:val="1"/>
        </w:numPr>
        <w:spacing w:after="60"/>
      </w:pPr>
      <w:r>
        <w:rPr>
          <w:rFonts w:ascii="Times New Roman" w:cs="Times New Roman" w:eastAsia="Times New Roman" w:hAnsi="Times New Roman"/>
          <w:color w:val="000000"/>
          <w:sz w:val="19"/>
          <w:szCs w:val="19"/>
        </w:rPr>
        <w:t xml:space="preserve">9. Board of Directors</w:t>
      </w:r>
    </w:p>
    <w:p>
      <w:pPr>
        <w:pStyle w:val="ListParagraph"/>
        <w:numPr>
          <w:ilvl w:val="0"/>
          <w:numId w:val="1"/>
        </w:numPr>
        <w:spacing w:after="60"/>
      </w:pPr>
      <w:r>
        <w:rPr>
          <w:rFonts w:ascii="Times New Roman" w:cs="Times New Roman" w:eastAsia="Times New Roman" w:hAnsi="Times New Roman"/>
          <w:color w:val="000000"/>
          <w:sz w:val="19"/>
          <w:szCs w:val="19"/>
        </w:rPr>
        <w:t xml:space="preserve">10. Promoter Group, Family Branches &amp; Group Entities</w:t>
      </w:r>
    </w:p>
    <w:p>
      <w:pPr>
        <w:pStyle w:val="ListParagraph"/>
        <w:numPr>
          <w:ilvl w:val="0"/>
          <w:numId w:val="1"/>
        </w:numPr>
        <w:spacing w:after="60"/>
      </w:pPr>
      <w:r>
        <w:rPr>
          <w:rFonts w:ascii="Times New Roman" w:cs="Times New Roman" w:eastAsia="Times New Roman" w:hAnsi="Times New Roman"/>
          <w:color w:val="000000"/>
          <w:sz w:val="19"/>
          <w:szCs w:val="19"/>
        </w:rPr>
        <w:t xml:space="preserve">11. Registered Office, RoC &amp; Filing Details</w:t>
      </w:r>
    </w:p>
    <w:p>
      <w:pPr>
        <w:pStyle w:val="ListParagraph"/>
        <w:numPr>
          <w:ilvl w:val="0"/>
          <w:numId w:val="1"/>
        </w:numPr>
        <w:spacing w:after="60"/>
      </w:pPr>
      <w:r>
        <w:rPr>
          <w:rFonts w:ascii="Times New Roman" w:cs="Times New Roman" w:eastAsia="Times New Roman" w:hAnsi="Times New Roman"/>
          <w:color w:val="000000"/>
          <w:sz w:val="19"/>
          <w:szCs w:val="19"/>
        </w:rPr>
        <w:t xml:space="preserve">12. Offer Process Notes</w:t>
      </w:r>
    </w:p>
    <w:p>
      <w:pPr>
        <w:pStyle w:val="ListParagraph"/>
        <w:numPr>
          <w:ilvl w:val="0"/>
          <w:numId w:val="1"/>
        </w:numPr>
        <w:spacing w:after="60"/>
      </w:pPr>
      <w:r>
        <w:rPr>
          <w:rFonts w:ascii="Times New Roman" w:cs="Times New Roman" w:eastAsia="Times New Roman" w:hAnsi="Times New Roman"/>
          <w:color w:val="000000"/>
          <w:sz w:val="19"/>
          <w:szCs w:val="19"/>
        </w:rPr>
        <w:t xml:space="preserve">13. Glossary of Key Terms</w:t>
      </w:r>
    </w:p>
    <w:p>
      <w:pPr>
        <w:spacing w:after="120"/>
      </w:pPr>
      <w:r>
        <w:rPr>
          <w:rFonts w:ascii="Times New Roman" w:cs="Times New Roman" w:eastAsia="Times New Roman" w:hAnsi="Times New Roman"/>
          <w:color w:val="000000"/>
          <w:sz w:val="20"/>
          <w:szCs w:val="20"/>
        </w:rPr>
        <w:t xml:space="preserve"/>
      </w:r>
    </w:p>
    <w:p>
      <w:pPr>
        <w:spacing w:after="100"/>
      </w:pPr>
      <w:r>
        <w:rPr>
          <w:rFonts w:ascii="Times New Roman" w:cs="Times New Roman" w:eastAsia="Times New Roman" w:hAnsi="Times New Roman"/>
          <w:i/>
          <w:iCs/>
          <w:color w:val="3D3D3D"/>
          <w:sz w:val="17"/>
          <w:szCs w:val="17"/>
        </w:rPr>
        <w:t xml:space="preserve">Source: Red Herring Prospectus of KSH International Limited, dated December 10, 2025 (Sections I–III, through Capital Structure).</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1. Offer at a Glance</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3200"/>
        <w:gridCol w:w="6860"/>
      </w:tblGrid>
      <w:tr>
        <w:trPr>
          <w:tblHeader/>
        </w:trPr>
        <w:tc>
          <w:tcPr>
            <w:tcW w:type="dxa" w:w="32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Particulars</w:t>
            </w:r>
          </w:p>
        </w:tc>
        <w:tc>
          <w:tcPr>
            <w:tcW w:type="dxa" w:w="68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Details</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Type of Offer</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Fresh Issue and Offer for Sale (100% Book Built Offer)</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Face Value</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 per Equity Share</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Fresh Issue</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Up to [●] Equity Shares aggregating up to ₹4,200.00 million</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Offer for Sale</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Up to [●] Equity Shares aggregating up to ₹2,900.00 million</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Total Offer Size</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Up to [●] Equity Shares aggregating up to ₹7,100.00 million</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Equity Shares outstanding (pre-Offer)</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56,818,200 Equity Shares of ₹5 each</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Anchor Investor Bidding Date</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Monday, December 15, 2025</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Bid/Offer Opens</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Tuesday, December 16, 2025</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Bid/Offer Closes</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Thursday, December 18, 2025</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Stock Exchanges</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BSE Limited and National Stock Exchange of India Limited</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Book Running Lead Managers</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Nuvama Wealth Management Limited; ICICI Securities Limited</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Registrar to the Offer</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MUFG Intime India Private Limited (formerly Link Intime India Private Limited)</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Statutory Auditors</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Kirtane &amp; Pandit LLP, Chartered Accountants</w:t>
            </w:r>
          </w:p>
        </w:tc>
      </w:tr>
    </w:tbl>
    <w:p>
      <w:pPr>
        <w:spacing w:after="120"/>
      </w:pPr>
      <w:r>
        <w:rPr>
          <w:rFonts w:ascii="Times New Roman" w:cs="Times New Roman" w:eastAsia="Times New Roman" w:hAnsi="Times New Roman"/>
          <w:color w:val="000000"/>
          <w:sz w:val="20"/>
          <w:szCs w:val="20"/>
        </w:rPr>
        <w:t xml:space="preserve"/>
      </w:r>
    </w:p>
    <w:p>
      <w:pPr>
        <w:pStyle w:val="Heading2"/>
        <w:spacing w:after="100" w:before="220"/>
      </w:pPr>
      <w:r>
        <w:rPr>
          <w:rFonts w:ascii="Times New Roman" w:cs="Times New Roman" w:eastAsia="Times New Roman" w:hAnsi="Times New Roman"/>
          <w:b/>
          <w:bCs/>
          <w:color w:val="000000"/>
          <w:sz w:val="22"/>
          <w:szCs w:val="22"/>
        </w:rPr>
        <w:t xml:space="preserve">Offer Structure (Reservation)</w:t>
      </w:r>
    </w:p>
    <w:p>
      <w:pPr>
        <w:pStyle w:val="ListParagraph"/>
        <w:numPr>
          <w:ilvl w:val="0"/>
          <w:numId w:val="1"/>
        </w:numPr>
        <w:spacing w:after="60"/>
      </w:pPr>
      <w:r>
        <w:rPr>
          <w:rFonts w:ascii="Times New Roman" w:cs="Times New Roman" w:eastAsia="Times New Roman" w:hAnsi="Times New Roman"/>
          <w:color w:val="000000"/>
          <w:sz w:val="19"/>
          <w:szCs w:val="19"/>
        </w:rPr>
        <w:t xml:space="preserve">QIB Portion: Not more than 50% of the Offer, of which up to 60% may be allocated to Anchor Investors on a discretionary basis. Of the Anchor Investor Portion, 33.33% is reserved for domestic Mutual Funds and 6.67% for Life Insurance Companies and Pension Funds.</w:t>
      </w:r>
    </w:p>
    <w:p>
      <w:pPr>
        <w:pStyle w:val="ListParagraph"/>
        <w:numPr>
          <w:ilvl w:val="0"/>
          <w:numId w:val="1"/>
        </w:numPr>
        <w:spacing w:after="60"/>
      </w:pPr>
      <w:r>
        <w:rPr>
          <w:rFonts w:ascii="Times New Roman" w:cs="Times New Roman" w:eastAsia="Times New Roman" w:hAnsi="Times New Roman"/>
          <w:color w:val="000000"/>
          <w:sz w:val="19"/>
          <w:szCs w:val="19"/>
        </w:rPr>
        <w:t xml:space="preserve">Net QIB Portion (ex-Anchor): 5% reserved for Mutual Funds; balance available to all QIBs including Mutual Funds.</w:t>
      </w:r>
    </w:p>
    <w:p>
      <w:pPr>
        <w:pStyle w:val="ListParagraph"/>
        <w:numPr>
          <w:ilvl w:val="0"/>
          <w:numId w:val="1"/>
        </w:numPr>
        <w:spacing w:after="60"/>
      </w:pPr>
      <w:r>
        <w:rPr>
          <w:rFonts w:ascii="Times New Roman" w:cs="Times New Roman" w:eastAsia="Times New Roman" w:hAnsi="Times New Roman"/>
          <w:color w:val="000000"/>
          <w:sz w:val="19"/>
          <w:szCs w:val="19"/>
        </w:rPr>
        <w:t xml:space="preserve">Non-Institutional Portion: Not less than 15% of the Offer — one-third reserved for applications of ₹0.20–1.00 million, two-thirds for applications above ₹1.00 million.</w:t>
      </w:r>
    </w:p>
    <w:p>
      <w:pPr>
        <w:pStyle w:val="ListParagraph"/>
        <w:numPr>
          <w:ilvl w:val="0"/>
          <w:numId w:val="1"/>
        </w:numPr>
        <w:spacing w:after="60"/>
      </w:pPr>
      <w:r>
        <w:rPr>
          <w:rFonts w:ascii="Times New Roman" w:cs="Times New Roman" w:eastAsia="Times New Roman" w:hAnsi="Times New Roman"/>
          <w:color w:val="000000"/>
          <w:sz w:val="19"/>
          <w:szCs w:val="19"/>
        </w:rPr>
        <w:t xml:space="preserve">Retail Portion: Not less than 35% of the Offer; Retail Individual Investors alone may bid at the Cut-off Price.</w:t>
      </w:r>
    </w:p>
    <w:p>
      <w:pPr>
        <w:pStyle w:val="ListParagraph"/>
        <w:numPr>
          <w:ilvl w:val="0"/>
          <w:numId w:val="1"/>
        </w:numPr>
        <w:spacing w:after="60"/>
      </w:pPr>
      <w:r>
        <w:rPr>
          <w:rFonts w:ascii="Times New Roman" w:cs="Times New Roman" w:eastAsia="Times New Roman" w:hAnsi="Times New Roman"/>
          <w:color w:val="000000"/>
          <w:sz w:val="19"/>
          <w:szCs w:val="19"/>
        </w:rPr>
        <w:t xml:space="preserve">All Bidders (except Anchor Investors) must apply through the ASBA process, providing bank account/UPI details for blocking of the Bid Amount by SCSBs.</w:t>
      </w:r>
    </w:p>
    <w:p>
      <w:pPr>
        <w:pStyle w:val="ListParagraph"/>
        <w:numPr>
          <w:ilvl w:val="0"/>
          <w:numId w:val="1"/>
        </w:numPr>
        <w:spacing w:after="60"/>
      </w:pPr>
      <w:r>
        <w:rPr>
          <w:rFonts w:ascii="Times New Roman" w:cs="Times New Roman" w:eastAsia="Times New Roman" w:hAnsi="Times New Roman"/>
          <w:color w:val="000000"/>
          <w:sz w:val="19"/>
          <w:szCs w:val="19"/>
        </w:rPr>
        <w:t xml:space="preserve">Under-subscription in any category (other than QIB) may be met by spill-over from other categories, at the discretion of the Company in consultation with the BRLMs, subject to applicable law.</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2. Company &amp; Business Overview</w:t>
      </w:r>
    </w:p>
    <w:p>
      <w:pPr>
        <w:spacing w:after="120"/>
      </w:pPr>
      <w:r>
        <w:rPr>
          <w:rFonts w:ascii="Times New Roman" w:cs="Times New Roman" w:eastAsia="Times New Roman" w:hAnsi="Times New Roman"/>
          <w:color w:val="000000"/>
          <w:sz w:val="20"/>
          <w:szCs w:val="20"/>
        </w:rPr>
        <w:t xml:space="preserve">KSH International Limited was originally incorporated in 1979 as Bhandary Metal Extrusion Private Limited, renamed KSH International Private Limited in 1996, and converted to a public limited company in January 2025.</w:t>
      </w:r>
    </w:p>
    <w:p>
      <w:pPr>
        <w:pStyle w:val="ListParagraph"/>
        <w:numPr>
          <w:ilvl w:val="0"/>
          <w:numId w:val="1"/>
        </w:numPr>
        <w:spacing w:after="60"/>
      </w:pPr>
      <w:r>
        <w:rPr>
          <w:rFonts w:ascii="Times New Roman" w:cs="Times New Roman" w:eastAsia="Times New Roman" w:hAnsi="Times New Roman"/>
          <w:color w:val="000000"/>
          <w:sz w:val="19"/>
          <w:szCs w:val="19"/>
        </w:rPr>
        <w:t xml:space="preserve">Third largest manufacturer of magnet winding wires in India by production capacity in Fiscal 2025 (Source: CARE Report).</w:t>
      </w:r>
    </w:p>
    <w:p>
      <w:pPr>
        <w:pStyle w:val="ListParagraph"/>
        <w:numPr>
          <w:ilvl w:val="0"/>
          <w:numId w:val="1"/>
        </w:numPr>
        <w:spacing w:after="60"/>
      </w:pPr>
      <w:r>
        <w:rPr>
          <w:rFonts w:ascii="Times New Roman" w:cs="Times New Roman" w:eastAsia="Times New Roman" w:hAnsi="Times New Roman"/>
          <w:color w:val="000000"/>
          <w:sz w:val="19"/>
          <w:szCs w:val="19"/>
        </w:rPr>
        <w:t xml:space="preserve">Largest exporter of magnet winding wires from India by export revenue in Fiscal 2025 (Source: CARE Report).</w:t>
      </w:r>
    </w:p>
    <w:p>
      <w:pPr>
        <w:pStyle w:val="ListParagraph"/>
        <w:numPr>
          <w:ilvl w:val="0"/>
          <w:numId w:val="1"/>
        </w:numPr>
        <w:spacing w:after="60"/>
      </w:pPr>
      <w:r>
        <w:rPr>
          <w:rFonts w:ascii="Times New Roman" w:cs="Times New Roman" w:eastAsia="Times New Roman" w:hAnsi="Times New Roman"/>
          <w:color w:val="000000"/>
          <w:sz w:val="19"/>
          <w:szCs w:val="19"/>
        </w:rPr>
        <w:t xml:space="preserve">Key products: round enamelled copper/aluminium magnet winding wires, paper-insulated rectangular copper/aluminium magnet winding wires, continuously transposed conductors, rectangular enamelled copper/aluminium magnet winding wires, and bunched paper-insulated copper magnet winding wires.</w:t>
      </w:r>
    </w:p>
    <w:p>
      <w:pPr>
        <w:pStyle w:val="ListParagraph"/>
        <w:numPr>
          <w:ilvl w:val="0"/>
          <w:numId w:val="1"/>
        </w:numPr>
        <w:spacing w:after="60"/>
      </w:pPr>
      <w:r>
        <w:rPr>
          <w:rFonts w:ascii="Times New Roman" w:cs="Times New Roman" w:eastAsia="Times New Roman" w:hAnsi="Times New Roman"/>
          <w:color w:val="000000"/>
          <w:sz w:val="19"/>
          <w:szCs w:val="19"/>
        </w:rPr>
        <w:t xml:space="preserve">Products are critical components of transformers, motors, alternators and generators.</w:t>
      </w:r>
    </w:p>
    <w:p>
      <w:pPr>
        <w:pStyle w:val="ListParagraph"/>
        <w:numPr>
          <w:ilvl w:val="0"/>
          <w:numId w:val="1"/>
        </w:numPr>
        <w:spacing w:after="60"/>
      </w:pPr>
      <w:r>
        <w:rPr>
          <w:rFonts w:ascii="Times New Roman" w:cs="Times New Roman" w:eastAsia="Times New Roman" w:hAnsi="Times New Roman"/>
          <w:color w:val="000000"/>
          <w:sz w:val="19"/>
          <w:szCs w:val="19"/>
        </w:rPr>
        <w:t xml:space="preserve">Manufacturing facilities: Unit 1 (Taloja, Raigad), Unit 2 (Chakan, Pune — registered office), Unit 3 (Chakan, Pune), and a facility under construction at Supa, Ahilyanagar (Maharashtra).</w:t>
      </w:r>
    </w:p>
    <w:p>
      <w:pPr>
        <w:pStyle w:val="ListParagraph"/>
        <w:numPr>
          <w:ilvl w:val="0"/>
          <w:numId w:val="1"/>
        </w:numPr>
        <w:spacing w:after="60"/>
      </w:pPr>
      <w:r>
        <w:rPr>
          <w:rFonts w:ascii="Times New Roman" w:cs="Times New Roman" w:eastAsia="Times New Roman" w:hAnsi="Times New Roman"/>
          <w:color w:val="000000"/>
          <w:sz w:val="19"/>
          <w:szCs w:val="19"/>
        </w:rPr>
        <w:t xml:space="preserve">Revenue concentration: Power sector (generation, transmission &amp; distribution) accounted for 71.73% of revenue for Q1 FY26 and 74.79% / 75.17% / 79.08% in FY25 / FY24 / FY23.</w:t>
      </w:r>
    </w:p>
    <w:p>
      <w:pPr>
        <w:pStyle w:val="ListParagraph"/>
        <w:numPr>
          <w:ilvl w:val="0"/>
          <w:numId w:val="1"/>
        </w:numPr>
        <w:spacing w:after="60"/>
      </w:pPr>
      <w:r>
        <w:rPr>
          <w:rFonts w:ascii="Times New Roman" w:cs="Times New Roman" w:eastAsia="Times New Roman" w:hAnsi="Times New Roman"/>
          <w:color w:val="000000"/>
          <w:sz w:val="19"/>
          <w:szCs w:val="19"/>
        </w:rPr>
        <w:t xml:space="preserve">Exports represented 30.75% of product sales in Q1 FY26 and 33.20% / 39.15% / 43.93% in FY25 / FY24 / FY23.</w:t>
      </w:r>
    </w:p>
    <w:p>
      <w:pPr>
        <w:pStyle w:val="Heading2"/>
        <w:spacing w:after="100" w:before="220"/>
      </w:pPr>
      <w:r>
        <w:rPr>
          <w:rFonts w:ascii="Times New Roman" w:cs="Times New Roman" w:eastAsia="Times New Roman" w:hAnsi="Times New Roman"/>
          <w:b/>
          <w:bCs/>
          <w:color w:val="000000"/>
          <w:sz w:val="22"/>
          <w:szCs w:val="22"/>
        </w:rPr>
        <w:t xml:space="preserve">Industry Overview</w:t>
      </w:r>
    </w:p>
    <w:p>
      <w:pPr>
        <w:spacing w:after="120"/>
      </w:pPr>
      <w:r>
        <w:rPr>
          <w:rFonts w:ascii="Times New Roman" w:cs="Times New Roman" w:eastAsia="Times New Roman" w:hAnsi="Times New Roman"/>
          <w:color w:val="000000"/>
          <w:sz w:val="20"/>
          <w:szCs w:val="20"/>
        </w:rPr>
        <w:t xml:space="preserve">India's electric wires and cables market was valued at USD 19.68 billion in CY24, having grown at a CAGR of 6.08% from CY19–CY24, and is projected to reach USD 29.85 billion by CY28, growing at a CAGR of 10.98% from CY24–CY28 (Source: CARE Report).</w:t>
      </w:r>
    </w:p>
    <w:p>
      <w:pPr>
        <w:spacing w:after="120"/>
      </w:pPr>
      <w:r>
        <w:rPr>
          <w:rFonts w:ascii="Times New Roman" w:cs="Times New Roman" w:eastAsia="Times New Roman" w:hAnsi="Times New Roman"/>
          <w:color w:val="000000"/>
          <w:sz w:val="20"/>
          <w:szCs w:val="20"/>
        </w:rPr>
        <w:t xml:space="preserve">Electric wires and cables are a critical enabling input across electrical equipment, telecommunications, motor vehicles and construction — sectors that are together driving India's build-out of generation, transmission and distribution infrastructure, and consequently the demand pool for the Company's magnet winding wire products.</w:t>
      </w:r>
    </w:p>
    <w:p>
      <w:pPr>
        <w:pStyle w:val="Heading2"/>
        <w:spacing w:after="100" w:before="220"/>
      </w:pPr>
      <w:r>
        <w:rPr>
          <w:rFonts w:ascii="Times New Roman" w:cs="Times New Roman" w:eastAsia="Times New Roman" w:hAnsi="Times New Roman"/>
          <w:b/>
          <w:bCs/>
          <w:color w:val="000000"/>
          <w:sz w:val="22"/>
          <w:szCs w:val="22"/>
        </w:rPr>
        <w:t xml:space="preserve">Key Financial &amp; Operating Metrics Used</w:t>
      </w:r>
    </w:p>
    <w:p>
      <w:pPr>
        <w:spacing w:after="120"/>
      </w:pPr>
      <w:r>
        <w:rPr>
          <w:rFonts w:ascii="Times New Roman" w:cs="Times New Roman" w:eastAsia="Times New Roman" w:hAnsi="Times New Roman"/>
          <w:color w:val="000000"/>
          <w:sz w:val="20"/>
          <w:szCs w:val="20"/>
        </w:rPr>
        <w:t xml:space="preserve">The RHP tracks the business using both statutory and non-GAAP measures, including: EBITDA and EBITDA Margin, Revenue/EBITDA/PAT CAGR (FY23–FY25), Net Debt/EBITDA, Net Debt/Equity, Net Working Capital Days, ROCE, ROE, Fixed Asset Turnover Ratio, magnet winding wire sales volume, production capacity, and export revenue.</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3. Objects of the Offer</w:t>
      </w:r>
    </w:p>
    <w:p>
      <w:pPr>
        <w:spacing w:after="120"/>
      </w:pPr>
      <w:r>
        <w:rPr>
          <w:rFonts w:ascii="Times New Roman" w:cs="Times New Roman" w:eastAsia="Times New Roman" w:hAnsi="Times New Roman"/>
          <w:color w:val="000000"/>
          <w:sz w:val="20"/>
          <w:szCs w:val="20"/>
        </w:rPr>
        <w:t xml:space="preserve">Net Proceeds from the Fresh Issue are proposed to be utilised as follows:</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6900"/>
        <w:gridCol w:w="3160"/>
      </w:tblGrid>
      <w:tr>
        <w:trPr>
          <w:tblHeader/>
        </w:trPr>
        <w:tc>
          <w:tcPr>
            <w:tcW w:type="dxa" w:w="69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Particulars</w:t>
            </w:r>
          </w:p>
        </w:tc>
        <w:tc>
          <w:tcPr>
            <w:tcW w:type="dxa" w:w="31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Estimated Amount (₹ million)</w:t>
            </w:r>
          </w:p>
        </w:tc>
      </w:tr>
      <w:tr>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Prepayment/repayment (in full or part) of certain outstanding borrowings</w:t>
            </w:r>
          </w:p>
        </w:tc>
        <w:tc>
          <w:tcPr>
            <w:tcW w:type="dxa" w:w="31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2,259.77</w:t>
            </w:r>
          </w:p>
        </w:tc>
      </w:tr>
      <w:tr>
        <w:tc>
          <w:tcPr>
            <w:tcW w:type="dxa" w:w="69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Capex — new machinery for expansion at Supa Facility and at Unit 2, Chakan</w:t>
            </w:r>
          </w:p>
        </w:tc>
        <w:tc>
          <w:tcPr>
            <w:tcW w:type="dxa" w:w="31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870.17</w:t>
            </w:r>
          </w:p>
        </w:tc>
      </w:tr>
      <w:tr>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Capex — rooftop solar power plant at the Supa Facility</w:t>
            </w:r>
          </w:p>
        </w:tc>
        <w:tc>
          <w:tcPr>
            <w:tcW w:type="dxa" w:w="31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88.28</w:t>
            </w:r>
          </w:p>
        </w:tc>
      </w:tr>
      <w:tr>
        <w:tc>
          <w:tcPr>
            <w:tcW w:type="dxa" w:w="69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General corporate purposes (capped at 25% of Gross Proceeds)</w:t>
            </w:r>
          </w:p>
        </w:tc>
        <w:tc>
          <w:tcPr>
            <w:tcW w:type="dxa" w:w="31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w:t>
            </w:r>
          </w:p>
        </w:tc>
      </w:tr>
      <w:tr>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Net Proceeds</w:t>
            </w:r>
          </w:p>
        </w:tc>
        <w:tc>
          <w:tcPr>
            <w:tcW w:type="dxa" w:w="31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w:t>
            </w:r>
          </w:p>
        </w:tc>
      </w:tr>
    </w:tbl>
    <w:p>
      <w:pPr>
        <w:spacing w:after="100"/>
      </w:pPr>
      <w:r>
        <w:rPr>
          <w:rFonts w:ascii="Times New Roman" w:cs="Times New Roman" w:eastAsia="Times New Roman" w:hAnsi="Times New Roman"/>
          <w:i/>
          <w:iCs/>
          <w:color w:val="3D3D3D"/>
          <w:sz w:val="17"/>
          <w:szCs w:val="17"/>
        </w:rPr>
        <w:t xml:space="preserve">The Company will not receive any proceeds from the Offer for Sale; these accrue to the Promoter Selling Shareholders. The amount used for general corporate purposes will not exceed 25% of Gross Proceeds. Final allocation will be updated in the Prospectus upon determination of the Offer Price.</w:t>
      </w:r>
    </w:p>
    <w:p>
      <w:pPr>
        <w:spacing w:after="120"/>
      </w:pPr>
      <w:r>
        <w:rPr>
          <w:rFonts w:ascii="Times New Roman" w:cs="Times New Roman" w:eastAsia="Times New Roman" w:hAnsi="Times New Roman"/>
          <w:color w:val="000000"/>
          <w:sz w:val="20"/>
          <w:szCs w:val="20"/>
        </w:rPr>
        <w:t xml:space="preserve"/>
      </w:r>
    </w:p>
    <w:p>
      <w:pPr>
        <w:spacing w:after="120"/>
      </w:pPr>
      <w:r>
        <w:rPr>
          <w:rFonts w:ascii="Times New Roman" w:cs="Times New Roman" w:eastAsia="Times New Roman" w:hAnsi="Times New Roman"/>
          <w:color w:val="000000"/>
          <w:sz w:val="20"/>
          <w:szCs w:val="20"/>
        </w:rPr>
        <w:t xml:space="preserve">The Company has not yet placed firm purchase orders for the machinery covered under the capex objects above — flagged in Risk Factors as a potential source of implementation delay or cost overrun. No alternate funding arrangement has been made in case of a shortfall in Net Proceeds against these objects.</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4. Capital Structure &amp; Shareholding</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4600"/>
        <w:gridCol w:w="5460"/>
      </w:tblGrid>
      <w:tr>
        <w:trPr>
          <w:tblHeader/>
        </w:trPr>
        <w:tc>
          <w:tcPr>
            <w:tcW w:type="dxa" w:w="46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Particulars</w:t>
            </w:r>
          </w:p>
        </w:tc>
        <w:tc>
          <w:tcPr>
            <w:tcW w:type="dxa" w:w="54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Value</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Authorised Share Capital</w:t>
            </w:r>
          </w:p>
        </w:tc>
        <w:tc>
          <w:tcPr>
            <w:tcW w:type="dxa" w:w="5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80,000,000 Equity Shares of ₹5 each (₹400,000,000)</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Issued, Subscribed &amp; Paid-up (pre-Offer)</w:t>
            </w:r>
          </w:p>
        </w:tc>
        <w:tc>
          <w:tcPr>
            <w:tcW w:type="dxa" w:w="5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56,818,200 Equity Shares of ₹5 each (₹284,091,000)</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Face value split (Feb 2025)</w:t>
            </w:r>
          </w:p>
        </w:tc>
        <w:tc>
          <w:tcPr>
            <w:tcW w:type="dxa" w:w="5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₹100 per share sub-divided to ₹5 per share</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Bonus issue (Feb 21, 2025)</w:t>
            </w:r>
          </w:p>
        </w:tc>
        <w:tc>
          <w:tcPr>
            <w:tcW w:type="dxa" w:w="5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 Equity Shares for every 1 held</w:t>
            </w:r>
          </w:p>
        </w:tc>
      </w:tr>
    </w:tbl>
    <w:p>
      <w:pPr>
        <w:spacing w:after="120"/>
      </w:pPr>
      <w:r>
        <w:rPr>
          <w:rFonts w:ascii="Times New Roman" w:cs="Times New Roman" w:eastAsia="Times New Roman" w:hAnsi="Times New Roman"/>
          <w:color w:val="000000"/>
          <w:sz w:val="20"/>
          <w:szCs w:val="20"/>
        </w:rPr>
        <w:t xml:space="preserve"/>
      </w:r>
    </w:p>
    <w:p>
      <w:pPr>
        <w:pStyle w:val="Heading2"/>
        <w:spacing w:after="100" w:before="220"/>
      </w:pPr>
      <w:r>
        <w:rPr>
          <w:rFonts w:ascii="Times New Roman" w:cs="Times New Roman" w:eastAsia="Times New Roman" w:hAnsi="Times New Roman"/>
          <w:b/>
          <w:bCs/>
          <w:color w:val="000000"/>
          <w:sz w:val="22"/>
          <w:szCs w:val="22"/>
        </w:rPr>
        <w:t xml:space="preserve">Pre-Offer Promoter &amp; Promoter Group Shareholding</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5000"/>
        <w:gridCol w:w="2400"/>
        <w:gridCol w:w="2660"/>
      </w:tblGrid>
      <w:tr>
        <w:trPr>
          <w:tblHeader/>
        </w:trPr>
        <w:tc>
          <w:tcPr>
            <w:tcW w:type="dxa" w:w="50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Shareholder</w:t>
            </w:r>
          </w:p>
        </w:tc>
        <w:tc>
          <w:tcPr>
            <w:tcW w:type="dxa" w:w="24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No. of Equity Shares</w:t>
            </w:r>
          </w:p>
        </w:tc>
        <w:tc>
          <w:tcPr>
            <w:tcW w:type="dxa" w:w="26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 of Pre-Offer Capital</w:t>
            </w:r>
          </w:p>
        </w:tc>
      </w:tr>
      <w:tr>
        <w:tc>
          <w:tcPr>
            <w:tcW w:type="dxa" w:w="5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Kushal Subbayya Hegde*</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26,704,570</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47.00%</w:t>
            </w:r>
          </w:p>
        </w:tc>
      </w:tr>
      <w:tr>
        <w:tc>
          <w:tcPr>
            <w:tcW w:type="dxa" w:w="5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Pushpa Kushal Hegde*</w:t>
            </w:r>
          </w:p>
        </w:tc>
        <w:tc>
          <w:tcPr>
            <w:tcW w:type="dxa" w:w="2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7,386,270</w:t>
            </w:r>
          </w:p>
        </w:tc>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13.00%</w:t>
            </w:r>
          </w:p>
        </w:tc>
      </w:tr>
      <w:tr>
        <w:tc>
          <w:tcPr>
            <w:tcW w:type="dxa" w:w="5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Rajesh Kushal Hegde*</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10,907,771</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19.20%</w:t>
            </w:r>
          </w:p>
        </w:tc>
      </w:tr>
      <w:tr>
        <w:tc>
          <w:tcPr>
            <w:tcW w:type="dxa" w:w="5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Rohit Kushal Hegde*</w:t>
            </w:r>
          </w:p>
        </w:tc>
        <w:tc>
          <w:tcPr>
            <w:tcW w:type="dxa" w:w="2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10,907,771</w:t>
            </w:r>
          </w:p>
        </w:tc>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19.20%</w:t>
            </w:r>
          </w:p>
        </w:tc>
      </w:tr>
      <w:tr>
        <w:tc>
          <w:tcPr>
            <w:tcW w:type="dxa" w:w="5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Rakhi Girija Shetty</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100</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0.00%</w:t>
            </w:r>
          </w:p>
        </w:tc>
      </w:tr>
      <w:tr>
        <w:tc>
          <w:tcPr>
            <w:tcW w:type="dxa" w:w="5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6 Family Trusts (10 shares each)</w:t>
            </w:r>
          </w:p>
        </w:tc>
        <w:tc>
          <w:tcPr>
            <w:tcW w:type="dxa" w:w="2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60</w:t>
            </w:r>
          </w:p>
        </w:tc>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0.00%</w:t>
            </w:r>
          </w:p>
        </w:tc>
      </w:tr>
      <w:tr>
        <w:tc>
          <w:tcPr>
            <w:tcW w:type="dxa" w:w="5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Sub-total — Promoters</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55,906,542</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98.40%</w:t>
            </w:r>
          </w:p>
        </w:tc>
      </w:tr>
      <w:tr>
        <w:tc>
          <w:tcPr>
            <w:tcW w:type="dxa" w:w="5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Promoter Group (2 individuals)</w:t>
            </w:r>
          </w:p>
        </w:tc>
        <w:tc>
          <w:tcPr>
            <w:tcW w:type="dxa" w:w="2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200</w:t>
            </w:r>
          </w:p>
        </w:tc>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0.00%</w:t>
            </w:r>
          </w:p>
        </w:tc>
      </w:tr>
      <w:tr>
        <w:tc>
          <w:tcPr>
            <w:tcW w:type="dxa" w:w="5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Total — Promoters + Group</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55,906,742</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98.40%</w:t>
            </w:r>
          </w:p>
        </w:tc>
      </w:tr>
      <w:tr>
        <w:tc>
          <w:tcPr>
            <w:tcW w:type="dxa" w:w="5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Additional top-10 public shareholders (incl. Malabar India Fund Ltd — 851,563 / 1.50%)</w:t>
            </w:r>
          </w:p>
        </w:tc>
        <w:tc>
          <w:tcPr>
            <w:tcW w:type="dxa" w:w="2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911,458</w:t>
            </w:r>
          </w:p>
        </w:tc>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1.60%</w:t>
            </w:r>
          </w:p>
        </w:tc>
      </w:tr>
    </w:tbl>
    <w:p>
      <w:pPr>
        <w:spacing w:after="100"/>
      </w:pPr>
      <w:r>
        <w:rPr>
          <w:rFonts w:ascii="Times New Roman" w:cs="Times New Roman" w:eastAsia="Times New Roman" w:hAnsi="Times New Roman"/>
          <w:i/>
          <w:iCs/>
          <w:color w:val="3D3D3D"/>
          <w:sz w:val="17"/>
          <w:szCs w:val="17"/>
        </w:rPr>
        <w:t xml:space="preserve">* Also a Promoter Selling Shareholder. Post-Offer figures were undetermined [●] as of the RHP date, pending finalisation of the Offer Price and Basis of Allotment.</w:t>
      </w:r>
    </w:p>
    <w:p>
      <w:pPr>
        <w:spacing w:after="120"/>
      </w:pPr>
      <w:r>
        <w:rPr>
          <w:rFonts w:ascii="Times New Roman" w:cs="Times New Roman" w:eastAsia="Times New Roman" w:hAnsi="Times New Roman"/>
          <w:color w:val="000000"/>
          <w:sz w:val="20"/>
          <w:szCs w:val="20"/>
        </w:rPr>
        <w:t xml:space="preserve"/>
      </w:r>
    </w:p>
    <w:p>
      <w:pPr>
        <w:spacing w:after="120"/>
      </w:pPr>
      <w:r>
        <w:rPr>
          <w:rFonts w:ascii="Times New Roman" w:cs="Times New Roman" w:eastAsia="Times New Roman" w:hAnsi="Times New Roman"/>
          <w:color w:val="000000"/>
          <w:sz w:val="20"/>
          <w:szCs w:val="20"/>
        </w:rPr>
        <w:t xml:space="preserve">Additional top-10 public shareholders beyond Malabar India Fund Limited include Rupal K. Sancheti (39,062 shares / 0.07%), Salil Ajay Bhargava (13,021 / 0.02%), and Jabeen Ajay Menon, Ajay Menon and Sunil Nagayya Shetty (2,604 shares / 0.00% each).</w:t>
      </w:r>
    </w:p>
    <w:p>
      <w:r>
        <w:br w:type="page"/>
      </w:r>
    </w:p>
    <w:p>
      <w:pPr>
        <w:pStyle w:val="Heading2"/>
        <w:spacing w:after="100" w:before="220"/>
      </w:pPr>
      <w:r>
        <w:rPr>
          <w:rFonts w:ascii="Times New Roman" w:cs="Times New Roman" w:eastAsia="Times New Roman" w:hAnsi="Times New Roman"/>
          <w:b/>
          <w:bCs/>
          <w:color w:val="000000"/>
          <w:sz w:val="22"/>
          <w:szCs w:val="22"/>
        </w:rPr>
        <w:t xml:space="preserve">Promoter Selling Shareholders — Offer for Sale</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4600"/>
        <w:gridCol w:w="2800"/>
        <w:gridCol w:w="2660"/>
      </w:tblGrid>
      <w:tr>
        <w:trPr>
          <w:tblHeader/>
        </w:trPr>
        <w:tc>
          <w:tcPr>
            <w:tcW w:type="dxa" w:w="46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Promoter Selling Shareholder</w:t>
            </w:r>
          </w:p>
        </w:tc>
        <w:tc>
          <w:tcPr>
            <w:tcW w:type="dxa" w:w="28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OFS Amount (₹ million)</w:t>
            </w:r>
          </w:p>
        </w:tc>
        <w:tc>
          <w:tcPr>
            <w:tcW w:type="dxa" w:w="26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Weighted Avg. Cost of Acquisition (₹)</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Kushal Subbayya Hegde</w:t>
            </w:r>
          </w:p>
        </w:tc>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1,528.00</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1.36</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Pushpa Kushal Hegde</w:t>
            </w:r>
          </w:p>
        </w:tc>
        <w:tc>
          <w:tcPr>
            <w:tcW w:type="dxa" w:w="28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422.00</w:t>
            </w:r>
          </w:p>
        </w:tc>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1.51</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Rajesh Kushal Hegde</w:t>
            </w:r>
          </w:p>
        </w:tc>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475.00</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1.41</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Rohit Kushal Hegde</w:t>
            </w:r>
          </w:p>
        </w:tc>
        <w:tc>
          <w:tcPr>
            <w:tcW w:type="dxa" w:w="28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475.00</w:t>
            </w:r>
          </w:p>
        </w:tc>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1.35</w:t>
            </w:r>
          </w:p>
        </w:tc>
      </w:tr>
    </w:tbl>
    <w:p>
      <w:pPr>
        <w:spacing w:after="100"/>
      </w:pPr>
      <w:r>
        <w:rPr>
          <w:rFonts w:ascii="Times New Roman" w:cs="Times New Roman" w:eastAsia="Times New Roman" w:hAnsi="Times New Roman"/>
          <w:i/>
          <w:iCs/>
          <w:color w:val="3D3D3D"/>
          <w:sz w:val="17"/>
          <w:szCs w:val="17"/>
        </w:rPr>
        <w:t xml:space="preserve">As certified by Kirtane &amp; Pandit LLP, Statutory Auditors, dated December 10, 2025. Adjusted for the Split of Equity Shares and Bonus Issue.</w:t>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5. Summary Financial Statements</w:t>
      </w:r>
    </w:p>
    <w:tbl>
      <w:tblPr>
        <w:tblW w:type="dxa" w:w="10360"/>
        <w:tblBorders>
          <w:top w:val="single" w:color="000000" w:sz="4"/>
          <w:left w:val="single" w:color="000000" w:sz="4"/>
          <w:bottom w:val="single" w:color="000000" w:sz="4"/>
          <w:right w:val="single" w:color="000000" w:sz="4"/>
          <w:insideH w:val="single" w:color="808080" w:sz="2"/>
          <w:insideV w:val="single" w:color="808080" w:sz="2"/>
        </w:tblBorders>
      </w:tblPr>
      <w:tblGrid>
        <w:gridCol w:w="3860"/>
        <w:gridCol w:w="1700"/>
        <w:gridCol w:w="1700"/>
        <w:gridCol w:w="1700"/>
        <w:gridCol w:w="1400"/>
      </w:tblGrid>
      <w:tr>
        <w:trPr>
          <w:tblHeader/>
        </w:trPr>
        <w:tc>
          <w:tcPr>
            <w:tcW w:type="dxa" w:w="38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Particulars (₹ million, except per-share data)</w:t>
            </w:r>
          </w:p>
        </w:tc>
        <w:tc>
          <w:tcPr>
            <w:tcW w:type="dxa" w:w="17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Q1 FY26*</w:t>
            </w:r>
          </w:p>
        </w:tc>
        <w:tc>
          <w:tcPr>
            <w:tcW w:type="dxa" w:w="17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FY25</w:t>
            </w:r>
          </w:p>
        </w:tc>
        <w:tc>
          <w:tcPr>
            <w:tcW w:type="dxa" w:w="17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FY24</w:t>
            </w:r>
          </w:p>
        </w:tc>
        <w:tc>
          <w:tcPr>
            <w:tcW w:type="dxa" w:w="14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FY23</w:t>
            </w:r>
          </w:p>
        </w:tc>
      </w:tr>
      <w:tr>
        <w:tc>
          <w:tcPr>
            <w:tcW w:type="dxa" w:w="3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Equity share capital</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284.09</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284.09</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56.82</w:t>
            </w:r>
          </w:p>
        </w:tc>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56.82</w:t>
            </w:r>
          </w:p>
        </w:tc>
      </w:tr>
      <w:tr>
        <w:tc>
          <w:tcPr>
            <w:tcW w:type="dxa" w:w="3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Total equity / Net worth</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3,214.74</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2,985.46</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2,309.46</w:t>
            </w:r>
          </w:p>
        </w:tc>
        <w:tc>
          <w:tcPr>
            <w:tcW w:type="dxa" w:w="1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1,936.55</w:t>
            </w:r>
          </w:p>
        </w:tc>
      </w:tr>
      <w:tr>
        <w:tc>
          <w:tcPr>
            <w:tcW w:type="dxa" w:w="3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Return on Net Worth</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7.06%</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22.77%</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16.17%</w:t>
            </w:r>
          </w:p>
        </w:tc>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13.74%</w:t>
            </w:r>
          </w:p>
        </w:tc>
      </w:tr>
      <w:tr>
        <w:tc>
          <w:tcPr>
            <w:tcW w:type="dxa" w:w="3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Revenue from operations</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5,587.12</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19,282.93</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13,828.15</w:t>
            </w:r>
          </w:p>
        </w:tc>
        <w:tc>
          <w:tcPr>
            <w:tcW w:type="dxa" w:w="1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10,494.60</w:t>
            </w:r>
          </w:p>
        </w:tc>
      </w:tr>
      <w:tr>
        <w:tc>
          <w:tcPr>
            <w:tcW w:type="dxa" w:w="3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Restated profit for the period/year</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226.81</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679.88</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373.50</w:t>
            </w:r>
          </w:p>
        </w:tc>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266.13</w:t>
            </w:r>
          </w:p>
        </w:tc>
      </w:tr>
      <w:tr>
        <w:tc>
          <w:tcPr>
            <w:tcW w:type="dxa" w:w="3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Basic &amp; Diluted EPS (₹, face value ₹5)</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3.99</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11.97</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6.57</w:t>
            </w:r>
          </w:p>
        </w:tc>
        <w:tc>
          <w:tcPr>
            <w:tcW w:type="dxa" w:w="1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4.68</w:t>
            </w:r>
          </w:p>
        </w:tc>
      </w:tr>
      <w:tr>
        <w:tc>
          <w:tcPr>
            <w:tcW w:type="dxa" w:w="3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Net Asset Value per Equity Share (₹)</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56.58</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52.54</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40.65</w:t>
            </w:r>
          </w:p>
        </w:tc>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34.08</w:t>
            </w:r>
          </w:p>
        </w:tc>
      </w:tr>
      <w:tr>
        <w:tc>
          <w:tcPr>
            <w:tcW w:type="dxa" w:w="3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Total borrowings</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3,793.94</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3,600.49</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2,068.08</w:t>
            </w:r>
          </w:p>
        </w:tc>
        <w:tc>
          <w:tcPr>
            <w:tcW w:type="dxa" w:w="1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1,203.54</w:t>
            </w:r>
          </w:p>
        </w:tc>
      </w:tr>
    </w:tbl>
    <w:p>
      <w:pPr>
        <w:spacing w:after="100"/>
      </w:pPr>
      <w:r>
        <w:rPr>
          <w:rFonts w:ascii="Times New Roman" w:cs="Times New Roman" w:eastAsia="Times New Roman" w:hAnsi="Times New Roman"/>
          <w:i/>
          <w:iCs/>
          <w:color w:val="3D3D3D"/>
          <w:sz w:val="17"/>
          <w:szCs w:val="17"/>
        </w:rPr>
        <w:t xml:space="preserve">*Three-month period ended June 30, 2025 (not annualised). Derived from the Restated Financial Statements. No auditor qualifications remain unaddressed in the Restated Financial Statements.</w:t>
      </w:r>
    </w:p>
    <w:p>
      <w:pPr>
        <w:spacing w:after="120"/>
      </w:pPr>
      <w:r>
        <w:rPr>
          <w:rFonts w:ascii="Times New Roman" w:cs="Times New Roman" w:eastAsia="Times New Roman" w:hAnsi="Times New Roman"/>
          <w:color w:val="000000"/>
          <w:sz w:val="20"/>
          <w:szCs w:val="20"/>
        </w:rPr>
        <w:t xml:space="preserve"/>
      </w:r>
    </w:p>
    <w:p>
      <w:pPr>
        <w:pStyle w:val="Heading2"/>
        <w:spacing w:after="100" w:before="220"/>
      </w:pPr>
      <w:r>
        <w:rPr>
          <w:rFonts w:ascii="Times New Roman" w:cs="Times New Roman" w:eastAsia="Times New Roman" w:hAnsi="Times New Roman"/>
          <w:b/>
          <w:bCs/>
          <w:color w:val="000000"/>
          <w:sz w:val="22"/>
          <w:szCs w:val="22"/>
        </w:rPr>
        <w:t xml:space="preserve">Contingent Liabilities &amp; Related Party Transactions</w:t>
      </w:r>
    </w:p>
    <w:p>
      <w:pPr>
        <w:pStyle w:val="ListParagraph"/>
        <w:numPr>
          <w:ilvl w:val="0"/>
          <w:numId w:val="1"/>
        </w:numPr>
        <w:spacing w:after="60"/>
      </w:pPr>
      <w:r>
        <w:rPr>
          <w:rFonts w:ascii="Times New Roman" w:cs="Times New Roman" w:eastAsia="Times New Roman" w:hAnsi="Times New Roman"/>
          <w:color w:val="000000"/>
          <w:sz w:val="19"/>
          <w:szCs w:val="19"/>
        </w:rPr>
        <w:t xml:space="preserve">Contingent liabilities (as at June 30, 2025): Open bank guarantees outstanding of ₹34.92 million.</w:t>
      </w:r>
    </w:p>
    <w:p>
      <w:pPr>
        <w:pStyle w:val="ListParagraph"/>
        <w:numPr>
          <w:ilvl w:val="0"/>
          <w:numId w:val="1"/>
        </w:numPr>
        <w:spacing w:after="60"/>
      </w:pPr>
      <w:r>
        <w:rPr>
          <w:rFonts w:ascii="Times New Roman" w:cs="Times New Roman" w:eastAsia="Times New Roman" w:hAnsi="Times New Roman"/>
          <w:color w:val="000000"/>
          <w:sz w:val="19"/>
          <w:szCs w:val="19"/>
        </w:rPr>
        <w:t xml:space="preserve">Related party transactions totalled ₹43.14 million (Q1 FY26), ₹147.36 million (FY25), ₹106.12 million (FY24) and ₹230.22 million (FY23) — chiefly KMP remuneration, and purchases/services from promoter-affiliated entities.</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6. Risk Factors — Top 10 (by materiality)</w:t>
      </w:r>
    </w:p>
    <w:p>
      <w:pPr>
        <w:spacing w:after="120"/>
      </w:pPr>
      <w:r>
        <w:rPr>
          <w:rFonts w:ascii="Times New Roman" w:cs="Times New Roman" w:eastAsia="Times New Roman" w:hAnsi="Times New Roman"/>
          <w:color w:val="000000"/>
          <w:sz w:val="20"/>
          <w:szCs w:val="20"/>
        </w:rPr>
        <w:t xml:space="preserve">The RHP discloses 54 risk factors in total, presented in order of materiality. The top 10 are reproduced in fuller form below; for the complete text, see the full RHP.</w:t>
      </w:r>
    </w:p>
    <w:p>
      <w:pPr>
        <w:pStyle w:val="Heading2"/>
        <w:spacing w:after="100" w:before="220"/>
      </w:pPr>
      <w:r>
        <w:rPr>
          <w:rFonts w:ascii="Times New Roman" w:cs="Times New Roman" w:eastAsia="Times New Roman" w:hAnsi="Times New Roman"/>
          <w:b/>
          <w:bCs/>
          <w:color w:val="000000"/>
          <w:sz w:val="22"/>
          <w:szCs w:val="22"/>
        </w:rPr>
        <w:t xml:space="preserve">1. Customer concentration</w:t>
      </w:r>
    </w:p>
    <w:p>
      <w:pPr>
        <w:spacing w:after="120"/>
      </w:pPr>
      <w:r>
        <w:rPr>
          <w:rFonts w:ascii="Times New Roman" w:cs="Times New Roman" w:eastAsia="Times New Roman" w:hAnsi="Times New Roman"/>
          <w:color w:val="000000"/>
          <w:sz w:val="20"/>
          <w:szCs w:val="20"/>
        </w:rPr>
        <w:t xml:space="preserve">The Company's top 10 customers contributed ₹3,015.48 million of revenue in Q1 FY26 alone, equal to 53.97% of revenue from operations for the period; the equivalent figures were 52.54% (FY25), 57.10% (FY24) and 58.99% (FY23). Loss of, or reduced demand from, these customers — without adequate diversification — could materially hurt results.</w:t>
      </w:r>
    </w:p>
    <w:p>
      <w:pPr>
        <w:pStyle w:val="Heading2"/>
        <w:spacing w:after="100" w:before="220"/>
      </w:pPr>
      <w:r>
        <w:rPr>
          <w:rFonts w:ascii="Times New Roman" w:cs="Times New Roman" w:eastAsia="Times New Roman" w:hAnsi="Times New Roman"/>
          <w:b/>
          <w:bCs/>
          <w:color w:val="000000"/>
          <w:sz w:val="22"/>
          <w:szCs w:val="22"/>
        </w:rPr>
        <w:t xml:space="preserve">2. Supplier concentration</w:t>
      </w:r>
    </w:p>
    <w:p>
      <w:pPr>
        <w:spacing w:after="120"/>
      </w:pPr>
      <w:r>
        <w:rPr>
          <w:rFonts w:ascii="Times New Roman" w:cs="Times New Roman" w:eastAsia="Times New Roman" w:hAnsi="Times New Roman"/>
          <w:color w:val="000000"/>
          <w:sz w:val="20"/>
          <w:szCs w:val="20"/>
        </w:rPr>
        <w:t xml:space="preserve">Top 10 suppliers accounted for 98.91% (Q1 FY26), 98.45% (FY25), 96.93% (FY24) and 98.58% (FY23) of the cost of raw materials and components purchased. The Company has no long-term agreements with these suppliers, exposing it to supply interruption and price volatility.</w:t>
      </w:r>
    </w:p>
    <w:p>
      <w:pPr>
        <w:pStyle w:val="Heading2"/>
        <w:spacing w:after="100" w:before="220"/>
      </w:pPr>
      <w:r>
        <w:rPr>
          <w:rFonts w:ascii="Times New Roman" w:cs="Times New Roman" w:eastAsia="Times New Roman" w:hAnsi="Times New Roman"/>
          <w:b/>
          <w:bCs/>
          <w:color w:val="000000"/>
          <w:sz w:val="22"/>
          <w:szCs w:val="22"/>
        </w:rPr>
        <w:t xml:space="preserve">3. Raw-material availability and cost</w:t>
      </w:r>
    </w:p>
    <w:p>
      <w:pPr>
        <w:spacing w:after="120"/>
      </w:pPr>
      <w:r>
        <w:rPr>
          <w:rFonts w:ascii="Times New Roman" w:cs="Times New Roman" w:eastAsia="Times New Roman" w:hAnsi="Times New Roman"/>
          <w:color w:val="000000"/>
          <w:sz w:val="20"/>
          <w:szCs w:val="20"/>
        </w:rPr>
        <w:t xml:space="preserve">Aluminium and copper (copper being the principal raw material) and insulating materials such as enamel and paper are the Company's key inputs. Any shortfall in availability, or a rise in input costs, could pressure pricing, supply and margins.</w:t>
      </w:r>
    </w:p>
    <w:p>
      <w:pPr>
        <w:pStyle w:val="Heading2"/>
        <w:spacing w:after="100" w:before="220"/>
      </w:pPr>
      <w:r>
        <w:rPr>
          <w:rFonts w:ascii="Times New Roman" w:cs="Times New Roman" w:eastAsia="Times New Roman" w:hAnsi="Times New Roman"/>
          <w:b/>
          <w:bCs/>
          <w:color w:val="000000"/>
          <w:sz w:val="22"/>
          <w:szCs w:val="22"/>
        </w:rPr>
        <w:t xml:space="preserve">4. Power-sector concentration</w:t>
      </w:r>
    </w:p>
    <w:p>
      <w:pPr>
        <w:spacing w:after="120"/>
      </w:pPr>
      <w:r>
        <w:rPr>
          <w:rFonts w:ascii="Times New Roman" w:cs="Times New Roman" w:eastAsia="Times New Roman" w:hAnsi="Times New Roman"/>
          <w:color w:val="000000"/>
          <w:sz w:val="20"/>
          <w:szCs w:val="20"/>
        </w:rPr>
        <w:t xml:space="preserve">The power sector (generation, transmission and distribution) accounted for 71.73% (Q1 FY26), 74.79% (FY25), 75.17% (FY24) and 79.08% (FY23) of operating revenue. Economic cyclicality or weak demand in this sector would disproportionately affect the Company.</w:t>
      </w:r>
    </w:p>
    <w:p>
      <w:pPr>
        <w:pStyle w:val="Heading2"/>
        <w:spacing w:after="100" w:before="220"/>
      </w:pPr>
      <w:r>
        <w:rPr>
          <w:rFonts w:ascii="Times New Roman" w:cs="Times New Roman" w:eastAsia="Times New Roman" w:hAnsi="Times New Roman"/>
          <w:b/>
          <w:bCs/>
          <w:color w:val="000000"/>
          <w:sz w:val="22"/>
          <w:szCs w:val="22"/>
        </w:rPr>
        <w:t xml:space="preserve">5. Product concentration</w:t>
      </w:r>
    </w:p>
    <w:p>
      <w:pPr>
        <w:spacing w:after="120"/>
      </w:pPr>
      <w:r>
        <w:rPr>
          <w:rFonts w:ascii="Times New Roman" w:cs="Times New Roman" w:eastAsia="Times New Roman" w:hAnsi="Times New Roman"/>
          <w:color w:val="000000"/>
          <w:sz w:val="20"/>
          <w:szCs w:val="20"/>
        </w:rPr>
        <w:t xml:space="preserve">More than 70% of revenue in every period presented (Q1 FY26, FY25, FY24, FY23) came from specialised magnet winding wires. Any reduction in demand for this product category would materially affect the business.</w:t>
      </w:r>
    </w:p>
    <w:p>
      <w:pPr>
        <w:pStyle w:val="Heading2"/>
        <w:spacing w:after="100" w:before="220"/>
      </w:pPr>
      <w:r>
        <w:rPr>
          <w:rFonts w:ascii="Times New Roman" w:cs="Times New Roman" w:eastAsia="Times New Roman" w:hAnsi="Times New Roman"/>
          <w:b/>
          <w:bCs/>
          <w:color w:val="000000"/>
          <w:sz w:val="22"/>
          <w:szCs w:val="22"/>
        </w:rPr>
        <w:t xml:space="preserve">6. Unplaced capex orders</w:t>
      </w:r>
    </w:p>
    <w:p>
      <w:pPr>
        <w:spacing w:after="120"/>
      </w:pPr>
      <w:r>
        <w:rPr>
          <w:rFonts w:ascii="Times New Roman" w:cs="Times New Roman" w:eastAsia="Times New Roman" w:hAnsi="Times New Roman"/>
          <w:color w:val="000000"/>
          <w:sz w:val="20"/>
          <w:szCs w:val="20"/>
        </w:rPr>
        <w:t xml:space="preserve">Purchase orders for certain equipment funding the Objects of the Offer have not yet been placed. Delay in placing orders, or vendors' inability to deliver on time, could cause time and cost overruns.</w:t>
      </w:r>
    </w:p>
    <w:p>
      <w:pPr>
        <w:pStyle w:val="Heading2"/>
        <w:spacing w:after="100" w:before="220"/>
      </w:pPr>
      <w:r>
        <w:rPr>
          <w:rFonts w:ascii="Times New Roman" w:cs="Times New Roman" w:eastAsia="Times New Roman" w:hAnsi="Times New Roman"/>
          <w:b/>
          <w:bCs/>
          <w:color w:val="000000"/>
          <w:sz w:val="22"/>
          <w:szCs w:val="22"/>
        </w:rPr>
        <w:t xml:space="preserve">7. Manufacturing-facility dependence</w:t>
      </w:r>
    </w:p>
    <w:p>
      <w:pPr>
        <w:spacing w:after="120"/>
      </w:pPr>
      <w:r>
        <w:rPr>
          <w:rFonts w:ascii="Times New Roman" w:cs="Times New Roman" w:eastAsia="Times New Roman" w:hAnsi="Times New Roman"/>
          <w:color w:val="000000"/>
          <w:sz w:val="20"/>
          <w:szCs w:val="20"/>
        </w:rPr>
        <w:t xml:space="preserve">Operations are concentrated across a small number of facilities (Units 1–3 plus the Supa facility under construction). Any unplanned disruption, slowdown or shutdown at these sites could materially affect the business.</w:t>
      </w:r>
    </w:p>
    <w:p>
      <w:pPr>
        <w:pStyle w:val="Heading2"/>
        <w:spacing w:after="100" w:before="220"/>
      </w:pPr>
      <w:r>
        <w:rPr>
          <w:rFonts w:ascii="Times New Roman" w:cs="Times New Roman" w:eastAsia="Times New Roman" w:hAnsi="Times New Roman"/>
          <w:b/>
          <w:bCs/>
          <w:color w:val="000000"/>
          <w:sz w:val="22"/>
          <w:szCs w:val="22"/>
        </w:rPr>
        <w:t xml:space="preserve">8. Supa facility construction delays</w:t>
      </w:r>
    </w:p>
    <w:p>
      <w:pPr>
        <w:spacing w:after="120"/>
      </w:pPr>
      <w:r>
        <w:rPr>
          <w:rFonts w:ascii="Times New Roman" w:cs="Times New Roman" w:eastAsia="Times New Roman" w:hAnsi="Times New Roman"/>
          <w:color w:val="000000"/>
          <w:sz w:val="20"/>
          <w:szCs w:val="20"/>
        </w:rPr>
        <w:t xml:space="preserve">The Company has previously experienced delays in constructing its new facility at Supa, Ahilyanagar (formerly Ahmednagar), Maharashtra, and cannot assure that further delays or cost overruns will not occur.</w:t>
      </w:r>
    </w:p>
    <w:p>
      <w:pPr>
        <w:pStyle w:val="Heading2"/>
        <w:spacing w:after="100" w:before="220"/>
      </w:pPr>
      <w:r>
        <w:rPr>
          <w:rFonts w:ascii="Times New Roman" w:cs="Times New Roman" w:eastAsia="Times New Roman" w:hAnsi="Times New Roman"/>
          <w:b/>
          <w:bCs/>
          <w:color w:val="000000"/>
          <w:sz w:val="22"/>
          <w:szCs w:val="22"/>
        </w:rPr>
        <w:t xml:space="preserve">9. Product-quality and liability exposure</w:t>
      </w:r>
    </w:p>
    <w:p>
      <w:pPr>
        <w:spacing w:after="120"/>
      </w:pPr>
      <w:r>
        <w:rPr>
          <w:rFonts w:ascii="Times New Roman" w:cs="Times New Roman" w:eastAsia="Times New Roman" w:hAnsi="Times New Roman"/>
          <w:color w:val="000000"/>
          <w:sz w:val="20"/>
          <w:szCs w:val="20"/>
        </w:rPr>
        <w:t xml:space="preserve">The Company operates under strict quality requirements from customers. Product defects, or non-compliance by the Company or its raw-material suppliers, could lead to order cancellations, recalls, or product-liability claims.</w:t>
      </w:r>
    </w:p>
    <w:p>
      <w:pPr>
        <w:pStyle w:val="Heading2"/>
        <w:spacing w:after="100" w:before="220"/>
      </w:pPr>
      <w:r>
        <w:rPr>
          <w:rFonts w:ascii="Times New Roman" w:cs="Times New Roman" w:eastAsia="Times New Roman" w:hAnsi="Times New Roman"/>
          <w:b/>
          <w:bCs/>
          <w:color w:val="000000"/>
          <w:sz w:val="22"/>
          <w:szCs w:val="22"/>
        </w:rPr>
        <w:t xml:space="preserve">10. Export and geopolitical exposure</w:t>
      </w:r>
    </w:p>
    <w:p>
      <w:pPr>
        <w:spacing w:after="120"/>
      </w:pPr>
      <w:r>
        <w:rPr>
          <w:rFonts w:ascii="Times New Roman" w:cs="Times New Roman" w:eastAsia="Times New Roman" w:hAnsi="Times New Roman"/>
          <w:color w:val="000000"/>
          <w:sz w:val="20"/>
          <w:szCs w:val="20"/>
        </w:rPr>
        <w:t xml:space="preserve">Revenue from outside India represented 30.75% (Q1 FY26), 33.20% (FY25), 39.15% (FY24) and 43.93% (FY23) of product sales. Adverse developments, law changes or duties in export markets could adversely affect revenue and cash flows.</w:t>
      </w:r>
    </w:p>
    <w:p>
      <w:r>
        <w:br w:type="page"/>
      </w:r>
    </w:p>
    <w:p>
      <w:pPr>
        <w:pStyle w:val="Heading2"/>
        <w:spacing w:after="100" w:before="220"/>
      </w:pPr>
      <w:r>
        <w:rPr>
          <w:rFonts w:ascii="Times New Roman" w:cs="Times New Roman" w:eastAsia="Times New Roman" w:hAnsi="Times New Roman"/>
          <w:b/>
          <w:bCs/>
          <w:color w:val="000000"/>
          <w:sz w:val="22"/>
          <w:szCs w:val="22"/>
        </w:rPr>
        <w:t xml:space="preserve">Other Key Risk Themes (from the remaining ~44 risk factors)</w:t>
      </w:r>
    </w:p>
    <w:p>
      <w:pPr>
        <w:pStyle w:val="ListParagraph"/>
        <w:numPr>
          <w:ilvl w:val="0"/>
          <w:numId w:val="1"/>
        </w:numPr>
        <w:spacing w:after="60"/>
      </w:pPr>
      <w:r>
        <w:rPr>
          <w:rFonts w:ascii="Times New Roman" w:cs="Times New Roman" w:eastAsia="Times New Roman" w:hAnsi="Times New Roman"/>
          <w:color w:val="000000"/>
          <w:sz w:val="19"/>
          <w:szCs w:val="19"/>
        </w:rPr>
        <w:t xml:space="preserve">Operational: negative operating cash flows in the past; under-utilised manufacturing capacity; geographic concentration in Maharashtra; hazardous materials and safety risks; power/fuel dependency; leased facilities and premises; technology/process obsolescence; technical-knowledge confidentiality.</w:t>
      </w:r>
    </w:p>
    <w:p>
      <w:pPr>
        <w:pStyle w:val="ListParagraph"/>
        <w:numPr>
          <w:ilvl w:val="0"/>
          <w:numId w:val="1"/>
        </w:numPr>
        <w:spacing w:after="60"/>
      </w:pPr>
      <w:r>
        <w:rPr>
          <w:rFonts w:ascii="Times New Roman" w:cs="Times New Roman" w:eastAsia="Times New Roman" w:hAnsi="Times New Roman"/>
          <w:color w:val="000000"/>
          <w:sz w:val="19"/>
          <w:szCs w:val="19"/>
        </w:rPr>
        <w:t xml:space="preserve">Financial &amp; capital: existing indebtedness and restrictive financing covenants; unsecured loans recallable on demand; no alternate funding arrangements for Offer objects; part of Net Proceeds used for debt repayment; credit-rating dependence; foreign-exchange exposure; insufficient insurance coverage; unprovided contingent liabilities.</w:t>
      </w:r>
    </w:p>
    <w:p>
      <w:pPr>
        <w:pStyle w:val="ListParagraph"/>
        <w:numPr>
          <w:ilvl w:val="0"/>
          <w:numId w:val="1"/>
        </w:numPr>
        <w:spacing w:after="60"/>
      </w:pPr>
      <w:r>
        <w:rPr>
          <w:rFonts w:ascii="Times New Roman" w:cs="Times New Roman" w:eastAsia="Times New Roman" w:hAnsi="Times New Roman"/>
          <w:color w:val="000000"/>
          <w:sz w:val="19"/>
          <w:szCs w:val="19"/>
        </w:rPr>
        <w:t xml:space="preserve">Regulatory &amp; compliance: reliance on statutory licences/approvals; gaps in historical corporate records and delayed filings; delays in statutory dues in the past; dependence on Government incentive schemes; anti-bribery/anti-corruption exposure; limited listed-company board experience (all but two Directors).</w:t>
      </w:r>
    </w:p>
    <w:p>
      <w:pPr>
        <w:pStyle w:val="ListParagraph"/>
        <w:numPr>
          <w:ilvl w:val="0"/>
          <w:numId w:val="1"/>
        </w:numPr>
        <w:spacing w:after="60"/>
      </w:pPr>
      <w:r>
        <w:rPr>
          <w:rFonts w:ascii="Times New Roman" w:cs="Times New Roman" w:eastAsia="Times New Roman" w:hAnsi="Times New Roman"/>
          <w:color w:val="000000"/>
          <w:sz w:val="19"/>
          <w:szCs w:val="19"/>
        </w:rPr>
        <w:t xml:space="preserve">Governance &amp; related parties: continuing related-party transactions and potential conflicts of interest; Promoters/Directors' other interests; significant post-Offer Promoter shareholding; Promoter educational qualifications based on self-declarations.</w:t>
      </w:r>
    </w:p>
    <w:p>
      <w:pPr>
        <w:pStyle w:val="ListParagraph"/>
        <w:numPr>
          <w:ilvl w:val="0"/>
          <w:numId w:val="1"/>
        </w:numPr>
        <w:spacing w:after="60"/>
      </w:pPr>
      <w:r>
        <w:rPr>
          <w:rFonts w:ascii="Times New Roman" w:cs="Times New Roman" w:eastAsia="Times New Roman" w:hAnsi="Times New Roman"/>
          <w:color w:val="000000"/>
          <w:sz w:val="19"/>
          <w:szCs w:val="19"/>
        </w:rPr>
        <w:t xml:space="preserve">Commercial: competitive industry with new entrants; counterparty credit risk on receivables; reliance on third-party/CARE Report industry data; dependence on key management and skilled personnel; IP protection and infringement exposure; loss of product certifications.</w:t>
      </w:r>
    </w:p>
    <w:p>
      <w:pPr>
        <w:pStyle w:val="ListParagraph"/>
        <w:numPr>
          <w:ilvl w:val="0"/>
          <w:numId w:val="1"/>
        </w:numPr>
        <w:spacing w:after="60"/>
      </w:pPr>
      <w:r>
        <w:rPr>
          <w:rFonts w:ascii="Times New Roman" w:cs="Times New Roman" w:eastAsia="Times New Roman" w:hAnsi="Times New Roman"/>
          <w:color w:val="000000"/>
          <w:sz w:val="19"/>
          <w:szCs w:val="19"/>
        </w:rPr>
        <w:t xml:space="preserve">Other: variation in use of Net Proceeds requires shareholder approval; no assurance of future dividends; fraud/employee-misconduct risk; technological-failure risk; Company will not receive Offer for Sale proceeds.</w:t>
      </w:r>
    </w:p>
    <w:p>
      <w:pPr>
        <w:spacing w:after="100"/>
      </w:pPr>
      <w:r>
        <w:rPr>
          <w:rFonts w:ascii="Times New Roman" w:cs="Times New Roman" w:eastAsia="Times New Roman" w:hAnsi="Times New Roman"/>
          <w:i/>
          <w:iCs/>
          <w:color w:val="3D3D3D"/>
          <w:sz w:val="17"/>
          <w:szCs w:val="17"/>
        </w:rPr>
        <w:t xml:space="preserve">For the complete, unabridged text of all 54 risk factors, refer to Section II — Risk Factors on page 28 of the full Red Herring Prospectus.</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7. Outstanding Litigation Summary</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2660"/>
        <w:gridCol w:w="1200"/>
        <w:gridCol w:w="1000"/>
        <w:gridCol w:w="1900"/>
        <w:gridCol w:w="1600"/>
        <w:gridCol w:w="1700"/>
      </w:tblGrid>
      <w:tr>
        <w:trPr>
          <w:tblHeader/>
        </w:trPr>
        <w:tc>
          <w:tcPr>
            <w:tcW w:type="dxa" w:w="26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Entity</w:t>
            </w:r>
          </w:p>
        </w:tc>
        <w:tc>
          <w:tcPr>
            <w:tcW w:type="dxa" w:w="12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Criminal</w:t>
            </w:r>
          </w:p>
        </w:tc>
        <w:tc>
          <w:tcPr>
            <w:tcW w:type="dxa" w:w="10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Tax</w:t>
            </w:r>
          </w:p>
        </w:tc>
        <w:tc>
          <w:tcPr>
            <w:tcW w:type="dxa" w:w="19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Statutory/Regulatory</w:t>
            </w:r>
          </w:p>
        </w:tc>
        <w:tc>
          <w:tcPr>
            <w:tcW w:type="dxa" w:w="16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Material Civil</w:t>
            </w:r>
          </w:p>
        </w:tc>
        <w:tc>
          <w:tcPr>
            <w:tcW w:type="dxa" w:w="17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Amount Involved (₹ mn)</w:t>
            </w:r>
          </w:p>
        </w:tc>
      </w:tr>
      <w:tr>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By the Company</w:t>
            </w:r>
          </w:p>
        </w:tc>
        <w:tc>
          <w:tcPr>
            <w:tcW w:type="dxa" w:w="1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w:t>
            </w:r>
          </w:p>
        </w:tc>
        <w:tc>
          <w:tcPr>
            <w:tcW w:type="dxa" w:w="1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N.A.</w:t>
            </w:r>
          </w:p>
        </w:tc>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11.54</w:t>
            </w:r>
          </w:p>
        </w:tc>
      </w:tr>
      <w:tr>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Against the Company</w:t>
            </w:r>
          </w:p>
        </w:tc>
        <w:tc>
          <w:tcPr>
            <w:tcW w:type="dxa" w:w="1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9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0.00</w:t>
            </w:r>
          </w:p>
        </w:tc>
      </w:tr>
      <w:tr>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By Directors (excl. Promoters)</w:t>
            </w:r>
          </w:p>
        </w:tc>
        <w:tc>
          <w:tcPr>
            <w:tcW w:type="dxa" w:w="1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w:t>
            </w:r>
          </w:p>
        </w:tc>
        <w:tc>
          <w:tcPr>
            <w:tcW w:type="dxa" w:w="1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N.A.</w:t>
            </w:r>
          </w:p>
        </w:tc>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1,360.00</w:t>
            </w:r>
          </w:p>
        </w:tc>
      </w:tr>
      <w:tr>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Against Directors (excl. Promoters)</w:t>
            </w:r>
          </w:p>
        </w:tc>
        <w:tc>
          <w:tcPr>
            <w:tcW w:type="dxa" w:w="1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w:t>
            </w:r>
          </w:p>
        </w:tc>
        <w:tc>
          <w:tcPr>
            <w:tcW w:type="dxa" w:w="1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w:t>
            </w:r>
          </w:p>
        </w:tc>
        <w:tc>
          <w:tcPr>
            <w:tcW w:type="dxa" w:w="19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0.73</w:t>
            </w:r>
          </w:p>
        </w:tc>
      </w:tr>
      <w:tr>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By Promoters</w:t>
            </w:r>
          </w:p>
        </w:tc>
        <w:tc>
          <w:tcPr>
            <w:tcW w:type="dxa" w:w="1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w:t>
            </w:r>
          </w:p>
        </w:tc>
        <w:tc>
          <w:tcPr>
            <w:tcW w:type="dxa" w:w="1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N.A.</w:t>
            </w:r>
          </w:p>
        </w:tc>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50.00</w:t>
            </w:r>
          </w:p>
        </w:tc>
      </w:tr>
      <w:tr>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Against Promoters</w:t>
            </w:r>
          </w:p>
        </w:tc>
        <w:tc>
          <w:tcPr>
            <w:tcW w:type="dxa" w:w="1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w:t>
            </w:r>
          </w:p>
        </w:tc>
        <w:tc>
          <w:tcPr>
            <w:tcW w:type="dxa" w:w="19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2.78</w:t>
            </w:r>
          </w:p>
        </w:tc>
      </w:tr>
    </w:tbl>
    <w:p>
      <w:pPr>
        <w:spacing w:after="100"/>
      </w:pPr>
      <w:r>
        <w:rPr>
          <w:rFonts w:ascii="Times New Roman" w:cs="Times New Roman" w:eastAsia="Times New Roman" w:hAnsi="Times New Roman"/>
          <w:i/>
          <w:iCs/>
          <w:color w:val="3D3D3D"/>
          <w:sz w:val="17"/>
          <w:szCs w:val="17"/>
        </w:rPr>
        <w:t xml:space="preserve">No outstanding litigation involving Group Companies is expected to have a material impact on the Company. No disciplinary action by SEBI/Stock Exchanges against the Promoters.</w:t>
      </w:r>
    </w:p>
    <w:p>
      <w:pPr>
        <w:spacing w:after="120"/>
      </w:pPr>
      <w:r>
        <w:rPr>
          <w:rFonts w:ascii="Times New Roman" w:cs="Times New Roman" w:eastAsia="Times New Roman" w:hAnsi="Times New Roman"/>
          <w:color w:val="000000"/>
          <w:sz w:val="20"/>
          <w:szCs w:val="20"/>
        </w:rPr>
        <w:t xml:space="preserve"/>
      </w:r>
    </w:p>
    <w:p>
      <w:pPr>
        <w:spacing w:after="120"/>
      </w:pPr>
      <w:r>
        <w:rPr>
          <w:rFonts w:ascii="Times New Roman" w:cs="Times New Roman" w:eastAsia="Times New Roman" w:hAnsi="Times New Roman"/>
          <w:color w:val="000000"/>
          <w:sz w:val="20"/>
          <w:szCs w:val="20"/>
        </w:rPr>
        <w:t xml:space="preserve">KMPs and Senior Management (excluding Executive Directors who are also Promoters) have no outstanding litigation, by or against them, as of the RHP date.</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8. Key Management &amp; Contacts</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4600"/>
        <w:gridCol w:w="5460"/>
      </w:tblGrid>
      <w:tr>
        <w:trPr>
          <w:tblHeader/>
        </w:trPr>
        <w:tc>
          <w:tcPr>
            <w:tcW w:type="dxa" w:w="46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Role</w:t>
            </w:r>
          </w:p>
        </w:tc>
        <w:tc>
          <w:tcPr>
            <w:tcW w:type="dxa" w:w="54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Name</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Chairman &amp; Executive Director</w:t>
            </w:r>
          </w:p>
        </w:tc>
        <w:tc>
          <w:tcPr>
            <w:tcW w:type="dxa" w:w="5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Kushal Subbayya Hegde</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Managing Director</w:t>
            </w:r>
          </w:p>
        </w:tc>
        <w:tc>
          <w:tcPr>
            <w:tcW w:type="dxa" w:w="5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Rajesh Kushal Hegde</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Joint Managing Director</w:t>
            </w:r>
          </w:p>
        </w:tc>
        <w:tc>
          <w:tcPr>
            <w:tcW w:type="dxa" w:w="5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Rohit Kushal Hegde</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Whole-time Director</w:t>
            </w:r>
          </w:p>
        </w:tc>
        <w:tc>
          <w:tcPr>
            <w:tcW w:type="dxa" w:w="5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Rakhi Girija Shetty</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Chief Executive Officer</w:t>
            </w:r>
          </w:p>
        </w:tc>
        <w:tc>
          <w:tcPr>
            <w:tcW w:type="dxa" w:w="5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Sandesh Bhagwat</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Chief Financial Officer</w:t>
            </w:r>
          </w:p>
        </w:tc>
        <w:tc>
          <w:tcPr>
            <w:tcW w:type="dxa" w:w="5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Amod Joshi</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Company Secretary &amp; Compliance Officer</w:t>
            </w:r>
          </w:p>
        </w:tc>
        <w:tc>
          <w:tcPr>
            <w:tcW w:type="dxa" w:w="5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Sarthak Malvadkar</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Book Running Lead Managers</w:t>
            </w:r>
          </w:p>
        </w:tc>
        <w:tc>
          <w:tcPr>
            <w:tcW w:type="dxa" w:w="5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Nuvama Wealth Management Limited; ICICI Securities Limited</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Registrar to the Offer</w:t>
            </w:r>
          </w:p>
        </w:tc>
        <w:tc>
          <w:tcPr>
            <w:tcW w:type="dxa" w:w="5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MUFG Intime India Private Limited</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Statutory Auditors</w:t>
            </w:r>
          </w:p>
        </w:tc>
        <w:tc>
          <w:tcPr>
            <w:tcW w:type="dxa" w:w="5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Kirtane &amp; Pandit LLP, Chartered Accountants</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Legal Counsel to the Company (Indian law)</w:t>
            </w:r>
          </w:p>
        </w:tc>
        <w:tc>
          <w:tcPr>
            <w:tcW w:type="dxa" w:w="5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Trilegal</w:t>
            </w:r>
          </w:p>
        </w:tc>
      </w:tr>
    </w:tbl>
    <w:p>
      <w:pPr>
        <w:spacing w:after="120"/>
      </w:pPr>
      <w:r>
        <w:rPr>
          <w:rFonts w:ascii="Times New Roman" w:cs="Times New Roman" w:eastAsia="Times New Roman" w:hAnsi="Times New Roman"/>
          <w:color w:val="000000"/>
          <w:sz w:val="20"/>
          <w:szCs w:val="20"/>
        </w:rPr>
        <w:t xml:space="preserve"/>
      </w:r>
    </w:p>
    <w:p>
      <w:pPr>
        <w:pStyle w:val="Heading2"/>
        <w:spacing w:after="100" w:before="220"/>
      </w:pPr>
      <w:r>
        <w:rPr>
          <w:rFonts w:ascii="Times New Roman" w:cs="Times New Roman" w:eastAsia="Times New Roman" w:hAnsi="Times New Roman"/>
          <w:b/>
          <w:bCs/>
          <w:color w:val="000000"/>
          <w:sz w:val="22"/>
          <w:szCs w:val="22"/>
        </w:rPr>
        <w:t xml:space="preserve">Key Bankers</w:t>
      </w:r>
    </w:p>
    <w:p>
      <w:pPr>
        <w:spacing w:after="120"/>
      </w:pPr>
      <w:r>
        <w:rPr>
          <w:rFonts w:ascii="Times New Roman" w:cs="Times New Roman" w:eastAsia="Times New Roman" w:hAnsi="Times New Roman"/>
          <w:color w:val="000000"/>
          <w:sz w:val="20"/>
          <w:szCs w:val="20"/>
        </w:rPr>
        <w:t xml:space="preserve">ICICI Bank Limited, HDFC Bank Limited, Export-Import Bank of India, State Bank of India (Industrial Finance Branch), and Bajaj Finance Limited.</w:t>
      </w:r>
    </w:p>
    <w:p>
      <w:pPr>
        <w:pStyle w:val="Heading2"/>
        <w:spacing w:after="100" w:before="220"/>
      </w:pPr>
      <w:r>
        <w:rPr>
          <w:rFonts w:ascii="Times New Roman" w:cs="Times New Roman" w:eastAsia="Times New Roman" w:hAnsi="Times New Roman"/>
          <w:b/>
          <w:bCs/>
          <w:color w:val="000000"/>
          <w:sz w:val="22"/>
          <w:szCs w:val="22"/>
        </w:rPr>
        <w:t xml:space="preserve">Legal Counsel to the Company (Indian Law)</w:t>
      </w:r>
    </w:p>
    <w:p>
      <w:pPr>
        <w:spacing w:after="120"/>
      </w:pPr>
      <w:r>
        <w:rPr>
          <w:rFonts w:ascii="Times New Roman" w:cs="Times New Roman" w:eastAsia="Times New Roman" w:hAnsi="Times New Roman"/>
          <w:color w:val="000000"/>
          <w:sz w:val="20"/>
          <w:szCs w:val="20"/>
        </w:rPr>
        <w:t xml:space="preserve">Trilegal, One World Centre, 10th Floor, Tower 2A &amp; 2B, Senapati Bapat Marg, Lower Parel (West), Mumbai – 400 013, Maharashtra, India.</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9. Board of Directors</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3200"/>
        <w:gridCol w:w="4000"/>
        <w:gridCol w:w="2860"/>
      </w:tblGrid>
      <w:tr>
        <w:trPr>
          <w:tblHeader/>
        </w:trPr>
        <w:tc>
          <w:tcPr>
            <w:tcW w:type="dxa" w:w="32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Name</w:t>
            </w:r>
          </w:p>
        </w:tc>
        <w:tc>
          <w:tcPr>
            <w:tcW w:type="dxa" w:w="40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Designation</w:t>
            </w:r>
          </w:p>
        </w:tc>
        <w:tc>
          <w:tcPr>
            <w:tcW w:type="dxa" w:w="28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DIN</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Kushal Subbayya Hegde</w:t>
            </w:r>
          </w:p>
        </w:tc>
        <w:tc>
          <w:tcPr>
            <w:tcW w:type="dxa" w:w="4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Chairman and Executive Director</w:t>
            </w:r>
          </w:p>
        </w:tc>
        <w:tc>
          <w:tcPr>
            <w:tcW w:type="dxa" w:w="2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00135070</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Rajesh Kushal Hegde</w:t>
            </w:r>
          </w:p>
        </w:tc>
        <w:tc>
          <w:tcPr>
            <w:tcW w:type="dxa" w:w="4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Managing Director</w:t>
            </w:r>
          </w:p>
        </w:tc>
        <w:tc>
          <w:tcPr>
            <w:tcW w:type="dxa" w:w="2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00114193</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Rohit Kushal Hegde</w:t>
            </w:r>
          </w:p>
        </w:tc>
        <w:tc>
          <w:tcPr>
            <w:tcW w:type="dxa" w:w="4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Joint Managing Director</w:t>
            </w:r>
          </w:p>
        </w:tc>
        <w:tc>
          <w:tcPr>
            <w:tcW w:type="dxa" w:w="2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00134926</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Rakhi Girija Shetty</w:t>
            </w:r>
          </w:p>
        </w:tc>
        <w:tc>
          <w:tcPr>
            <w:tcW w:type="dxa" w:w="4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Whole-time Director</w:t>
            </w:r>
          </w:p>
        </w:tc>
        <w:tc>
          <w:tcPr>
            <w:tcW w:type="dxa" w:w="2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03124510</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Dinesh Hirachand Munot</w:t>
            </w:r>
          </w:p>
        </w:tc>
        <w:tc>
          <w:tcPr>
            <w:tcW w:type="dxa" w:w="4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Independent Director</w:t>
            </w:r>
          </w:p>
        </w:tc>
        <w:tc>
          <w:tcPr>
            <w:tcW w:type="dxa" w:w="2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00049801</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Ajay Shriram Patil</w:t>
            </w:r>
          </w:p>
        </w:tc>
        <w:tc>
          <w:tcPr>
            <w:tcW w:type="dxa" w:w="4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Independent Director</w:t>
            </w:r>
          </w:p>
        </w:tc>
        <w:tc>
          <w:tcPr>
            <w:tcW w:type="dxa" w:w="2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01217000</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Ram Kumar Tiwari</w:t>
            </w:r>
          </w:p>
        </w:tc>
        <w:tc>
          <w:tcPr>
            <w:tcW w:type="dxa" w:w="4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Independent Director</w:t>
            </w:r>
          </w:p>
        </w:tc>
        <w:tc>
          <w:tcPr>
            <w:tcW w:type="dxa" w:w="2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10938958</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Indu Jacob</w:t>
            </w:r>
          </w:p>
        </w:tc>
        <w:tc>
          <w:tcPr>
            <w:tcW w:type="dxa" w:w="4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Independent Director</w:t>
            </w:r>
          </w:p>
        </w:tc>
        <w:tc>
          <w:tcPr>
            <w:tcW w:type="dxa" w:w="2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05293084</w:t>
            </w:r>
          </w:p>
        </w:tc>
      </w:tr>
    </w:tbl>
    <w:p>
      <w:pPr>
        <w:spacing w:after="100"/>
      </w:pPr>
      <w:r>
        <w:rPr>
          <w:rFonts w:ascii="Times New Roman" w:cs="Times New Roman" w:eastAsia="Times New Roman" w:hAnsi="Times New Roman"/>
          <w:i/>
          <w:iCs/>
          <w:color w:val="3D3D3D"/>
          <w:sz w:val="17"/>
          <w:szCs w:val="17"/>
        </w:rPr>
        <w:t xml:space="preserve">All Directors are based in Pune, Maharashtra, except Ram Kumar Tiwari (Bhopal, Madhya Pradesh). Only two of the eight Directors have prior experience as directors of a listed company (flagged as a Risk Factor).</w:t>
      </w:r>
    </w:p>
    <w:p>
      <w:pPr>
        <w:spacing w:after="120"/>
      </w:pPr>
      <w:r>
        <w:rPr>
          <w:rFonts w:ascii="Times New Roman" w:cs="Times New Roman" w:eastAsia="Times New Roman" w:hAnsi="Times New Roman"/>
          <w:color w:val="000000"/>
          <w:sz w:val="20"/>
          <w:szCs w:val="20"/>
        </w:rPr>
        <w:t xml:space="preserve"/>
      </w:r>
    </w:p>
    <w:p>
      <w:pPr>
        <w:spacing w:after="120"/>
      </w:pPr>
      <w:r>
        <w:rPr>
          <w:rFonts w:ascii="Times New Roman" w:cs="Times New Roman" w:eastAsia="Times New Roman" w:hAnsi="Times New Roman"/>
          <w:color w:val="000000"/>
          <w:sz w:val="20"/>
          <w:szCs w:val="20"/>
        </w:rPr>
        <w:t xml:space="preserve">Kushal Subbayya Hegde, Rajesh Kushal Hegde, Rohit Kushal Hegde and Rakhi Girija Shetty are Executive Directors as well as Promoters and Promoter Selling Shareholders (the latter three excluding Rakhi Girija Shetty). Four of the eight Board seats are Independent Directors, in line with SEBI Listing Regulations requirements for the post-listing board composition.</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10. Promoter Group, Family Branches &amp; Group Entities</w:t>
      </w:r>
    </w:p>
    <w:p>
      <w:pPr>
        <w:spacing w:after="120"/>
      </w:pPr>
      <w:r>
        <w:rPr>
          <w:rFonts w:ascii="Times New Roman" w:cs="Times New Roman" w:eastAsia="Times New Roman" w:hAnsi="Times New Roman"/>
          <w:color w:val="000000"/>
          <w:sz w:val="20"/>
          <w:szCs w:val="20"/>
        </w:rPr>
        <w:t xml:space="preserve">The Promoter family's holdings and interests are organised into five Family Branches:</w:t>
      </w:r>
    </w:p>
    <w:tbl>
      <w:tblPr>
        <w:tblW w:type="dxa" w:w="9460"/>
        <w:tblBorders>
          <w:top w:val="single" w:color="000000" w:sz="4"/>
          <w:left w:val="single" w:color="000000" w:sz="4"/>
          <w:bottom w:val="single" w:color="000000" w:sz="4"/>
          <w:right w:val="single" w:color="000000" w:sz="4"/>
          <w:insideH w:val="single" w:color="808080" w:sz="2"/>
          <w:insideV w:val="single" w:color="808080" w:sz="2"/>
        </w:tblBorders>
      </w:tblPr>
      <w:tblGrid>
        <w:gridCol w:w="2400"/>
        <w:gridCol w:w="7060"/>
      </w:tblGrid>
      <w:tr>
        <w:trPr>
          <w:tblHeader/>
        </w:trPr>
        <w:tc>
          <w:tcPr>
            <w:tcW w:type="dxa" w:w="24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Family Branch</w:t>
            </w:r>
          </w:p>
        </w:tc>
        <w:tc>
          <w:tcPr>
            <w:tcW w:type="dxa" w:w="70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Members</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Parents Branch</w:t>
            </w:r>
          </w:p>
        </w:tc>
        <w:tc>
          <w:tcPr>
            <w:tcW w:type="dxa" w:w="70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Kushal Subbayya Hegde, Pushpa Kushal Hegde, Broad Family Trust and Dhaulagiri Family Trust</w:t>
            </w:r>
          </w:p>
        </w:tc>
      </w:tr>
      <w:tr>
        <w:tc>
          <w:tcPr>
            <w:tcW w:type="dxa" w:w="2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Rajesh Branch</w:t>
            </w:r>
          </w:p>
        </w:tc>
        <w:tc>
          <w:tcPr>
            <w:tcW w:type="dxa" w:w="70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Rajesh Kushal Hegde, his spouse, children, lineal descendants and Everest Family Trust</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Rohit Branch</w:t>
            </w:r>
          </w:p>
        </w:tc>
        <w:tc>
          <w:tcPr>
            <w:tcW w:type="dxa" w:w="70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Rohit Kushal Hegde, his spouse, children, lineal descendants and Makalu Family Trust</w:t>
            </w:r>
          </w:p>
        </w:tc>
      </w:tr>
      <w:tr>
        <w:tc>
          <w:tcPr>
            <w:tcW w:type="dxa" w:w="2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Rakhi Branch</w:t>
            </w:r>
          </w:p>
        </w:tc>
        <w:tc>
          <w:tcPr>
            <w:tcW w:type="dxa" w:w="70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Rakhi Girija Shetty, her spouse (if any), children, lineal descendants and Annapurna Family Trust</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Sangeeta Branch</w:t>
            </w:r>
          </w:p>
        </w:tc>
        <w:tc>
          <w:tcPr>
            <w:tcW w:type="dxa" w:w="70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Sangeeta Ramprasad Rai, her spouse, children, lineal descendants and Kanchenjunga Family Trust</w:t>
            </w:r>
          </w:p>
        </w:tc>
      </w:tr>
    </w:tbl>
    <w:p>
      <w:pPr>
        <w:spacing w:after="120"/>
      </w:pPr>
      <w:r>
        <w:rPr>
          <w:rFonts w:ascii="Times New Roman" w:cs="Times New Roman" w:eastAsia="Times New Roman" w:hAnsi="Times New Roman"/>
          <w:color w:val="000000"/>
          <w:sz w:val="20"/>
          <w:szCs w:val="20"/>
        </w:rPr>
        <w:t xml:space="preserve"/>
      </w:r>
    </w:p>
    <w:p>
      <w:pPr>
        <w:spacing w:after="120"/>
      </w:pPr>
      <w:r>
        <w:rPr>
          <w:rFonts w:ascii="Times New Roman" w:cs="Times New Roman" w:eastAsia="Times New Roman" w:hAnsi="Times New Roman"/>
          <w:color w:val="000000"/>
          <w:sz w:val="20"/>
          <w:szCs w:val="20"/>
        </w:rPr>
        <w:t xml:space="preserve">The "KSH" trademark is also used, rent-free under consent/waiver letters, by 18 Group Entities in which the Promoter family holds interests, including:</w:t>
      </w:r>
    </w:p>
    <w:p>
      <w:pPr>
        <w:pStyle w:val="ListParagraph"/>
        <w:numPr>
          <w:ilvl w:val="0"/>
          <w:numId w:val="1"/>
        </w:numPr>
        <w:spacing w:after="60"/>
      </w:pPr>
      <w:r>
        <w:rPr>
          <w:rFonts w:ascii="Times New Roman" w:cs="Times New Roman" w:eastAsia="Times New Roman" w:hAnsi="Times New Roman"/>
          <w:color w:val="000000"/>
          <w:sz w:val="19"/>
          <w:szCs w:val="19"/>
        </w:rPr>
        <w:t xml:space="preserve">Waterloo Motors Private Limited; KSH Project Management Services Private Limited; KSH Distriparks Private Limited; KSH Integrated Logistics Private Limited; Kushal Motors and Electricals Private Limited</w:t>
      </w:r>
    </w:p>
    <w:p>
      <w:pPr>
        <w:pStyle w:val="ListParagraph"/>
        <w:numPr>
          <w:ilvl w:val="0"/>
          <w:numId w:val="1"/>
        </w:numPr>
        <w:spacing w:after="60"/>
      </w:pPr>
      <w:r>
        <w:rPr>
          <w:rFonts w:ascii="Times New Roman" w:cs="Times New Roman" w:eastAsia="Times New Roman" w:hAnsi="Times New Roman"/>
          <w:color w:val="000000"/>
          <w:sz w:val="19"/>
          <w:szCs w:val="19"/>
        </w:rPr>
        <w:t xml:space="preserve">KSH Infra Park IV, 5 and VI Private Limited</w:t>
      </w:r>
    </w:p>
    <w:p>
      <w:pPr>
        <w:pStyle w:val="ListParagraph"/>
        <w:numPr>
          <w:ilvl w:val="0"/>
          <w:numId w:val="1"/>
        </w:numPr>
        <w:spacing w:after="60"/>
      </w:pPr>
      <w:r>
        <w:rPr>
          <w:rFonts w:ascii="Times New Roman" w:cs="Times New Roman" w:eastAsia="Times New Roman" w:hAnsi="Times New Roman"/>
          <w:color w:val="000000"/>
          <w:sz w:val="19"/>
          <w:szCs w:val="19"/>
        </w:rPr>
        <w:t xml:space="preserve">Waterloo Industrial Park I through IX (including IX-A and IX-B) Private Limited — nine entities in total</w:t>
      </w:r>
    </w:p>
    <w:p>
      <w:pPr>
        <w:spacing w:after="100"/>
      </w:pPr>
      <w:r>
        <w:rPr>
          <w:rFonts w:ascii="Times New Roman" w:cs="Times New Roman" w:eastAsia="Times New Roman" w:hAnsi="Times New Roman"/>
          <w:i/>
          <w:iCs/>
          <w:color w:val="3D3D3D"/>
          <w:sz w:val="17"/>
          <w:szCs w:val="17"/>
        </w:rPr>
        <w:t xml:space="preserve">No consideration is currently charged for use of the "KSH" trademark by these Group Entities — flagged as a Risk Factor regarding potential impact on brand value/financial condition if withdrawn or challenged.</w:t>
      </w:r>
    </w:p>
    <w:p>
      <w:pPr>
        <w:spacing w:after="120"/>
      </w:pPr>
      <w:r>
        <w:rPr>
          <w:rFonts w:ascii="Times New Roman" w:cs="Times New Roman" w:eastAsia="Times New Roman" w:hAnsi="Times New Roman"/>
          <w:color w:val="000000"/>
          <w:sz w:val="20"/>
          <w:szCs w:val="20"/>
        </w:rPr>
        <w:t xml:space="preserve"/>
      </w:r>
    </w:p>
    <w:p>
      <w:pPr>
        <w:spacing w:after="120"/>
      </w:pPr>
      <w:r>
        <w:rPr>
          <w:rFonts w:ascii="Times New Roman" w:cs="Times New Roman" w:eastAsia="Times New Roman" w:hAnsi="Times New Roman"/>
          <w:color w:val="000000"/>
          <w:sz w:val="20"/>
          <w:szCs w:val="20"/>
        </w:rPr>
        <w:t xml:space="preserve">As on the RHP date, the Company has confirmed there is no outstanding litigation involving the Group Companies that would have a material impact on the Company.</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11. Registered Office, RoC &amp; Filing Details</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3200"/>
        <w:gridCol w:w="6860"/>
      </w:tblGrid>
      <w:tr>
        <w:trPr>
          <w:tblHeader/>
        </w:trPr>
        <w:tc>
          <w:tcPr>
            <w:tcW w:type="dxa" w:w="32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Particulars</w:t>
            </w:r>
          </w:p>
        </w:tc>
        <w:tc>
          <w:tcPr>
            <w:tcW w:type="dxa" w:w="68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Details</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Registered Office</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11/3, 11/4 and 11/5, Village Birdewadi, Chakan, Taluka-Khed, Pune – 410 501, Maharashtra, India</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Corporate Office</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201, Tower-2, Montreal Business Centre, Off Pallod Farms, Baner, Pune – 411 045, Maharashtra, India</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Registration Number</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141032</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Corporate Identity Number</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U28129PN1979PLC141032</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Registrar of Companies (RoC)</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RoC, Maharashtra at Pune — PCNTDA Green Building, Block A, 1st &amp; 2nd Floor, Near Akurdi Railway Station, Akurdi, Pune – 411 044, Maharashtra</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DRHP filing</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Filed via SEBI's SI Portal (https://siportal.sebi.gov.in) under Regulation 25(8) of the SEBI ICDR Regulations</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Listing approvals</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In-principle approvals received from BSE and NSE, each dated August 4, 2025</w:t>
            </w:r>
          </w:p>
        </w:tc>
      </w:tr>
    </w:tbl>
    <w:p>
      <w:pPr>
        <w:spacing w:after="120"/>
      </w:pPr>
      <w:r>
        <w:rPr>
          <w:rFonts w:ascii="Times New Roman" w:cs="Times New Roman" w:eastAsia="Times New Roman" w:hAnsi="Times New Roman"/>
          <w:color w:val="000000"/>
          <w:sz w:val="20"/>
          <w:szCs w:val="20"/>
        </w:rPr>
        <w:t xml:space="preserve"/>
      </w:r>
    </w:p>
    <w:p>
      <w:pPr>
        <w:spacing w:after="120"/>
      </w:pPr>
      <w:r>
        <w:rPr>
          <w:rFonts w:ascii="Times New Roman" w:cs="Times New Roman" w:eastAsia="Times New Roman" w:hAnsi="Times New Roman"/>
          <w:color w:val="000000"/>
          <w:sz w:val="20"/>
          <w:szCs w:val="20"/>
        </w:rPr>
        <w:t xml:space="preserve">The Company's registered office has changed jurisdictions over time — from the RoC Maharashtra at Mumbai to the RoC Maharashtra at Pune, following a 2011 shareholder resolution and regional-director order. The Company also converted from a private limited company to a public limited company in December 2024–January 2025 ahead of this Offer.</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12. Offer Process Notes</w:t>
      </w:r>
    </w:p>
    <w:p>
      <w:pPr>
        <w:pStyle w:val="ListParagraph"/>
        <w:numPr>
          <w:ilvl w:val="0"/>
          <w:numId w:val="1"/>
        </w:numPr>
        <w:spacing w:after="60"/>
      </w:pPr>
      <w:r>
        <w:rPr>
          <w:rFonts w:ascii="Times New Roman" w:cs="Times New Roman" w:eastAsia="Times New Roman" w:hAnsi="Times New Roman"/>
          <w:color w:val="000000"/>
          <w:sz w:val="19"/>
          <w:szCs w:val="19"/>
        </w:rPr>
        <w:t xml:space="preserve">Book Building Process under Regulation 6(1) of the SEBI ICDR Regulations, read with Rule 19(2)(b) of the SCRR.</w:t>
      </w:r>
    </w:p>
    <w:p>
      <w:pPr>
        <w:pStyle w:val="ListParagraph"/>
        <w:numPr>
          <w:ilvl w:val="0"/>
          <w:numId w:val="1"/>
        </w:numPr>
        <w:spacing w:after="60"/>
      </w:pPr>
      <w:r>
        <w:rPr>
          <w:rFonts w:ascii="Times New Roman" w:cs="Times New Roman" w:eastAsia="Times New Roman" w:hAnsi="Times New Roman"/>
          <w:color w:val="000000"/>
          <w:sz w:val="19"/>
          <w:szCs w:val="19"/>
        </w:rPr>
        <w:t xml:space="preserve">All Bidders except Anchor Investors must apply via ASBA, including via the UPI Mechanism where applicable; Anchor Investors cannot use ASBA.</w:t>
      </w:r>
    </w:p>
    <w:p>
      <w:pPr>
        <w:pStyle w:val="ListParagraph"/>
        <w:numPr>
          <w:ilvl w:val="0"/>
          <w:numId w:val="1"/>
        </w:numPr>
        <w:spacing w:after="60"/>
      </w:pPr>
      <w:r>
        <w:rPr>
          <w:rFonts w:ascii="Times New Roman" w:cs="Times New Roman" w:eastAsia="Times New Roman" w:hAnsi="Times New Roman"/>
          <w:color w:val="000000"/>
          <w:sz w:val="19"/>
          <w:szCs w:val="19"/>
        </w:rPr>
        <w:t xml:space="preserve">QIBs and Non-Institutional Investors cannot withdraw or lower their Bids at any stage; Retail Individual Investors may revise or withdraw until the Bid/Offer Closing Date; Anchor Investors cannot withdraw after the Anchor Investor Bidding Date.</w:t>
      </w:r>
    </w:p>
    <w:p>
      <w:pPr>
        <w:pStyle w:val="ListParagraph"/>
        <w:numPr>
          <w:ilvl w:val="0"/>
          <w:numId w:val="1"/>
        </w:numPr>
        <w:spacing w:after="60"/>
      </w:pPr>
      <w:r>
        <w:rPr>
          <w:rFonts w:ascii="Times New Roman" w:cs="Times New Roman" w:eastAsia="Times New Roman" w:hAnsi="Times New Roman"/>
          <w:color w:val="000000"/>
          <w:sz w:val="19"/>
          <w:szCs w:val="19"/>
        </w:rPr>
        <w:t xml:space="preserve">Price Band and minimum Bid Lot to be advertised at least two Working Days prior to the Bid/Offer Opening Date in Financial Express, Jansatta and the Pune edition of Loksatta.</w:t>
      </w:r>
    </w:p>
    <w:p>
      <w:pPr>
        <w:pStyle w:val="ListParagraph"/>
        <w:numPr>
          <w:ilvl w:val="0"/>
          <w:numId w:val="1"/>
        </w:numPr>
        <w:spacing w:after="60"/>
      </w:pPr>
      <w:r>
        <w:rPr>
          <w:rFonts w:ascii="Times New Roman" w:cs="Times New Roman" w:eastAsia="Times New Roman" w:hAnsi="Times New Roman"/>
          <w:color w:val="000000"/>
          <w:sz w:val="19"/>
          <w:szCs w:val="19"/>
        </w:rPr>
        <w:t xml:space="preserve">Minimum subscription required: 90% of the Fresh Issue, in compliance with Rule 19(2)(b) of the SCRR.</w:t>
      </w:r>
    </w:p>
    <w:p>
      <w:pPr>
        <w:pStyle w:val="ListParagraph"/>
        <w:numPr>
          <w:ilvl w:val="0"/>
          <w:numId w:val="1"/>
        </w:numPr>
        <w:spacing w:after="60"/>
      </w:pPr>
      <w:r>
        <w:rPr>
          <w:rFonts w:ascii="Times New Roman" w:cs="Times New Roman" w:eastAsia="Times New Roman" w:hAnsi="Times New Roman"/>
          <w:color w:val="000000"/>
          <w:sz w:val="19"/>
          <w:szCs w:val="19"/>
        </w:rPr>
        <w:t xml:space="preserve">No credit rating, debenture trustee or green-shoe option is applicable, as the Offer is of Equity Shares only.</w:t>
      </w:r>
    </w:p>
    <w:p>
      <w:pPr>
        <w:pStyle w:val="ListParagraph"/>
        <w:numPr>
          <w:ilvl w:val="0"/>
          <w:numId w:val="1"/>
        </w:numPr>
        <w:spacing w:after="60"/>
      </w:pPr>
      <w:r>
        <w:rPr>
          <w:rFonts w:ascii="Times New Roman" w:cs="Times New Roman" w:eastAsia="Times New Roman" w:hAnsi="Times New Roman"/>
          <w:color w:val="000000"/>
          <w:sz w:val="19"/>
          <w:szCs w:val="19"/>
        </w:rPr>
        <w:t xml:space="preserve">The Underwriting Agreement was not executed as of the RHP date; underwriting commitments were to be finalised after Offer Price determination.</w:t>
      </w:r>
    </w:p>
    <w:p>
      <w:pPr>
        <w:pStyle w:val="ListParagraph"/>
        <w:numPr>
          <w:ilvl w:val="0"/>
          <w:numId w:val="1"/>
        </w:numPr>
        <w:spacing w:after="60"/>
      </w:pPr>
      <w:r>
        <w:rPr>
          <w:rFonts w:ascii="Times New Roman" w:cs="Times New Roman" w:eastAsia="Times New Roman" w:hAnsi="Times New Roman"/>
          <w:color w:val="000000"/>
          <w:sz w:val="19"/>
          <w:szCs w:val="19"/>
        </w:rPr>
        <w:t xml:space="preserve">The BRLMs have divided inter-se responsibility: Nuvama coordinates due diligence/drafting, capital structuring, statutory advertisements, intermediary appointments and domestic institutional/non-institutional marketing; ICICI Securities coordinates publicity material, roadshow preparation, international institutional marketing, retail marketing, book management/pricing and post-Offer activities.</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13. Glossary of Key Terms</w:t>
      </w:r>
    </w:p>
    <w:tbl>
      <w:tblPr>
        <w:tblW w:type="dxa" w:w="946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6860"/>
      </w:tblGrid>
      <w:tr>
        <w:trPr>
          <w:tblHeader/>
        </w:trPr>
        <w:tc>
          <w:tcPr>
            <w:tcW w:type="dxa" w:w="26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Term</w:t>
            </w:r>
          </w:p>
        </w:tc>
        <w:tc>
          <w:tcPr>
            <w:tcW w:type="dxa" w:w="68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Meaning</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ASBA</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Application Supported by Blocked Amount — the mandatory bidding mechanism for all Bidders except Anchor Investors</w:t>
            </w:r>
          </w:p>
        </w:tc>
      </w:tr>
      <w:tr>
        <w:tc>
          <w:tcPr>
            <w:tcW w:type="dxa" w:w="2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Anchor Investor</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 QIB bidding at least ₹100 million under the Anchor Investor Portion, allocated on a discretionary basis</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BRLMs</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Book Running Lead Managers — Nuvama Wealth Management Limited and ICICI Securities Limited</w:t>
            </w:r>
          </w:p>
        </w:tc>
      </w:tr>
      <w:tr>
        <w:tc>
          <w:tcPr>
            <w:tcW w:type="dxa" w:w="2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Cap Price / Floor Price</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The upper and lower ends of the Price Band; Cap Price is 105%–120% of the Floor Price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CARE Report</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"Industry Research Report on Magnet Winding Wires Market in India" (Nov 26, 2025) commissioned by the Company from CARE Analytics and Advisory Private Limited</w:t>
            </w:r>
          </w:p>
        </w:tc>
      </w:tr>
      <w:tr>
        <w:tc>
          <w:tcPr>
            <w:tcW w:type="dxa" w:w="2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Fresh Issue</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New Equity Shares issued by the Company, proceeds of which go to the Company</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Offer for Sale (OFS)</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Equity Shares sold by the Promoter Selling Shareholders; proceeds go to them, not the Company</w:t>
            </w:r>
          </w:p>
        </w:tc>
      </w:tr>
      <w:tr>
        <w:tc>
          <w:tcPr>
            <w:tcW w:type="dxa" w:w="2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QIB / NII / RII</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Qualified Institutional Buyer / Non-Institutional Investor / Retail Individual Investor — the three main Bidder categories</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Restated Financial Statements</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Financial statements restated per Companies Act/SEBI ICDR/ICAI requirements, covering Q1 FY26 and FY23–FY25</w:t>
            </w:r>
          </w:p>
        </w:tc>
      </w:tr>
      <w:tr>
        <w:tc>
          <w:tcPr>
            <w:tcW w:type="dxa" w:w="2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RHP / DRHP</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Red Herring Prospectus / Draft Red Herring Prospectus</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SCSB</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Self Certified Syndicate Bank — blocks Bid Amounts in ASBA/UPI accounts</w:t>
            </w:r>
          </w:p>
        </w:tc>
      </w:tr>
      <w:tr>
        <w:tc>
          <w:tcPr>
            <w:tcW w:type="dxa" w:w="2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SEBI ICDR Regulations</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SEBI (Issue of Capital and Disclosure Requirements) Regulations, 2018, governing the Offer</w:t>
            </w:r>
          </w:p>
        </w:tc>
      </w:tr>
    </w:tbl>
    <w:p>
      <w:pPr>
        <w:spacing w:after="100"/>
      </w:pPr>
      <w:r>
        <w:rPr>
          <w:rFonts w:ascii="Times New Roman" w:cs="Times New Roman" w:eastAsia="Times New Roman" w:hAnsi="Times New Roman"/>
          <w:i/>
          <w:iCs/>
          <w:color w:val="3D3D3D"/>
          <w:sz w:val="17"/>
          <w:szCs w:val="17"/>
        </w:rPr>
        <w:t xml:space="preserve">This glossary covers only the terms most relevant to this summary. The full Red Herring Prospectus defines several hundred additional terms in "Definitions and Abbreviations" on page 2.</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Appendix: Synthetic Sample Records (Test Data Only)</w:t>
      </w:r>
    </w:p>
    <w:p>
      <w:pPr>
        <w:spacing w:after="100"/>
      </w:pPr>
      <w:r>
        <w:rPr>
          <w:rFonts w:ascii="Times New Roman" w:cs="Times New Roman" w:eastAsia="Times New Roman" w:hAnsi="Times New Roman"/>
          <w:i/>
          <w:iCs/>
          <w:color w:val="3D3D3D"/>
          <w:sz w:val="17"/>
          <w:szCs w:val="17"/>
        </w:rPr>
        <w:t xml:space="preserve">The records below are entirely fictitious and were added solely to give a PII-detection/redaction exercise coverage of categories that do not naturally occur in a Red Herring Prospectus (SSNs, credit card numbers, dates of birth, IP addresses). None of the names, numbers, or contact details in this appendix correspond to any real person, and none should be treated as an authentic part of the KSH International RHP.</w:t>
      </w:r>
    </w:p>
    <w:p>
      <w:pPr>
        <w:spacing w:after="120"/>
      </w:pPr>
      <w:r>
        <w:rPr>
          <w:rFonts w:ascii="Times New Roman" w:cs="Times New Roman" w:eastAsia="Times New Roman" w:hAnsi="Times New Roman"/>
          <w:color w:val="000000"/>
          <w:sz w:val="20"/>
          <w:szCs w:val="20"/>
        </w:rPr>
        <w:t xml:space="preserve"/>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3600"/>
        <w:gridCol w:w="6460"/>
      </w:tblGrid>
      <w:tr>
        <w:trPr>
          <w:tblHeader/>
        </w:trPr>
        <w:tc>
          <w:tcPr>
            <w:tcW w:type="dxa" w:w="36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Field</w:t>
            </w:r>
          </w:p>
        </w:tc>
        <w:tc>
          <w:tcPr>
            <w:tcW w:type="dxa" w:w="64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Sample Value</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Full Name</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Amanda Whitfield</w:t>
            </w:r>
          </w:p>
        </w:tc>
      </w:tr>
      <w:tr>
        <w:tc>
          <w:tcPr>
            <w:tcW w:type="dxa" w:w="3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Email Address</w:t>
            </w:r>
          </w:p>
        </w:tc>
        <w:tc>
          <w:tcPr>
            <w:tcW w:type="dxa" w:w="6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amanda.whitfield84@sample-mail.com</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Phone Number</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 (415) 555-0198</w:t>
            </w:r>
          </w:p>
        </w:tc>
      </w:tr>
      <w:tr>
        <w:tc>
          <w:tcPr>
            <w:tcW w:type="dxa" w:w="3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Mailing Address</w:t>
            </w:r>
          </w:p>
        </w:tc>
        <w:tc>
          <w:tcPr>
            <w:tcW w:type="dxa" w:w="6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742 Evergreen Terrace, Apt 4B, Springfield, IL 62704, USA</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Date of Birth</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14-March-1988</w:t>
            </w:r>
          </w:p>
        </w:tc>
      </w:tr>
      <w:tr>
        <w:tc>
          <w:tcPr>
            <w:tcW w:type="dxa" w:w="3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Social Security Number</w:t>
            </w:r>
          </w:p>
        </w:tc>
        <w:tc>
          <w:tcPr>
            <w:tcW w:type="dxa" w:w="6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923-45-6781</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Credit Card Number</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4111 1111 1111 1234</w:t>
            </w:r>
          </w:p>
        </w:tc>
      </w:tr>
      <w:tr>
        <w:tc>
          <w:tcPr>
            <w:tcW w:type="dxa" w:w="3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IP Address</w:t>
            </w:r>
          </w:p>
        </w:tc>
        <w:tc>
          <w:tcPr>
            <w:tcW w:type="dxa" w:w="6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192.168.117.42</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Company Name (fictitious)</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Northbridge Analytics Pvt. Ltd.</w:t>
            </w:r>
          </w:p>
        </w:tc>
      </w:tr>
    </w:tbl>
    <w:p>
      <w:pPr>
        <w:spacing w:after="120"/>
      </w:pPr>
      <w:r>
        <w:rPr>
          <w:rFonts w:ascii="Times New Roman" w:cs="Times New Roman" w:eastAsia="Times New Roman" w:hAnsi="Times New Roman"/>
          <w:color w:val="000000"/>
          <w:sz w:val="20"/>
          <w:szCs w:val="20"/>
        </w:rPr>
        <w:t xml:space="preserve"/>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3600"/>
        <w:gridCol w:w="6460"/>
      </w:tblGrid>
      <w:tr>
        <w:trPr>
          <w:tblHeader/>
        </w:trPr>
        <w:tc>
          <w:tcPr>
            <w:tcW w:type="dxa" w:w="36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Field</w:t>
            </w:r>
          </w:p>
        </w:tc>
        <w:tc>
          <w:tcPr>
            <w:tcW w:type="dxa" w:w="64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Sample Value</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Full Name</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Rajiv Menon</w:t>
            </w:r>
          </w:p>
        </w:tc>
      </w:tr>
      <w:tr>
        <w:tc>
          <w:tcPr>
            <w:tcW w:type="dxa" w:w="3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Email Address</w:t>
            </w:r>
          </w:p>
        </w:tc>
        <w:tc>
          <w:tcPr>
            <w:tcW w:type="dxa" w:w="6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rajiv.menon77@sample-mail.in</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Phone Number</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+91 98765 43210</w:t>
            </w:r>
          </w:p>
        </w:tc>
      </w:tr>
      <w:tr>
        <w:tc>
          <w:tcPr>
            <w:tcW w:type="dxa" w:w="3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Mailing Address</w:t>
            </w:r>
          </w:p>
        </w:tc>
        <w:tc>
          <w:tcPr>
            <w:tcW w:type="dxa" w:w="6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Flat 302, Sunrise Apartments, MG Road, Bengaluru – 560001, Karnataka, India</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Date of Birth</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02/11/1990</w:t>
            </w:r>
          </w:p>
        </w:tc>
      </w:tr>
      <w:tr>
        <w:tc>
          <w:tcPr>
            <w:tcW w:type="dxa" w:w="3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Social Security Number</w:t>
            </w:r>
          </w:p>
        </w:tc>
        <w:tc>
          <w:tcPr>
            <w:tcW w:type="dxa" w:w="6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N.A. (Indian record — Aadhaar/PAN analogues not used here)</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Credit Card Number</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5500 0000 0000 0004</w:t>
            </w:r>
          </w:p>
        </w:tc>
      </w:tr>
      <w:tr>
        <w:tc>
          <w:tcPr>
            <w:tcW w:type="dxa" w:w="3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IP Address</w:t>
            </w:r>
          </w:p>
        </w:tc>
        <w:tc>
          <w:tcPr>
            <w:tcW w:type="dxa" w:w="6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10.0.212.55</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Company Name (fictitious)</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Meridian Cable &amp; Wire Traders LLP</w:t>
            </w:r>
          </w:p>
        </w:tc>
      </w:tr>
    </w:tbl>
    <w:p>
      <w:pPr>
        <w:spacing w:after="100"/>
      </w:pPr>
      <w:r>
        <w:rPr>
          <w:rFonts w:ascii="Times New Roman" w:cs="Times New Roman" w:eastAsia="Times New Roman" w:hAnsi="Times New Roman"/>
          <w:i/>
          <w:iCs/>
          <w:color w:val="3D3D3D"/>
          <w:sz w:val="17"/>
          <w:szCs w:val="17"/>
        </w:rPr>
        <w:t xml:space="preserve">These two synthetic records are the only fabricated content in this document; every other name, address, financial figure and disclosure elsewhere in this file is drawn from the actual Red Herring Prospectus of KSH International Limited dated December 10, 2025.</w:t>
      </w:r>
    </w:p>
    <w:p>
      <w:pPr>
        <w:pBdr>
          <w:top w:val="single" w:color="000000" w:sz="6" w:space="6"/>
        </w:pBdr>
        <w:spacing w:before="300"/>
      </w:pPr>
    </w:p>
    <w:p>
      <w:pPr>
        <w:spacing w:after="100"/>
      </w:pPr>
      <w:r>
        <w:rPr>
          <w:rFonts w:ascii="Times New Roman" w:cs="Times New Roman" w:eastAsia="Times New Roman" w:hAnsi="Times New Roman"/>
          <w:i/>
          <w:iCs/>
          <w:color w:val="3D3D3D"/>
          <w:sz w:val="17"/>
          <w:szCs w:val="17"/>
        </w:rPr>
        <w:t xml:space="preserve">Disclaimer: This condensed summary is derived solely from the Red Herring Prospectus dated December 10, 2025 for KSH International Limited and is provided for quick internal reference only. It is not exhaustive, is not a substitute for the full Red Herring Prospectus, and must not be relied upon for any investment decision. Investors must read the complete Red Herring Prospectus, in particular the full 'Risk Factors' section, before bidding in the Offer.</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2026-09-01T10:07:11.102Z</dcterms:created>
  <dcterms:modified xsi:type="dcterms:W3CDTF">2026-09-01T10:07:11.103Z</dcterms:modified>
</cp:coreProperties>
</file>

<file path=docProps/custom.xml><?xml version="1.0" encoding="utf-8"?>
<Properties xmlns="http://schemas.openxmlformats.org/officeDocument/2006/custom-properties" xmlns:vt="http://schemas.openxmlformats.org/officeDocument/2006/docPropsVTypes"/>
</file>