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ARCHITECTURE &amp; MASTER PROJECT BLUEPRINT</w:t>
      </w:r>
    </w:p>
    <w:p>
      <w:pPr>
        <w:jc w:val="center"/>
      </w:pPr>
      <w:r>
        <w:t>Global-Grade AI Automation &amp; Software Engineering Agency Platform</w:t>
      </w:r>
    </w:p>
    <w:p>
      <w:pPr>
        <w:jc w:val="center"/>
      </w:pPr>
      <w:r>
        <w:t>Version: 2.0 | Document Class: Highly Confidential / Technical Specification</w:t>
        <w:br/>
      </w:r>
    </w:p>
    <w:p>
      <w:r>
        <w:t>EXECUTIVE SUMMARY:</w:t>
        <w:br/>
        <w:t>This master specification dictates the foundational architecture, security protocols, deployment topology, and execution roadmap for a world-class digital agency flagship platform. It integrates a high-performance Next.js frontend, a robust Java Spring Boot API backend, and a secure PostgreSQL data tier, augmented with proprietary AI automation pipelines (Intelligent Document Processing).</w:t>
      </w:r>
    </w:p>
    <w:p>
      <w:pPr>
        <w:pStyle w:val="Heading1"/>
      </w:pPr>
      <w:r>
        <w:t>1. Global Infrastructure Topology</w:t>
      </w:r>
    </w:p>
    <w:p>
      <w:r>
        <w:t>The infrastructure is distributed across specialized cloud providers to maximize performance, security, and developer velocity.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Hosting / Network</w:t>
            </w:r>
          </w:p>
        </w:tc>
        <w:tc>
          <w:tcPr>
            <w:tcW w:type="dxa" w:w="2160"/>
          </w:tcPr>
          <w:p>
            <w:r>
              <w:t>Operational Mandate</w:t>
            </w:r>
          </w:p>
        </w:tc>
      </w:tr>
      <w:tr>
        <w:tc>
          <w:tcPr>
            <w:tcW w:type="dxa" w:w="2160"/>
          </w:tcPr>
          <w:p>
            <w:r>
              <w:t>Frontend / Edge Layer</w:t>
            </w:r>
          </w:p>
        </w:tc>
        <w:tc>
          <w:tcPr>
            <w:tcW w:type="dxa" w:w="2160"/>
          </w:tcPr>
          <w:p>
            <w:r>
              <w:t>Next.js (App Router), React 18, Tailwind CSS, Framer Motion</w:t>
            </w:r>
          </w:p>
        </w:tc>
        <w:tc>
          <w:tcPr>
            <w:tcW w:type="dxa" w:w="2160"/>
          </w:tcPr>
          <w:p>
            <w:r>
              <w:t>Vercel Edge Network</w:t>
            </w:r>
          </w:p>
        </w:tc>
        <w:tc>
          <w:tcPr>
            <w:tcW w:type="dxa" w:w="2160"/>
          </w:tcPr>
          <w:p>
            <w:r>
              <w:t>Sub-millisecond static delivery via Edge CDN, Server-Side Rendering (SSR) for dynamic portals, strict Core Web Vitals maintenance.</w:t>
            </w:r>
          </w:p>
        </w:tc>
      </w:tr>
      <w:tr>
        <w:tc>
          <w:tcPr>
            <w:tcW w:type="dxa" w:w="2160"/>
          </w:tcPr>
          <w:p>
            <w:r>
              <w:t>Backend API &amp; Services</w:t>
            </w:r>
          </w:p>
        </w:tc>
        <w:tc>
          <w:tcPr>
            <w:tcW w:type="dxa" w:w="2160"/>
          </w:tcPr>
          <w:p>
            <w:r>
              <w:t>Java 17+, Spring Boot 3.x, Spring Security, Hibernate</w:t>
            </w:r>
          </w:p>
        </w:tc>
        <w:tc>
          <w:tcPr>
            <w:tcW w:type="dxa" w:w="2160"/>
          </w:tcPr>
          <w:p>
            <w:r>
              <w:t>Render Web Services</w:t>
            </w:r>
          </w:p>
        </w:tc>
        <w:tc>
          <w:tcPr>
            <w:tcW w:type="dxa" w:w="2160"/>
          </w:tcPr>
          <w:p>
            <w:r>
              <w:t>Microservice orchestration, secure RESTful API routing, AI inference pipeline integration, and transactional logic.</w:t>
            </w:r>
          </w:p>
        </w:tc>
      </w:tr>
      <w:tr>
        <w:tc>
          <w:tcPr>
            <w:tcW w:type="dxa" w:w="2160"/>
          </w:tcPr>
          <w:p>
            <w:r>
              <w:t>Data Persistence</w:t>
            </w:r>
          </w:p>
        </w:tc>
        <w:tc>
          <w:tcPr>
            <w:tcW w:type="dxa" w:w="2160"/>
          </w:tcPr>
          <w:p>
            <w:r>
              <w:t>PostgreSQL 15+, PgBouncer (Connection Pooling)</w:t>
            </w:r>
          </w:p>
        </w:tc>
        <w:tc>
          <w:tcPr>
            <w:tcW w:type="dxa" w:w="2160"/>
          </w:tcPr>
          <w:p>
            <w:r>
              <w:t>Supabase Managed SQL</w:t>
            </w:r>
          </w:p>
        </w:tc>
        <w:tc>
          <w:tcPr>
            <w:tcW w:type="dxa" w:w="2160"/>
          </w:tcPr>
          <w:p>
            <w:r>
              <w:t>ACID-compliant relational data storage, Row Level Security (RLS), automated daily backups, global read replicas.</w:t>
            </w:r>
          </w:p>
        </w:tc>
      </w:tr>
      <w:tr>
        <w:tc>
          <w:tcPr>
            <w:tcW w:type="dxa" w:w="2160"/>
          </w:tcPr>
          <w:p>
            <w:r>
              <w:t>Health &amp; Orchestration</w:t>
            </w:r>
          </w:p>
        </w:tc>
        <w:tc>
          <w:tcPr>
            <w:tcW w:type="dxa" w:w="2160"/>
          </w:tcPr>
          <w:p>
            <w:r>
              <w:t>UptimeRobot, GitHub Actions</w:t>
            </w:r>
          </w:p>
        </w:tc>
        <w:tc>
          <w:tcPr>
            <w:tcW w:type="dxa" w:w="2160"/>
          </w:tcPr>
          <w:p>
            <w:r>
              <w:t>External Node</w:t>
            </w:r>
          </w:p>
        </w:tc>
        <w:tc>
          <w:tcPr>
            <w:tcW w:type="dxa" w:w="2160"/>
          </w:tcPr>
          <w:p>
            <w:r>
              <w:t>Automated CI/CD pipelines, container warmup pings (5-minute intervals to /api/v1/health) to bypass free-tier idle suspension.</w:t>
            </w:r>
          </w:p>
        </w:tc>
      </w:tr>
    </w:tbl>
    <w:p>
      <w:pPr>
        <w:pStyle w:val="Heading1"/>
      </w:pPr>
      <w:r>
        <w:t>2. Security &amp; Compliance Matrix</w:t>
      </w:r>
    </w:p>
    <w:p>
      <w:r>
        <w:t>Enterprise clients demand strict data security. The following protocols must be implemented before production deployment:</w:t>
      </w:r>
    </w:p>
    <w:p>
      <w:pPr>
        <w:pStyle w:val="Heading2"/>
      </w:pPr>
      <w:r>
        <w:t>2.1 Network &amp; Transport Security</w:t>
      </w:r>
    </w:p>
    <w:p>
      <w:r>
        <w:t>• TLS 1.3 Encryption: Enforced globally across all Vercel edge nodes and Render APIs.</w:t>
      </w:r>
    </w:p>
    <w:p>
      <w:r>
        <w:t>• Database VPC Isolation: Supabase instances must restrict inbound traffic exclusively to Render's NAT gateway IP addresses.</w:t>
      </w:r>
    </w:p>
    <w:p>
      <w:r>
        <w:t>• Cross-Origin Resource Sharing (CORS): Spring Boot WebSecurityConfigurer must whitelist ONLY the official Vercel production domain. All other origin requests must return a 403 Forbidden.</w:t>
      </w:r>
    </w:p>
    <w:p>
      <w:pPr>
        <w:pStyle w:val="Heading2"/>
      </w:pPr>
      <w:r>
        <w:t>2.2 Authentication &amp; Authorization</w:t>
      </w:r>
    </w:p>
    <w:p>
      <w:r>
        <w:t>• Stateless JWT (JSON Web Tokens): Issued by Spring Security for client portal access, with 15-minute expiration and 7-day HttpOnly refresh tokens.</w:t>
      </w:r>
    </w:p>
    <w:p>
      <w:r>
        <w:t>• Secret Management: Absolute zero-trust policy. No API keys or DB URIs committed to source control. Native environment variable vaults in Vercel and Render must be used exclusively.</w:t>
      </w:r>
    </w:p>
    <w:p>
      <w:pPr>
        <w:pStyle w:val="Heading1"/>
      </w:pPr>
      <w:r>
        <w:t>3. Enterprise Database Blueprint</w:t>
      </w:r>
    </w:p>
    <w:p>
      <w:r>
        <w:t>The relational schema optimized for multi-tenant client portals and AI tool telemetry.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 / Table Name</w:t>
            </w:r>
          </w:p>
        </w:tc>
        <w:tc>
          <w:tcPr>
            <w:tcW w:type="dxa" w:w="2880"/>
          </w:tcPr>
          <w:p>
            <w:r>
              <w:t>Schema Definition (Columns)</w:t>
            </w:r>
          </w:p>
        </w:tc>
        <w:tc>
          <w:tcPr>
            <w:tcW w:type="dxa" w:w="2880"/>
          </w:tcPr>
          <w:p>
            <w:r>
              <w:t>Primary Purpose</w:t>
            </w:r>
          </w:p>
        </w:tc>
      </w:tr>
      <w:tr>
        <w:tc>
          <w:tcPr>
            <w:tcW w:type="dxa" w:w="2880"/>
          </w:tcPr>
          <w:p>
            <w:r>
              <w:t>enterprise_clients</w:t>
            </w:r>
          </w:p>
        </w:tc>
        <w:tc>
          <w:tcPr>
            <w:tcW w:type="dxa" w:w="2880"/>
          </w:tcPr>
          <w:p>
            <w:r>
              <w:t>id (UUID), company_name (VARCHAR), admin_email (VARCHAR), tier (ENUM), created_at (TIMESTAMP)</w:t>
            </w:r>
          </w:p>
        </w:tc>
        <w:tc>
          <w:tcPr>
            <w:tcW w:type="dxa" w:w="2880"/>
          </w:tcPr>
          <w:p>
            <w:r>
              <w:t>Manages authenticated access to proprietary client dashboards and staging links.</w:t>
            </w:r>
          </w:p>
        </w:tc>
      </w:tr>
      <w:tr>
        <w:tc>
          <w:tcPr>
            <w:tcW w:type="dxa" w:w="2880"/>
          </w:tcPr>
          <w:p>
            <w:r>
              <w:t>case_studies</w:t>
            </w:r>
          </w:p>
        </w:tc>
        <w:tc>
          <w:tcPr>
            <w:tcW w:type="dxa" w:w="2880"/>
          </w:tcPr>
          <w:p>
            <w:r>
              <w:t>id (UUID), title (VARCHAR), slug (VARCHAR), tech_stack (JSONB), roi_metrics (JSONB), content (TEXT)</w:t>
            </w:r>
          </w:p>
        </w:tc>
        <w:tc>
          <w:tcPr>
            <w:tcW w:type="dxa" w:w="2880"/>
          </w:tcPr>
          <w:p>
            <w:r>
              <w:t>Powers the high-performance Next.js portfolio with dynamic, SEO-optimized routing.</w:t>
            </w:r>
          </w:p>
        </w:tc>
      </w:tr>
      <w:tr>
        <w:tc>
          <w:tcPr>
            <w:tcW w:type="dxa" w:w="2880"/>
          </w:tcPr>
          <w:p>
            <w:r>
              <w:t>ai_idp_sandbox_logs</w:t>
            </w:r>
          </w:p>
        </w:tc>
        <w:tc>
          <w:tcPr>
            <w:tcW w:type="dxa" w:w="2880"/>
          </w:tcPr>
          <w:p>
            <w:r>
              <w:t>id (UUID), session_token (VARCHAR), initial_image_hash (VARCHAR), generated_sql (TEXT), execution_time_ms (INT)</w:t>
            </w:r>
          </w:p>
        </w:tc>
        <w:tc>
          <w:tcPr>
            <w:tcW w:type="dxa" w:w="2880"/>
          </w:tcPr>
          <w:p>
            <w:r>
              <w:t>Telemetry data for the Intelligent Document Processing (Directory to SQL) showcase tool.</w:t>
            </w:r>
          </w:p>
        </w:tc>
      </w:tr>
      <w:tr>
        <w:tc>
          <w:tcPr>
            <w:tcW w:type="dxa" w:w="2880"/>
          </w:tcPr>
          <w:p>
            <w:r>
              <w:t>lead_conversions</w:t>
            </w:r>
          </w:p>
        </w:tc>
        <w:tc>
          <w:tcPr>
            <w:tcW w:type="dxa" w:w="2880"/>
          </w:tcPr>
          <w:p>
            <w:r>
              <w:t>id (UUID), company (VARCHAR), estimated_manual_hours (INT), projected_roi (DECIMAL), contact_status (BOOLEAN)</w:t>
            </w:r>
          </w:p>
        </w:tc>
        <w:tc>
          <w:tcPr>
            <w:tcW w:type="dxa" w:w="2880"/>
          </w:tcPr>
          <w:p>
            <w:r>
              <w:t>Captures lead data generated directly from the frontend Interactive ROI Calculator.</w:t>
            </w:r>
          </w:p>
        </w:tc>
      </w:tr>
    </w:tbl>
    <w:p>
      <w:pPr>
        <w:pStyle w:val="Heading1"/>
      </w:pPr>
      <w:r>
        <w:t>4. Master Execution Roadmap</w:t>
      </w:r>
    </w:p>
    <w:p>
      <w:r>
        <w:t>A strict, phased approach to ensure continuous integration without architectural bottlenecks.</w:t>
      </w:r>
    </w:p>
    <w:p>
      <w:pPr>
        <w:pStyle w:val="Heading2"/>
      </w:pPr>
      <w:r>
        <w:t>PHASE 1: Infrastructure Provisioning &amp; Schema Definition</w:t>
      </w:r>
    </w:p>
    <w:p>
      <w:r>
        <w:t>1. Initialize GitHub Monorepo (or dual repos for Front/Back).</w:t>
        <w:br/>
        <w:t>2. Provision Supabase PostgreSQL instance; generate secure connection pools.</w:t>
        <w:br/>
        <w:t>3. Execute DDL scripts for tables defined in Section 3.</w:t>
        <w:br/>
        <w:t>4. Establish environment variable vaults in Render and Vercel.</w:t>
      </w:r>
    </w:p>
    <w:p>
      <w:pPr>
        <w:pStyle w:val="Heading2"/>
      </w:pPr>
      <w:r>
        <w:t>PHASE 2: Backend Core &amp; Security Implementation</w:t>
      </w:r>
    </w:p>
    <w:p>
      <w:r>
        <w:t>1. Scaffold Java Spring Boot 3 application.</w:t>
        <w:br/>
        <w:t>2. Implement Spring Security (CORS, JWT authentication).</w:t>
        <w:br/>
        <w:t>3. Build REST endpoints for Case Studies and Client Lead ingestion.</w:t>
        <w:br/>
        <w:t>4. Create the UptimeRobot health-check endpoint (`/api/v1/health`).</w:t>
        <w:br/>
        <w:t>5. Deploy container to Render.</w:t>
      </w:r>
    </w:p>
    <w:p>
      <w:pPr>
        <w:pStyle w:val="Heading2"/>
      </w:pPr>
      <w:r>
        <w:t>PHASE 3: AI Sandbox API Wrapper</w:t>
      </w:r>
    </w:p>
    <w:p>
      <w:r>
        <w:t>1. Encapsulate the proprietary Directory-to-SQL Python/OCR logic into a callable microservice or Spring Boot executor.</w:t>
        <w:br/>
        <w:t>2. Apply rate-limiting (e.g., Bucket4j) to prevent abuse of the free public sandbox.</w:t>
        <w:br/>
        <w:t>3. Verify data sanitization on generated SQL before returning payload to frontend.</w:t>
      </w:r>
    </w:p>
    <w:p>
      <w:pPr>
        <w:pStyle w:val="Heading2"/>
      </w:pPr>
      <w:r>
        <w:t>PHASE 4: High-Performance Frontend Assembly</w:t>
      </w:r>
    </w:p>
    <w:p>
      <w:r>
        <w:t>1. Initialize Next.js App Router with Tailwind CSS.</w:t>
        <w:br/>
        <w:t>2. Build the Global Navigation, Hero Section, and Case Study grids.</w:t>
        <w:br/>
        <w:t>3. Develop the interactive ROI Calculator (client-side state).</w:t>
        <w:br/>
        <w:t>4. Build the AI IDP Sandbox UI (file upload, loading state, SQL code-block display).</w:t>
        <w:br/>
        <w:t>5. Integrate Vercel Server Actions to communicate with Render API.</w:t>
      </w:r>
    </w:p>
    <w:p>
      <w:pPr>
        <w:pStyle w:val="Heading2"/>
      </w:pPr>
      <w:r>
        <w:t>PHASE 5: SEO, Telemetry, and Production Launch</w:t>
      </w:r>
    </w:p>
    <w:p>
      <w:r>
        <w:t>1. Inject JSON-LD Schema.org metadata into all Next.js pages.</w:t>
        <w:br/>
        <w:t>2. Configure Google Analytics 4 (GA4) custom event triggers for calculator usage and form submits.</w:t>
        <w:br/>
        <w:t>3. Final UptimeRobot integration to keep Render instance warm.</w:t>
        <w:br/>
        <w:t>4. Perform Lighthouse audit (Target: &gt;95 Performance, 100 Accessibility).</w:t>
      </w:r>
    </w:p>
    <w:p>
      <w:pPr>
        <w:pStyle w:val="Heading1"/>
      </w:pPr>
      <w:r>
        <w:t>5. AI Agent Manager Delegation Protocol</w:t>
      </w:r>
    </w:p>
    <w:p>
      <w:r>
        <w:t>INSTRUCTIONS FOR AI MANAGER AGENT: You are acting as the Technical Project Manager. Parse this blueprint and delegate tasks to your sub-agents exactly as follows: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Specialist Agent</w:t>
            </w:r>
          </w:p>
        </w:tc>
        <w:tc>
          <w:tcPr>
            <w:tcW w:type="dxa" w:w="4320"/>
          </w:tcPr>
          <w:p>
            <w:r>
              <w:t>Assigned Tasks &amp; Directives</w:t>
            </w:r>
          </w:p>
        </w:tc>
      </w:tr>
      <w:tr>
        <w:tc>
          <w:tcPr>
            <w:tcW w:type="dxa" w:w="4320"/>
          </w:tcPr>
          <w:p>
            <w:r>
              <w:t>Database Architect Agent</w:t>
            </w:r>
          </w:p>
        </w:tc>
        <w:tc>
          <w:tcPr>
            <w:tcW w:type="dxa" w:w="4320"/>
          </w:tcPr>
          <w:p>
            <w:r>
              <w:t>Execute PHASE 1. Write the exact PostgreSQL DDL statements for Supabase. Include proper indexing for UUIDs and foreign keys. Enforce Row Level Security (RLS) templates.</w:t>
            </w:r>
          </w:p>
        </w:tc>
      </w:tr>
      <w:tr>
        <w:tc>
          <w:tcPr>
            <w:tcW w:type="dxa" w:w="4320"/>
          </w:tcPr>
          <w:p>
            <w:r>
              <w:t>Backend Engineering Agent</w:t>
            </w:r>
          </w:p>
        </w:tc>
        <w:tc>
          <w:tcPr>
            <w:tcW w:type="dxa" w:w="4320"/>
          </w:tcPr>
          <w:p>
            <w:r>
              <w:t>Execute PHASE 2 &amp; 3. Generate the Spring Boot controllers, Spring Security configuration class (with CORS whitelist), and the HikariCP application.properties file. Write the rate-limiting logic.</w:t>
            </w:r>
          </w:p>
        </w:tc>
      </w:tr>
      <w:tr>
        <w:tc>
          <w:tcPr>
            <w:tcW w:type="dxa" w:w="4320"/>
          </w:tcPr>
          <w:p>
            <w:r>
              <w:t>Frontend Engineering Agent</w:t>
            </w:r>
          </w:p>
        </w:tc>
        <w:tc>
          <w:tcPr>
            <w:tcW w:type="dxa" w:w="4320"/>
          </w:tcPr>
          <w:p>
            <w:r>
              <w:t>Execute PHASE 4. Generate the Next.js App Router file structure. Write strictly typed React Server Components. Use Tailwind CSS for highly polished, enterprise-grade dark/light themes. NO generic designs.</w:t>
            </w:r>
          </w:p>
        </w:tc>
      </w:tr>
      <w:tr>
        <w:tc>
          <w:tcPr>
            <w:tcW w:type="dxa" w:w="4320"/>
          </w:tcPr>
          <w:p>
            <w:r>
              <w:t>DevOps &amp; SEO Agent</w:t>
            </w:r>
          </w:p>
        </w:tc>
        <w:tc>
          <w:tcPr>
            <w:tcW w:type="dxa" w:w="4320"/>
          </w:tcPr>
          <w:p>
            <w:r>
              <w:t>Execute PHASE 5. Provide the exact JSON-LD markup for an "Organization" and "SoftwareApplication". Configure the UptimeRobot ping script.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56B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950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125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