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24"/>
        </w:rPr>
        <w:t>IN THE HIGH COURT OF JUDICATURE AT BOMBAY</w:t>
      </w:r>
    </w:p>
    <w:p>
      <w:pPr>
        <w:spacing w:after="120" w:line="276" w:lineRule="auto"/>
        <w:jc w:val="left"/>
      </w:pPr>
      <w:r>
        <w:rPr>
          <w:rFonts w:ascii="Times New Roman" w:hAnsi="Times New Roman"/>
          <w:b w:val="0"/>
          <w:sz w:val="24"/>
        </w:rPr>
        <w:t>Sunrise Housing Private Limited, …Petitioner</w:t>
      </w:r>
    </w:p>
    <w:p>
      <w:pPr>
        <w:spacing w:after="120" w:line="276" w:lineRule="auto"/>
        <w:jc w:val="left"/>
      </w:pPr>
      <w:r>
        <w:rPr>
          <w:rFonts w:ascii="Times New Roman" w:hAnsi="Times New Roman"/>
          <w:b w:val="0"/>
          <w:sz w:val="24"/>
        </w:rPr>
        <w:t>State of Maharashtra, …Respondent No.1</w:t>
      </w:r>
    </w:p>
    <w:p>
      <w:pPr>
        <w:spacing w:after="120" w:line="276" w:lineRule="auto"/>
        <w:jc w:val="left"/>
      </w:pPr>
      <w:r>
        <w:rPr>
          <w:rFonts w:ascii="Times New Roman" w:hAnsi="Times New Roman"/>
          <w:b w:val="0"/>
          <w:sz w:val="24"/>
        </w:rPr>
        <w:t>Mumbai Metropolitan Region Development Authority, …Respondent No.2</w:t>
      </w:r>
    </w:p>
    <w:p>
      <w:pPr>
        <w:spacing w:after="120" w:line="276" w:lineRule="auto"/>
        <w:jc w:val="center"/>
      </w:pPr>
      <w:r>
        <w:rPr>
          <w:rFonts w:ascii="Times New Roman" w:hAnsi="Times New Roman"/>
          <w:b/>
          <w:sz w:val="24"/>
        </w:rPr>
        <w:t>VERSUS</w:t>
      </w:r>
    </w:p>
    <w:p>
      <w:pPr>
        <w:spacing w:after="120" w:line="276" w:lineRule="auto"/>
        <w:jc w:val="center"/>
      </w:pPr>
      <w:r>
        <w:rPr>
          <w:rFonts w:ascii="Times New Roman" w:hAnsi="Times New Roman"/>
          <w:b/>
          <w:sz w:val="24"/>
        </w:rPr>
        <w:t>AFFIDAVIT IN REPLY ON BEHALF OF RESPONDENT NO. 2</w:t>
      </w:r>
    </w:p>
    <w:p>
      <w:pPr>
        <w:spacing w:after="120" w:line="276" w:lineRule="auto"/>
        <w:jc w:val="both"/>
      </w:pPr>
      <w:r>
        <w:rPr>
          <w:rFonts w:ascii="Times New Roman" w:hAnsi="Times New Roman"/>
          <w:b w:val="0"/>
          <w:sz w:val="24"/>
        </w:rPr>
        <w:t>the Deputy Metropolitan Commissioner of the Respondent No.2 above named do hereby solemnly affirm and state as under:</w:t>
      </w:r>
    </w:p>
    <w:p>
      <w:pPr>
        <w:spacing w:after="120" w:line="276" w:lineRule="auto"/>
        <w:ind w:left="288" w:hanging="288"/>
        <w:jc w:val="both"/>
      </w:pPr>
      <w:r>
        <w:rPr>
          <w:rFonts w:ascii="Times New Roman" w:hAnsi="Times New Roman"/>
          <w:b/>
          <w:sz w:val="24"/>
        </w:rPr>
        <w:t xml:space="preserve">1. </w:t>
      </w:r>
      <w:r>
        <w:rPr>
          <w:rFonts w:ascii="Times New Roman" w:hAnsi="Times New Roman"/>
          <w:b w:val="0"/>
          <w:sz w:val="24"/>
        </w:rPr>
        <w:t>I, Respondent No.2, Mumbai Metropolitan Region Development Authority, am the party answering this affidavit. I have perused a copy of the Writ Petition filed by Sunrise Housing Private Limited and the annexed documents, and I am competent to present my replies on behalf of Respondent No.2.</w:t>
      </w:r>
    </w:p>
    <w:p>
      <w:pPr>
        <w:spacing w:after="120" w:line="276" w:lineRule="auto"/>
        <w:ind w:left="288" w:hanging="288"/>
        <w:jc w:val="both"/>
      </w:pPr>
      <w:r>
        <w:rPr>
          <w:rFonts w:ascii="Times New Roman" w:hAnsi="Times New Roman"/>
          <w:b/>
          <w:sz w:val="24"/>
        </w:rPr>
        <w:t xml:space="preserve">2. </w:t>
      </w:r>
      <w:r>
        <w:rPr>
          <w:rFonts w:ascii="Times New Roman" w:hAnsi="Times New Roman"/>
          <w:b w:val="0"/>
          <w:sz w:val="24"/>
        </w:rPr>
        <w:t>Respondent No.2 denies all statements, contentions, and averments made in the Writ Petition except those specifically admitted herein. No statement in the petition that has not been specifically addressed or admitted is to be treated as an admission by Respondent No.2.</w:t>
      </w:r>
    </w:p>
    <w:p>
      <w:pPr>
        <w:spacing w:after="120" w:line="276" w:lineRule="auto"/>
        <w:ind w:left="288" w:hanging="288"/>
        <w:jc w:val="both"/>
      </w:pPr>
      <w:r>
        <w:rPr>
          <w:rFonts w:ascii="Times New Roman" w:hAnsi="Times New Roman"/>
          <w:b/>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available to Respondent No.2.</w:t>
      </w:r>
    </w:p>
    <w:p>
      <w:pPr>
        <w:spacing w:after="120" w:line="276" w:lineRule="auto"/>
        <w:ind w:left="288" w:hanging="288"/>
        <w:jc w:val="both"/>
      </w:pPr>
      <w:r>
        <w:rPr>
          <w:rFonts w:ascii="Times New Roman" w:hAnsi="Times New Roman"/>
          <w:b/>
          <w:sz w:val="24"/>
        </w:rPr>
        <w:t xml:space="preserve">4. </w:t>
      </w:r>
      <w:r>
        <w:rPr>
          <w:rFonts w:ascii="Times New Roman" w:hAnsi="Times New Roman"/>
          <w:b w:val="0"/>
          <w:sz w:val="24"/>
        </w:rPr>
        <w:t>Respondent No.2 denies that the impugned communication dated 15 July 2026 was issued without authority.</w:t>
      </w:r>
    </w:p>
    <w:p>
      <w:pPr>
        <w:spacing w:after="120" w:line="276" w:lineRule="auto"/>
        <w:ind w:left="288" w:hanging="288"/>
        <w:jc w:val="both"/>
      </w:pPr>
      <w:r>
        <w:rPr>
          <w:rFonts w:ascii="Times New Roman" w:hAnsi="Times New Roman"/>
          <w:b/>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after="120" w:line="276" w:lineRule="auto"/>
        <w:ind w:left="288" w:hanging="288"/>
        <w:jc w:val="both"/>
      </w:pPr>
      <w:r>
        <w:rPr>
          <w:rFonts w:ascii="Times New Roman" w:hAnsi="Times New Roman"/>
          <w:b/>
          <w:sz w:val="24"/>
        </w:rPr>
        <w:t xml:space="preserve">6. </w:t>
      </w:r>
      <w:r>
        <w:rPr>
          <w:rFonts w:ascii="Times New Roman" w:hAnsi="Times New Roman"/>
          <w:b w:val="0"/>
          <w:sz w:val="24"/>
        </w:rPr>
        <w:t>Respondent No.2 relies upon the communication dated 15 July 2026. A copy of that communication is annexed and marked as EXHIBIT-A.</w:t>
      </w:r>
    </w:p>
    <w:p>
      <w:pPr>
        <w:spacing w:after="120" w:line="276" w:lineRule="auto"/>
        <w:ind w:left="288" w:hanging="288"/>
        <w:jc w:val="both"/>
      </w:pPr>
      <w:r>
        <w:rPr>
          <w:rFonts w:ascii="Times New Roman" w:hAnsi="Times New Roman"/>
          <w:b/>
          <w:sz w:val="24"/>
        </w:rPr>
        <w:t xml:space="preserve">7. </w:t>
      </w:r>
      <w:r>
        <w:rPr>
          <w:rFonts w:ascii="Times New Roman" w:hAnsi="Times New Roman"/>
          <w:b w:val="0"/>
          <w:sz w:val="24"/>
        </w:rPr>
        <w:t>In the premises aforesaid, Respondent No.2 respectfully declares that the Writ Petition deserves dismissal with costs.</w:t>
      </w:r>
    </w:p>
    <w:p>
      <w:pPr>
        <w:spacing w:after="120" w:line="276" w:lineRule="auto"/>
        <w:jc w:val="center"/>
      </w:pPr>
      <w:r>
        <w:rPr>
          <w:rFonts w:ascii="Times New Roman" w:hAnsi="Times New Roman"/>
          <w:b/>
          <w:sz w:val="24"/>
        </w:rPr>
        <w:t>PRAYER</w:t>
      </w:r>
    </w:p>
    <w:p>
      <w:pPr>
        <w:spacing w:after="120" w:line="276" w:lineRule="auto"/>
        <w:ind w:left="432" w:hanging="432"/>
        <w:jc w:val="both"/>
      </w:pPr>
      <w:r>
        <w:rPr>
          <w:rFonts w:ascii="Times New Roman" w:hAnsi="Times New Roman"/>
          <w:b/>
          <w:sz w:val="24"/>
        </w:rPr>
        <w:t xml:space="preserve">a </w:t>
      </w:r>
      <w:r>
        <w:rPr>
          <w:rFonts w:ascii="Times New Roman" w:hAnsi="Times New Roman"/>
          <w:b w:val="0"/>
          <w:sz w:val="24"/>
        </w:rPr>
        <w:t>Respondent No. 2 prays that the Writ Petition be dismissed with costs.</w:t>
      </w:r>
    </w:p>
    <w:p>
      <w:pPr>
        <w:spacing w:after="120" w:line="276" w:lineRule="auto"/>
        <w:jc w:val="left"/>
      </w:pPr>
      <w:r>
        <w:rPr>
          <w:rFonts w:ascii="Times New Roman" w:hAnsi="Times New Roman"/>
          <w:b w:val="0"/>
          <w:sz w:val="24"/>
        </w:rPr>
        <w:t>Solemnly affirmed at Mumbai</w:t>
      </w:r>
    </w:p>
    <w:p>
      <w:pPr>
        <w:spacing w:after="120" w:line="276" w:lineRule="auto"/>
        <w:jc w:val="left"/>
      </w:pPr>
      <w:r>
        <w:rPr>
          <w:rFonts w:ascii="Times New Roman" w:hAnsi="Times New Roman"/>
          <w:b w:val="0"/>
          <w:sz w:val="24"/>
        </w:rPr>
        <w:t>On this 5 September 2026</w:t>
      </w:r>
    </w:p>
    <w:p>
      <w:pPr>
        <w:spacing w:after="120" w:line="276" w:lineRule="auto"/>
        <w:jc w:val="right"/>
      </w:pPr>
      <w:r>
        <w:rPr>
          <w:rFonts w:ascii="Times New Roman" w:hAnsi="Times New Roman"/>
          <w:b/>
          <w:sz w:val="24"/>
        </w:rPr>
        <w:t>DEPONENT</w:t>
      </w:r>
    </w:p>
    <w:p>
      <w:pPr>
        <w:spacing w:after="120" w:line="276" w:lineRule="auto"/>
        <w:jc w:val="left"/>
      </w:pPr>
      <w:r>
        <w:rPr>
          <w:rFonts w:ascii="Times New Roman" w:hAnsi="Times New Roman"/>
          <w:b w:val="0"/>
          <w:sz w:val="24"/>
        </w:rPr>
        <w:t>Before Me</w:t>
      </w:r>
    </w:p>
    <w:p>
      <w:pPr>
        <w:spacing w:after="120" w:line="276" w:lineRule="auto"/>
        <w:jc w:val="center"/>
      </w:pPr>
      <w:r>
        <w:rPr>
          <w:rFonts w:ascii="Times New Roman" w:hAnsi="Times New Roman"/>
          <w:b/>
          <w:sz w:val="24"/>
        </w:rPr>
        <w:t>VERIFICATION</w:t>
      </w:r>
    </w:p>
    <w:p>
      <w:pPr>
        <w:spacing w:after="120" w:line="276" w:lineRule="auto"/>
        <w:jc w:val="both"/>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after="120" w:line="276" w:lineRule="auto"/>
        <w:jc w:val="both"/>
      </w:pPr>
      <w:r>
        <w:rPr>
          <w:rFonts w:ascii="Times New Roman" w:hAnsi="Times New Roman"/>
          <w:b w:val="0"/>
          <w:sz w:val="24"/>
        </w:rPr>
        <w:t>Verified at Mumbai on this 5 September 2026.</w:t>
      </w:r>
    </w:p>
    <w:p>
      <w:pPr>
        <w:spacing w:after="120" w:line="276" w:lineRule="auto"/>
        <w:jc w:val="both"/>
      </w:pPr>
      <w:r>
        <w:rPr>
          <w:rFonts w:ascii="Times New Roman" w:hAnsi="Times New Roman"/>
          <w:b w:val="0"/>
          <w:sz w:val="24"/>
        </w:rPr>
        <w:t>DEPONENT</w:t>
      </w:r>
    </w:p>
    <w:p>
      <w:pPr>
        <w:spacing w:after="120" w:line="276" w:lineRule="auto"/>
        <w:jc w:val="left"/>
      </w:pPr>
      <w:r>
        <w:rPr>
          <w:rFonts w:ascii="Times New Roman" w:hAnsi="Times New Roman"/>
          <w:b w:val="0"/>
          <w:sz w:val="24"/>
        </w:rPr>
        <w:t>Rajan &amp; Associates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