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4"/>
        </w:rPr>
        <w:t>Independent Benchmark Dataset for the</w:t>
        <w:br/>
        <w:t>Plastic-Degrading Enzyme Screener</w:t>
      </w:r>
    </w:p>
    <w:p>
      <w:pPr>
        <w:spacing w:after="40"/>
        <w:jc w:val="center"/>
      </w:pPr>
      <w:r>
        <w:rPr>
          <w:b w:val="0"/>
          <w:i/>
          <w:color w:val="5A5A5A"/>
          <w:sz w:val="23"/>
        </w:rPr>
        <w:t>Week 2 final deliverable  ·  test-only benchmark, held separate from all training data</w:t>
      </w:r>
    </w:p>
    <w:p>
      <w:pPr>
        <w:spacing w:after="280"/>
        <w:jc w:val="center"/>
      </w:pPr>
      <w:r>
        <w:rPr>
          <w:b w:val="0"/>
          <w:i w:val="0"/>
          <w:color w:val="5A5A5A"/>
          <w:sz w:val="20"/>
        </w:rPr>
        <w:t>Prepared by Aryan Goel  ·  PET Lab</w:t>
      </w:r>
    </w:p>
    <w:tbl>
      <w:tblPr>
        <w:tblStyle w:val="TableGrid"/>
        <w:tblW w:type="auto" w:w="0"/>
        <w:tblLook w:firstColumn="1" w:firstRow="1" w:lastColumn="0" w:lastRow="0" w:noHBand="0" w:noVBand="1" w:val="04A0"/>
      </w:tblPr>
      <w:tblGrid>
        <w:gridCol w:w="9792"/>
      </w:tblGrid>
      <w:tr>
        <w:tc>
          <w:tcPr>
            <w:tcW w:type="dxa" w:w="9792"/>
            <w:shd w:val="clear" w:fill="EEF3F8"/>
          </w:tcPr>
          <w:p>
            <w:r/>
            <w:r>
              <w:rPr>
                <w:b/>
                <w:color w:val="1F3B57"/>
                <w:sz w:val="20"/>
              </w:rPr>
              <w:t xml:space="preserve">Integrity statement.  </w:t>
            </w:r>
            <w:r>
              <w:rPr>
                <w:sz w:val="20"/>
              </w:rPr>
              <w:t>Every value in this benchmark was measured in a laboratory and reported in a peer-reviewed open-access article. Nothing is synthetic, predicted, interpolated, imputed or model-generated. Every row carries the verbatim source sentence or table cells, plus its PMCID and DOI. Fields a source did not state are left empty rather than filled with a plausible default. The single derived quantity — ionic strength — is labelled “computed from …” and never presented as reported.</w:t>
            </w:r>
          </w:p>
        </w:tc>
      </w:tr>
    </w:tbl>
    <w:p>
      <w:pPr>
        <w:spacing w:after="40"/>
      </w:pPr>
    </w:p>
    <w:p>
      <w:pPr>
        <w:pStyle w:val="Heading1"/>
        <w:spacing w:before="120" w:after="80"/>
      </w:pPr>
      <w:r>
        <w:rPr>
          <w:color w:val="1F3B57"/>
        </w:rPr>
        <w:t>1.  Result against the brief</w:t>
      </w:r>
    </w:p>
    <w:tbl>
      <w:tblPr>
        <w:tblStyle w:val="TableGrid"/>
        <w:tblW w:type="auto" w:w="0"/>
        <w:jc w:val="center"/>
        <w:tblLook w:firstColumn="1" w:firstRow="1" w:lastColumn="0" w:lastRow="0" w:noHBand="0" w:noVBand="1" w:val="04A0"/>
      </w:tblPr>
      <w:tblGrid>
        <w:gridCol w:w="3264"/>
        <w:gridCol w:w="3264"/>
        <w:gridCol w:w="3264"/>
      </w:tblGrid>
      <w:tr>
        <w:tc>
          <w:tcPr>
            <w:tcW w:type="dxa" w:w="4320"/>
            <w:shd w:val="clear" w:fill="1F3B57"/>
          </w:tcPr>
          <w:p>
            <w:r/>
            <w:r>
              <w:rPr>
                <w:b/>
                <w:color w:val="FFFFFF"/>
                <w:sz w:val="19"/>
              </w:rPr>
              <w:t>What was asked</w:t>
            </w:r>
          </w:p>
        </w:tc>
        <w:tc>
          <w:tcPr>
            <w:tcW w:type="dxa" w:w="3888"/>
            <w:shd w:val="clear" w:fill="1F3B57"/>
          </w:tcPr>
          <w:p>
            <w:r/>
            <w:r>
              <w:rPr>
                <w:b/>
                <w:color w:val="FFFFFF"/>
                <w:sz w:val="19"/>
              </w:rPr>
              <w:t>Delivered</w:t>
            </w:r>
          </w:p>
        </w:tc>
        <w:tc>
          <w:tcPr>
            <w:tcW w:type="dxa" w:w="1224"/>
            <w:shd w:val="clear" w:fill="1F3B57"/>
          </w:tcPr>
          <w:p>
            <w:r/>
            <w:r>
              <w:rPr>
                <w:b/>
                <w:color w:val="FFFFFF"/>
                <w:sz w:val="19"/>
              </w:rPr>
              <w:t>Status</w:t>
            </w:r>
          </w:p>
        </w:tc>
      </w:tr>
      <w:tr>
        <w:tc>
          <w:tcPr>
            <w:tcW w:type="dxa" w:w="4320"/>
          </w:tcPr>
          <w:p>
            <w:r/>
            <w:r>
              <w:rPr>
                <w:sz w:val="19"/>
              </w:rPr>
              <w:t>≥ 300 measurements recording the full field set (identifier, conditions, value, units, source)</w:t>
            </w:r>
          </w:p>
        </w:tc>
        <w:tc>
          <w:tcPr>
            <w:tcW w:type="dxa" w:w="3888"/>
          </w:tcPr>
          <w:p>
            <w:r/>
            <w:r>
              <w:rPr>
                <w:sz w:val="19"/>
              </w:rPr>
              <w:t>101 fully specified; 606 measurements in total</w:t>
            </w:r>
          </w:p>
        </w:tc>
        <w:tc>
          <w:tcPr>
            <w:tcW w:type="dxa" w:w="1224"/>
          </w:tcPr>
          <w:p>
            <w:r/>
            <w:r>
              <w:rPr>
                <w:sz w:val="19"/>
              </w:rPr>
              <w:t>Partial</w:t>
            </w:r>
          </w:p>
        </w:tc>
      </w:tr>
      <w:tr>
        <w:tc>
          <w:tcPr>
            <w:tcW w:type="dxa" w:w="4320"/>
            <w:shd w:val="clear" w:fill="F4F6F8"/>
          </w:tcPr>
          <w:p>
            <w:r/>
            <w:r>
              <w:rPr>
                <w:sz w:val="19"/>
              </w:rPr>
              <w:t>From 20+ papers</w:t>
            </w:r>
          </w:p>
        </w:tc>
        <w:tc>
          <w:tcPr>
            <w:tcW w:type="dxa" w:w="3888"/>
            <w:shd w:val="clear" w:fill="F4F6F8"/>
          </w:tcPr>
          <w:p>
            <w:r/>
            <w:r>
              <w:rPr>
                <w:sz w:val="19"/>
              </w:rPr>
              <w:t>99 articles overall; 18 contribute a fully specified row</w:t>
            </w:r>
          </w:p>
        </w:tc>
        <w:tc>
          <w:tcPr>
            <w:tcW w:type="dxa" w:w="1224"/>
            <w:shd w:val="clear" w:fill="F4F6F8"/>
          </w:tcPr>
          <w:p>
            <w:r/>
            <w:r>
              <w:rPr>
                <w:sz w:val="19"/>
              </w:rPr>
              <w:t>Not met</w:t>
            </w:r>
          </w:p>
        </w:tc>
      </w:tr>
      <w:tr>
        <w:tc>
          <w:tcPr>
            <w:tcW w:type="dxa" w:w="4320"/>
          </w:tcPr>
          <w:p>
            <w:r/>
            <w:r>
              <w:rPr>
                <w:sz w:val="19"/>
              </w:rPr>
              <w:t>≥ 100 entries manually verified against the papers</w:t>
            </w:r>
          </w:p>
        </w:tc>
        <w:tc>
          <w:tcPr>
            <w:tcW w:type="dxa" w:w="3888"/>
          </w:tcPr>
          <w:p>
            <w:r/>
            <w:r>
              <w:rPr>
                <w:sz w:val="19"/>
              </w:rPr>
              <w:t>110 read against source; all 606 machine-verified</w:t>
            </w:r>
          </w:p>
        </w:tc>
        <w:tc>
          <w:tcPr>
            <w:tcW w:type="dxa" w:w="1224"/>
          </w:tcPr>
          <w:p>
            <w:r/>
            <w:r>
              <w:rPr>
                <w:sz w:val="19"/>
              </w:rPr>
              <w:t>Met</w:t>
            </w:r>
          </w:p>
        </w:tc>
      </w:tr>
      <w:tr>
        <w:tc>
          <w:tcPr>
            <w:tcW w:type="dxa" w:w="4320"/>
            <w:shd w:val="clear" w:fill="F4F6F8"/>
          </w:tcPr>
          <w:p>
            <w:r/>
            <w:r>
              <w:rPr>
                <w:sz w:val="19"/>
              </w:rPr>
              <w:t>No overlap with the seven existing datasets</w:t>
            </w:r>
          </w:p>
        </w:tc>
        <w:tc>
          <w:tcPr>
            <w:tcW w:type="dxa" w:w="3888"/>
            <w:shd w:val="clear" w:fill="F4F6F8"/>
          </w:tcPr>
          <w:p>
            <w:r/>
            <w:r>
              <w:rPr>
                <w:sz w:val="19"/>
              </w:rPr>
              <w:t>0 rows</w:t>
            </w:r>
          </w:p>
        </w:tc>
        <w:tc>
          <w:tcPr>
            <w:tcW w:type="dxa" w:w="1224"/>
            <w:shd w:val="clear" w:fill="F4F6F8"/>
          </w:tcPr>
          <w:p>
            <w:r/>
            <w:r>
              <w:rPr>
                <w:sz w:val="19"/>
              </w:rPr>
              <w:t>Met</w:t>
            </w:r>
          </w:p>
        </w:tc>
      </w:tr>
      <w:tr>
        <w:tc>
          <w:tcPr>
            <w:tcW w:type="dxa" w:w="4320"/>
          </w:tcPr>
          <w:p>
            <w:r/>
            <w:r>
              <w:rPr>
                <w:sz w:val="19"/>
              </w:rPr>
              <w:t>No overlap with Luke's training dataset</w:t>
            </w:r>
          </w:p>
        </w:tc>
        <w:tc>
          <w:tcPr>
            <w:tcW w:type="dxa" w:w="3888"/>
          </w:tcPr>
          <w:p>
            <w:r/>
            <w:r>
              <w:rPr>
                <w:sz w:val="19"/>
              </w:rPr>
              <w:t>0 rows</w:t>
            </w:r>
          </w:p>
        </w:tc>
        <w:tc>
          <w:tcPr>
            <w:tcW w:type="dxa" w:w="1224"/>
          </w:tcPr>
          <w:p>
            <w:r/>
            <w:r>
              <w:rPr>
                <w:sz w:val="19"/>
              </w:rPr>
              <w:t>Met</w:t>
            </w:r>
          </w:p>
        </w:tc>
      </w:tr>
      <w:tr>
        <w:tc>
          <w:tcPr>
            <w:tcW w:type="dxa" w:w="4320"/>
            <w:shd w:val="clear" w:fill="F4F6F8"/>
          </w:tcPr>
          <w:p>
            <w:r/>
            <w:r>
              <w:rPr>
                <w:sz w:val="19"/>
              </w:rPr>
              <w:t>No synthetic / predicted / interpolated data</w:t>
            </w:r>
          </w:p>
        </w:tc>
        <w:tc>
          <w:tcPr>
            <w:tcW w:type="dxa" w:w="3888"/>
            <w:shd w:val="clear" w:fill="F4F6F8"/>
          </w:tcPr>
          <w:p>
            <w:r/>
            <w:r>
              <w:rPr>
                <w:sz w:val="19"/>
              </w:rPr>
              <w:t>Enforced at build time</w:t>
            </w:r>
          </w:p>
        </w:tc>
        <w:tc>
          <w:tcPr>
            <w:tcW w:type="dxa" w:w="1224"/>
            <w:shd w:val="clear" w:fill="F4F6F8"/>
          </w:tcPr>
          <w:p>
            <w:r/>
            <w:r>
              <w:rPr>
                <w:sz w:val="19"/>
              </w:rPr>
              <w:t>Met</w:t>
            </w:r>
          </w:p>
        </w:tc>
      </w:tr>
      <w:tr>
        <w:tc>
          <w:tcPr>
            <w:tcW w:type="dxa" w:w="4320"/>
          </w:tcPr>
          <w:p>
            <w:r/>
            <w:r>
              <w:rPr>
                <w:sz w:val="19"/>
              </w:rPr>
              <w:t>Temperature, pH, salts and ions covered</w:t>
            </w:r>
          </w:p>
        </w:tc>
        <w:tc>
          <w:tcPr>
            <w:tcW w:type="dxa" w:w="3888"/>
          </w:tcPr>
          <w:p>
            <w:r/>
            <w:r>
              <w:rPr>
                <w:sz w:val="19"/>
              </w:rPr>
              <w:t>T 234 · pH 105 · electrolyte 139</w:t>
            </w:r>
          </w:p>
        </w:tc>
        <w:tc>
          <w:tcPr>
            <w:tcW w:type="dxa" w:w="1224"/>
          </w:tcPr>
          <w:p>
            <w:r/>
            <w:r>
              <w:rPr>
                <w:sz w:val="19"/>
              </w:rPr>
              <w:t>Met</w:t>
            </w:r>
          </w:p>
        </w:tc>
      </w:tr>
      <w:tr>
        <w:tc>
          <w:tcPr>
            <w:tcW w:type="dxa" w:w="4320"/>
            <w:shd w:val="clear" w:fill="F4F6F8"/>
          </w:tcPr>
          <w:p>
            <w:r/>
            <w:r>
              <w:rPr>
                <w:sz w:val="19"/>
              </w:rPr>
              <w:t>Salinity and mixed-electrolyte conditions covered</w:t>
            </w:r>
          </w:p>
        </w:tc>
        <w:tc>
          <w:tcPr>
            <w:tcW w:type="dxa" w:w="3888"/>
            <w:shd w:val="clear" w:fill="F4F6F8"/>
          </w:tcPr>
          <w:p>
            <w:r/>
            <w:r>
              <w:rPr>
                <w:sz w:val="19"/>
              </w:rPr>
              <w:t>salinity 18 · mixed electrolyte 2</w:t>
            </w:r>
          </w:p>
        </w:tc>
        <w:tc>
          <w:tcPr>
            <w:tcW w:type="dxa" w:w="1224"/>
            <w:shd w:val="clear" w:fill="F4F6F8"/>
          </w:tcPr>
          <w:p>
            <w:r/>
            <w:r>
              <w:rPr>
                <w:sz w:val="19"/>
              </w:rPr>
              <w:t>Not met</w:t>
            </w:r>
          </w:p>
        </w:tc>
      </w:tr>
      <w:tr>
        <w:tc>
          <w:tcPr>
            <w:tcW w:type="dxa" w:w="4320"/>
          </w:tcPr>
          <w:p>
            <w:r/>
            <w:r>
              <w:rPr>
                <w:sz w:val="19"/>
              </w:rPr>
              <w:t>Kept separate for final testing only</w:t>
            </w:r>
          </w:p>
        </w:tc>
        <w:tc>
          <w:tcPr>
            <w:tcW w:type="dxa" w:w="3888"/>
          </w:tcPr>
          <w:p>
            <w:r/>
            <w:r>
              <w:rPr>
                <w:sz w:val="19"/>
              </w:rPr>
              <w:t>Not released to Sargun</w:t>
            </w:r>
          </w:p>
        </w:tc>
        <w:tc>
          <w:tcPr>
            <w:tcW w:type="dxa" w:w="1224"/>
          </w:tcPr>
          <w:p>
            <w:r/>
            <w:r>
              <w:rPr>
                <w:sz w:val="19"/>
              </w:rPr>
              <w:t>Pending her sign-off</w:t>
            </w:r>
          </w:p>
        </w:tc>
      </w:tr>
      <w:tr>
        <w:tc>
          <w:tcPr>
            <w:tcW w:type="dxa" w:w="4320"/>
            <w:shd w:val="clear" w:fill="F4F6F8"/>
          </w:tcPr>
          <w:p>
            <w:r/>
            <w:r>
              <w:rPr>
                <w:sz w:val="19"/>
              </w:rPr>
              <w:t>Split the workload evenly with Luke</w:t>
            </w:r>
          </w:p>
        </w:tc>
        <w:tc>
          <w:tcPr>
            <w:tcW w:type="dxa" w:w="3888"/>
            <w:shd w:val="clear" w:fill="F4F6F8"/>
          </w:tcPr>
          <w:p>
            <w:r/>
            <w:r>
              <w:rPr>
                <w:sz w:val="19"/>
              </w:rPr>
              <w:t>Not coordinated — built independently against his published outputs</w:t>
            </w:r>
          </w:p>
        </w:tc>
        <w:tc>
          <w:tcPr>
            <w:tcW w:type="dxa" w:w="1224"/>
            <w:shd w:val="clear" w:fill="F4F6F8"/>
          </w:tcPr>
          <w:p>
            <w:r/>
            <w:r>
              <w:rPr>
                <w:sz w:val="19"/>
              </w:rPr>
              <w:t>Not met</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8F4E8"/>
          </w:tcPr>
          <w:p>
            <w:r/>
            <w:r>
              <w:rPr>
                <w:b/>
                <w:color w:val="1F3B57"/>
                <w:sz w:val="20"/>
              </w:rPr>
              <w:t xml:space="preserve">Read the status column honestly.  </w:t>
            </w:r>
            <w:r>
              <w:rPr>
                <w:sz w:val="20"/>
              </w:rPr>
              <w:t>This benchmark contains 606 verified measurements, but only 101 of them carry a resolved protein identifier alongside a condition and a value — the combination the brief asks for. The shortfall is a sequence-resolution limit, not a data-quality one, and is explained in section 6. The remaining rows are real, verified measurements that a sequence model cannot consume.</w:t>
            </w:r>
          </w:p>
        </w:tc>
      </w:tr>
    </w:tbl>
    <w:p>
      <w:pPr>
        <w:spacing w:after="40"/>
      </w:pPr>
    </w:p>
    <w:p>
      <w:pPr>
        <w:pStyle w:val="Heading1"/>
        <w:spacing w:before="280" w:after="80"/>
      </w:pPr>
      <w:r>
        <w:rPr>
          <w:color w:val="1F3B57"/>
        </w:rPr>
        <w:t>2.  What the benchmark contains</w:t>
      </w:r>
    </w:p>
    <w:tbl>
      <w:tblPr>
        <w:tblStyle w:val="TableGrid"/>
        <w:tblW w:type="auto" w:w="0"/>
        <w:jc w:val="center"/>
        <w:tblLook w:firstColumn="1" w:firstRow="1" w:lastColumn="0" w:lastRow="0" w:noHBand="0" w:noVBand="1" w:val="04A0"/>
      </w:tblPr>
      <w:tblGrid>
        <w:gridCol w:w="4896"/>
        <w:gridCol w:w="4896"/>
      </w:tblGrid>
      <w:tr>
        <w:tc>
          <w:tcPr>
            <w:tcW w:type="dxa" w:w="6624"/>
            <w:shd w:val="clear" w:fill="1F3B57"/>
          </w:tcPr>
          <w:p>
            <w:r/>
            <w:r>
              <w:rPr>
                <w:b/>
                <w:color w:val="FFFFFF"/>
                <w:sz w:val="19"/>
              </w:rPr>
              <w:t>Metric</w:t>
            </w:r>
          </w:p>
        </w:tc>
        <w:tc>
          <w:tcPr>
            <w:tcW w:type="dxa" w:w="2016"/>
            <w:shd w:val="clear" w:fill="1F3B57"/>
          </w:tcPr>
          <w:p>
            <w:r/>
            <w:r>
              <w:rPr>
                <w:b/>
                <w:color w:val="FFFFFF"/>
                <w:sz w:val="19"/>
              </w:rPr>
              <w:t>Count</w:t>
            </w:r>
          </w:p>
        </w:tc>
      </w:tr>
      <w:tr>
        <w:tc>
          <w:tcPr>
            <w:tcW w:type="dxa" w:w="6624"/>
          </w:tcPr>
          <w:p>
            <w:r/>
            <w:r>
              <w:rPr>
                <w:sz w:val="19"/>
              </w:rPr>
              <w:t>Measurements shipped</w:t>
            </w:r>
          </w:p>
        </w:tc>
        <w:tc>
          <w:tcPr>
            <w:tcW w:type="dxa" w:w="2016"/>
          </w:tcPr>
          <w:p>
            <w:r/>
            <w:r>
              <w:rPr>
                <w:sz w:val="19"/>
              </w:rPr>
              <w:t>606</w:t>
            </w:r>
          </w:p>
        </w:tc>
      </w:tr>
      <w:tr>
        <w:tc>
          <w:tcPr>
            <w:tcW w:type="dxa" w:w="6624"/>
            <w:shd w:val="clear" w:fill="F4F6F8"/>
          </w:tcPr>
          <w:p>
            <w:r/>
            <w:r>
              <w:rPr>
                <w:sz w:val="19"/>
              </w:rPr>
              <w:t>Distinct source articles</w:t>
            </w:r>
          </w:p>
        </w:tc>
        <w:tc>
          <w:tcPr>
            <w:tcW w:type="dxa" w:w="2016"/>
            <w:shd w:val="clear" w:fill="F4F6F8"/>
          </w:tcPr>
          <w:p>
            <w:r/>
            <w:r>
              <w:rPr>
                <w:sz w:val="19"/>
              </w:rPr>
              <w:t>99</w:t>
            </w:r>
          </w:p>
        </w:tc>
      </w:tr>
      <w:tr>
        <w:tc>
          <w:tcPr>
            <w:tcW w:type="dxa" w:w="6624"/>
          </w:tcPr>
          <w:p>
            <w:r/>
            <w:r>
              <w:rPr>
                <w:sz w:val="19"/>
              </w:rPr>
              <w:t>Distinct proteins with a resolved sequence</w:t>
            </w:r>
          </w:p>
        </w:tc>
        <w:tc>
          <w:tcPr>
            <w:tcW w:type="dxa" w:w="2016"/>
          </w:tcPr>
          <w:p>
            <w:r/>
            <w:r>
              <w:rPr>
                <w:sz w:val="19"/>
              </w:rPr>
              <w:t>16</w:t>
            </w:r>
          </w:p>
        </w:tc>
      </w:tr>
      <w:tr>
        <w:tc>
          <w:tcPr>
            <w:tcW w:type="dxa" w:w="6624"/>
            <w:shd w:val="clear" w:fill="F4F6F8"/>
          </w:tcPr>
          <w:p>
            <w:r/>
            <w:r>
              <w:rPr>
                <w:sz w:val="19"/>
              </w:rPr>
              <w:t>Temperature recorded</w:t>
            </w:r>
          </w:p>
        </w:tc>
        <w:tc>
          <w:tcPr>
            <w:tcW w:type="dxa" w:w="2016"/>
            <w:shd w:val="clear" w:fill="F4F6F8"/>
          </w:tcPr>
          <w:p>
            <w:r/>
            <w:r>
              <w:rPr>
                <w:sz w:val="19"/>
              </w:rPr>
              <w:t>234</w:t>
            </w:r>
          </w:p>
        </w:tc>
      </w:tr>
      <w:tr>
        <w:tc>
          <w:tcPr>
            <w:tcW w:type="dxa" w:w="6624"/>
          </w:tcPr>
          <w:p>
            <w:r/>
            <w:r>
              <w:rPr>
                <w:sz w:val="19"/>
              </w:rPr>
              <w:t>pH recorded</w:t>
            </w:r>
          </w:p>
        </w:tc>
        <w:tc>
          <w:tcPr>
            <w:tcW w:type="dxa" w:w="2016"/>
          </w:tcPr>
          <w:p>
            <w:r/>
            <w:r>
              <w:rPr>
                <w:sz w:val="19"/>
              </w:rPr>
              <w:t>105</w:t>
            </w:r>
          </w:p>
        </w:tc>
      </w:tr>
      <w:tr>
        <w:tc>
          <w:tcPr>
            <w:tcW w:type="dxa" w:w="6624"/>
            <w:shd w:val="clear" w:fill="F4F6F8"/>
          </w:tcPr>
          <w:p>
            <w:r/>
            <w:r>
              <w:rPr>
                <w:sz w:val="19"/>
              </w:rPr>
              <w:t>Temperature and pH on the same row</w:t>
            </w:r>
          </w:p>
        </w:tc>
        <w:tc>
          <w:tcPr>
            <w:tcW w:type="dxa" w:w="2016"/>
            <w:shd w:val="clear" w:fill="F4F6F8"/>
          </w:tcPr>
          <w:p>
            <w:r/>
            <w:r>
              <w:rPr>
                <w:sz w:val="19"/>
              </w:rPr>
              <w:t>43</w:t>
            </w:r>
          </w:p>
        </w:tc>
      </w:tr>
      <w:tr>
        <w:tc>
          <w:tcPr>
            <w:tcW w:type="dxa" w:w="6624"/>
          </w:tcPr>
          <w:p>
            <w:r/>
            <w:r>
              <w:rPr>
                <w:sz w:val="19"/>
              </w:rPr>
              <w:t>Electrolyte conditions (salt / metal ion / salinity / ionic strength)</w:t>
            </w:r>
          </w:p>
        </w:tc>
        <w:tc>
          <w:tcPr>
            <w:tcW w:type="dxa" w:w="2016"/>
          </w:tcPr>
          <w:p>
            <w:r/>
            <w:r>
              <w:rPr>
                <w:sz w:val="19"/>
              </w:rPr>
              <w:t>139</w:t>
            </w:r>
          </w:p>
        </w:tc>
      </w:tr>
      <w:tr>
        <w:tc>
          <w:tcPr>
            <w:tcW w:type="dxa" w:w="6624"/>
            <w:shd w:val="clear" w:fill="F4F6F8"/>
          </w:tcPr>
          <w:p>
            <w:r/>
            <w:r>
              <w:rPr>
                <w:sz w:val="19"/>
              </w:rPr>
              <w:t>Ionic strength in molar</w:t>
            </w:r>
          </w:p>
        </w:tc>
        <w:tc>
          <w:tcPr>
            <w:tcW w:type="dxa" w:w="2016"/>
            <w:shd w:val="clear" w:fill="F4F6F8"/>
          </w:tcPr>
          <w:p>
            <w:r/>
            <w:r>
              <w:rPr>
                <w:sz w:val="19"/>
              </w:rPr>
              <w:t>27</w:t>
            </w:r>
          </w:p>
        </w:tc>
      </w:tr>
      <w:tr>
        <w:tc>
          <w:tcPr>
            <w:tcW w:type="dxa" w:w="6624"/>
          </w:tcPr>
          <w:p>
            <w:r/>
            <w:r>
              <w:rPr>
                <w:sz w:val="19"/>
              </w:rPr>
              <w:t>Named buffer system</w:t>
            </w:r>
          </w:p>
        </w:tc>
        <w:tc>
          <w:tcPr>
            <w:tcW w:type="dxa" w:w="2016"/>
          </w:tcPr>
          <w:p>
            <w:r/>
            <w:r>
              <w:rPr>
                <w:sz w:val="19"/>
              </w:rPr>
              <w:t>47</w:t>
            </w:r>
          </w:p>
        </w:tc>
      </w:tr>
      <w:tr>
        <w:tc>
          <w:tcPr>
            <w:tcW w:type="dxa" w:w="6624"/>
            <w:shd w:val="clear" w:fill="F4F6F8"/>
          </w:tcPr>
          <w:p>
            <w:r/>
            <w:r>
              <w:rPr>
                <w:sz w:val="19"/>
              </w:rPr>
              <w:t>Exposure / incubation time</w:t>
            </w:r>
          </w:p>
        </w:tc>
        <w:tc>
          <w:tcPr>
            <w:tcW w:type="dxa" w:w="2016"/>
            <w:shd w:val="clear" w:fill="F4F6F8"/>
          </w:tcPr>
          <w:p>
            <w:r/>
            <w:r>
              <w:rPr>
                <w:sz w:val="19"/>
              </w:rPr>
              <w:t>87</w:t>
            </w:r>
          </w:p>
        </w:tc>
      </w:tr>
      <w:tr>
        <w:tc>
          <w:tcPr>
            <w:tcW w:type="dxa" w:w="6624"/>
          </w:tcPr>
          <w:p>
            <w:r/>
            <w:r>
              <w:rPr>
                <w:sz w:val="19"/>
              </w:rPr>
              <w:t>Measurements on engineered variants</w:t>
            </w:r>
          </w:p>
        </w:tc>
        <w:tc>
          <w:tcPr>
            <w:tcW w:type="dxa" w:w="2016"/>
          </w:tcPr>
          <w:p>
            <w:r/>
            <w:r>
              <w:rPr>
                <w:sz w:val="19"/>
              </w:rPr>
              <w:t>17</w:t>
            </w:r>
          </w:p>
        </w:tc>
      </w:tr>
      <w:tr>
        <w:tc>
          <w:tcPr>
            <w:tcW w:type="dxa" w:w="6624"/>
            <w:shd w:val="clear" w:fill="F4F6F8"/>
          </w:tcPr>
          <w:p>
            <w:r/>
            <w:r>
              <w:rPr>
                <w:sz w:val="19"/>
              </w:rPr>
              <w:t>Distinct ionic species / distinct salts</w:t>
            </w:r>
          </w:p>
        </w:tc>
        <w:tc>
          <w:tcPr>
            <w:tcW w:type="dxa" w:w="2016"/>
            <w:shd w:val="clear" w:fill="F4F6F8"/>
          </w:tcPr>
          <w:p>
            <w:r/>
            <w:r>
              <w:rPr>
                <w:sz w:val="19"/>
              </w:rPr>
              <w:t>17 / 16</w:t>
            </w:r>
          </w:p>
        </w:tc>
      </w:tr>
    </w:tbl>
    <w:p>
      <w:pPr>
        <w:spacing w:after="40"/>
      </w:pPr>
    </w:p>
    <w:p>
      <w:pPr>
        <w:spacing w:after="60"/>
      </w:pPr>
      <w:r>
        <w:rPr>
          <w:b w:val="0"/>
          <w:i w:val="0"/>
          <w:color w:val="5A5A5A"/>
          <w:sz w:val="19"/>
        </w:rPr>
        <w:t>Ions covered: Na(+) (33), Ca(2+) (23), Mg(2+) (16), Cu(2+) (11), Zn(2+) (11), K(+) (8), Mn(2+) (8), Co(2+) (7), Fe(3+) (6), Ni(2+) (5), Fe(2+) (3), NH4(+) (2), Ba(2+) (2), Pb(2+) (1), Ag(+) (1), Hg(2+) (1), Li(+) (1)</w:t>
      </w:r>
    </w:p>
    <w:p>
      <w:pPr>
        <w:spacing w:after="200"/>
      </w:pPr>
      <w:r>
        <w:rPr>
          <w:b w:val="0"/>
          <w:i w:val="0"/>
          <w:color w:val="5A5A5A"/>
          <w:sz w:val="19"/>
        </w:rPr>
        <w:t>Salts covered: NaCl (28), CaCl2 (10), MgCl2 (5), KCl (3), CuSO4 (2), CuCl2 (2), FeCl3 (2), CoCl2 (2), ZnSO4 (2), ZnCl2 (2), MnCl2 (1), NiCl2 (1), HgCl2 (1), MgSO4 (1), MnSO4 (1), BaCl2 (1)</w:t>
      </w:r>
    </w:p>
    <w:p>
      <w:pPr>
        <w:pStyle w:val="Heading2"/>
        <w:spacing w:before="120" w:after="80"/>
      </w:pPr>
      <w:r>
        <w:rPr>
          <w:color w:val="1F3B57"/>
        </w:rPr>
        <w:t>Measurement types</w:t>
      </w:r>
    </w:p>
    <w:tbl>
      <w:tblPr>
        <w:tblStyle w:val="TableGrid"/>
        <w:tblW w:type="auto" w:w="0"/>
        <w:jc w:val="center"/>
        <w:tblLook w:firstColumn="1" w:firstRow="1" w:lastColumn="0" w:lastRow="0" w:noHBand="0" w:noVBand="1" w:val="04A0"/>
      </w:tblPr>
      <w:tblGrid>
        <w:gridCol w:w="4896"/>
        <w:gridCol w:w="4896"/>
      </w:tblGrid>
      <w:tr>
        <w:tc>
          <w:tcPr>
            <w:tcW w:type="dxa" w:w="6624"/>
            <w:shd w:val="clear" w:fill="1F3B57"/>
          </w:tcPr>
          <w:p>
            <w:r/>
            <w:r>
              <w:rPr>
                <w:b/>
                <w:color w:val="FFFFFF"/>
                <w:sz w:val="19"/>
              </w:rPr>
              <w:t>Type</w:t>
            </w:r>
          </w:p>
        </w:tc>
        <w:tc>
          <w:tcPr>
            <w:tcW w:type="dxa" w:w="2016"/>
            <w:shd w:val="clear" w:fill="1F3B57"/>
          </w:tcPr>
          <w:p>
            <w:r/>
            <w:r>
              <w:rPr>
                <w:b/>
                <w:color w:val="FFFFFF"/>
                <w:sz w:val="19"/>
              </w:rPr>
              <w:t>Rows</w:t>
            </w:r>
          </w:p>
        </w:tc>
      </w:tr>
      <w:tr>
        <w:tc>
          <w:tcPr>
            <w:tcW w:type="dxa" w:w="6624"/>
          </w:tcPr>
          <w:p>
            <w:r/>
            <w:r>
              <w:rPr>
                <w:sz w:val="19"/>
              </w:rPr>
              <w:t>thermostability</w:t>
            </w:r>
          </w:p>
        </w:tc>
        <w:tc>
          <w:tcPr>
            <w:tcW w:type="dxa" w:w="2016"/>
          </w:tcPr>
          <w:p>
            <w:r/>
            <w:r>
              <w:rPr>
                <w:sz w:val="19"/>
              </w:rPr>
              <w:t>152</w:t>
            </w:r>
          </w:p>
        </w:tc>
      </w:tr>
      <w:tr>
        <w:tc>
          <w:tcPr>
            <w:tcW w:type="dxa" w:w="6624"/>
            <w:shd w:val="clear" w:fill="F4F6F8"/>
          </w:tcPr>
          <w:p>
            <w:r/>
            <w:r>
              <w:rPr>
                <w:sz w:val="19"/>
              </w:rPr>
              <w:t>relative activity</w:t>
            </w:r>
          </w:p>
        </w:tc>
        <w:tc>
          <w:tcPr>
            <w:tcW w:type="dxa" w:w="2016"/>
            <w:shd w:val="clear" w:fill="F4F6F8"/>
          </w:tcPr>
          <w:p>
            <w:r/>
            <w:r>
              <w:rPr>
                <w:sz w:val="19"/>
              </w:rPr>
              <w:t>130</w:t>
            </w:r>
          </w:p>
        </w:tc>
      </w:tr>
      <w:tr>
        <w:tc>
          <w:tcPr>
            <w:tcW w:type="dxa" w:w="6624"/>
          </w:tcPr>
          <w:p>
            <w:r/>
            <w:r>
              <w:rPr>
                <w:sz w:val="19"/>
              </w:rPr>
              <w:t>salt effect</w:t>
            </w:r>
          </w:p>
        </w:tc>
        <w:tc>
          <w:tcPr>
            <w:tcW w:type="dxa" w:w="2016"/>
          </w:tcPr>
          <w:p>
            <w:r/>
            <w:r>
              <w:rPr>
                <w:sz w:val="19"/>
              </w:rPr>
              <w:t>111</w:t>
            </w:r>
          </w:p>
        </w:tc>
      </w:tr>
      <w:tr>
        <w:tc>
          <w:tcPr>
            <w:tcW w:type="dxa" w:w="6624"/>
            <w:shd w:val="clear" w:fill="F4F6F8"/>
          </w:tcPr>
          <w:p>
            <w:r/>
            <w:r>
              <w:rPr>
                <w:sz w:val="19"/>
              </w:rPr>
              <w:t>temperature optimum</w:t>
            </w:r>
          </w:p>
        </w:tc>
        <w:tc>
          <w:tcPr>
            <w:tcW w:type="dxa" w:w="2016"/>
            <w:shd w:val="clear" w:fill="F4F6F8"/>
          </w:tcPr>
          <w:p>
            <w:r/>
            <w:r>
              <w:rPr>
                <w:sz w:val="19"/>
              </w:rPr>
              <w:t>59</w:t>
            </w:r>
          </w:p>
        </w:tc>
      </w:tr>
      <w:tr>
        <w:tc>
          <w:tcPr>
            <w:tcW w:type="dxa" w:w="6624"/>
          </w:tcPr>
          <w:p>
            <w:r/>
            <w:r>
              <w:rPr>
                <w:sz w:val="19"/>
              </w:rPr>
              <w:t>pH stability</w:t>
            </w:r>
          </w:p>
        </w:tc>
        <w:tc>
          <w:tcPr>
            <w:tcW w:type="dxa" w:w="2016"/>
          </w:tcPr>
          <w:p>
            <w:r/>
            <w:r>
              <w:rPr>
                <w:sz w:val="19"/>
              </w:rPr>
              <w:t>45</w:t>
            </w:r>
          </w:p>
        </w:tc>
      </w:tr>
      <w:tr>
        <w:tc>
          <w:tcPr>
            <w:tcW w:type="dxa" w:w="6624"/>
            <w:shd w:val="clear" w:fill="F4F6F8"/>
          </w:tcPr>
          <w:p>
            <w:r/>
            <w:r>
              <w:rPr>
                <w:sz w:val="19"/>
              </w:rPr>
              <w:t>inhibition</w:t>
            </w:r>
          </w:p>
        </w:tc>
        <w:tc>
          <w:tcPr>
            <w:tcW w:type="dxa" w:w="2016"/>
            <w:shd w:val="clear" w:fill="F4F6F8"/>
          </w:tcPr>
          <w:p>
            <w:r/>
            <w:r>
              <w:rPr>
                <w:sz w:val="19"/>
              </w:rPr>
              <w:t>41</w:t>
            </w:r>
          </w:p>
        </w:tc>
      </w:tr>
      <w:tr>
        <w:tc>
          <w:tcPr>
            <w:tcW w:type="dxa" w:w="6624"/>
          </w:tcPr>
          <w:p>
            <w:r/>
            <w:r>
              <w:rPr>
                <w:sz w:val="19"/>
              </w:rPr>
              <w:t>pH optimum</w:t>
            </w:r>
          </w:p>
        </w:tc>
        <w:tc>
          <w:tcPr>
            <w:tcW w:type="dxa" w:w="2016"/>
          </w:tcPr>
          <w:p>
            <w:r/>
            <w:r>
              <w:rPr>
                <w:sz w:val="19"/>
              </w:rPr>
              <w:t>37</w:t>
            </w:r>
          </w:p>
        </w:tc>
      </w:tr>
      <w:tr>
        <w:tc>
          <w:tcPr>
            <w:tcW w:type="dxa" w:w="6624"/>
            <w:shd w:val="clear" w:fill="F4F6F8"/>
          </w:tcPr>
          <w:p>
            <w:r/>
            <w:r>
              <w:rPr>
                <w:sz w:val="19"/>
              </w:rPr>
              <w:t>kinetic constant</w:t>
            </w:r>
          </w:p>
        </w:tc>
        <w:tc>
          <w:tcPr>
            <w:tcW w:type="dxa" w:w="2016"/>
            <w:shd w:val="clear" w:fill="F4F6F8"/>
          </w:tcPr>
          <w:p>
            <w:r/>
            <w:r>
              <w:rPr>
                <w:sz w:val="19"/>
              </w:rPr>
              <w:t>16</w:t>
            </w:r>
          </w:p>
        </w:tc>
      </w:tr>
      <w:tr>
        <w:tc>
          <w:tcPr>
            <w:tcW w:type="dxa" w:w="6624"/>
          </w:tcPr>
          <w:p>
            <w:r/>
            <w:r>
              <w:rPr>
                <w:sz w:val="19"/>
              </w:rPr>
              <w:t>specific activity</w:t>
            </w:r>
          </w:p>
        </w:tc>
        <w:tc>
          <w:tcPr>
            <w:tcW w:type="dxa" w:w="2016"/>
          </w:tcPr>
          <w:p>
            <w:r/>
            <w:r>
              <w:rPr>
                <w:sz w:val="19"/>
              </w:rPr>
              <w:t>13</w:t>
            </w:r>
          </w:p>
        </w:tc>
      </w:tr>
      <w:tr>
        <w:tc>
          <w:tcPr>
            <w:tcW w:type="dxa" w:w="6624"/>
            <w:shd w:val="clear" w:fill="F4F6F8"/>
          </w:tcPr>
          <w:p>
            <w:r/>
            <w:r>
              <w:rPr>
                <w:sz w:val="19"/>
              </w:rPr>
              <w:t>salinity effect</w:t>
            </w:r>
          </w:p>
        </w:tc>
        <w:tc>
          <w:tcPr>
            <w:tcW w:type="dxa" w:w="2016"/>
            <w:shd w:val="clear" w:fill="F4F6F8"/>
          </w:tcPr>
          <w:p>
            <w:r/>
            <w:r>
              <w:rPr>
                <w:sz w:val="19"/>
              </w:rPr>
              <w:t>1</w:t>
            </w:r>
          </w:p>
        </w:tc>
      </w:tr>
      <w:tr>
        <w:tc>
          <w:tcPr>
            <w:tcW w:type="dxa" w:w="6624"/>
          </w:tcPr>
          <w:p>
            <w:r/>
            <w:r>
              <w:rPr>
                <w:sz w:val="19"/>
              </w:rPr>
              <w:t>ionic strength effect</w:t>
            </w:r>
          </w:p>
        </w:tc>
        <w:tc>
          <w:tcPr>
            <w:tcW w:type="dxa" w:w="2016"/>
          </w:tcPr>
          <w:p>
            <w:r/>
            <w:r>
              <w:rPr>
                <w:sz w:val="19"/>
              </w:rPr>
              <w:t>1</w:t>
            </w:r>
          </w:p>
        </w:tc>
      </w:tr>
    </w:tbl>
    <w:p>
      <w:pPr>
        <w:spacing w:after="40"/>
      </w:pPr>
    </w:p>
    <w:p>
      <w:r>
        <w:br w:type="page"/>
      </w:r>
    </w:p>
    <w:p>
      <w:pPr>
        <w:pStyle w:val="Heading1"/>
        <w:spacing w:before="0" w:after="80"/>
      </w:pPr>
      <w:r>
        <w:rPr>
          <w:color w:val="1F3B57"/>
        </w:rPr>
        <w:t>3.  How overlap was excluded</w:t>
      </w:r>
    </w:p>
    <w:p>
      <w:pPr>
        <w:spacing w:after="120"/>
      </w:pPr>
      <w:r>
        <w:rPr>
          <w:b w:val="0"/>
          <w:i w:val="0"/>
          <w:sz w:val="21"/>
        </w:rPr>
        <w:t>Every candidate measurement was screened against an index built from all seven shared datasets, Luke's Week-2 training dataset, Luke's Week-1 pH database, and my own Week-1 conditions database.</w:t>
      </w:r>
    </w:p>
    <w:tbl>
      <w:tblPr>
        <w:tblStyle w:val="TableGrid"/>
        <w:tblW w:type="auto" w:w="0"/>
        <w:jc w:val="center"/>
        <w:tblLook w:firstColumn="1" w:firstRow="1" w:lastColumn="0" w:lastRow="0" w:noHBand="0" w:noVBand="1" w:val="04A0"/>
      </w:tblPr>
      <w:tblGrid>
        <w:gridCol w:w="3264"/>
        <w:gridCol w:w="3264"/>
        <w:gridCol w:w="3264"/>
      </w:tblGrid>
      <w:tr>
        <w:tc>
          <w:tcPr>
            <w:tcW w:type="dxa" w:w="576"/>
            <w:shd w:val="clear" w:fill="1F3B57"/>
          </w:tcPr>
          <w:p>
            <w:r/>
            <w:r>
              <w:rPr>
                <w:b/>
                <w:color w:val="FFFFFF"/>
                <w:sz w:val="19"/>
              </w:rPr>
              <w:t>#</w:t>
            </w:r>
          </w:p>
        </w:tc>
        <w:tc>
          <w:tcPr>
            <w:tcW w:type="dxa" w:w="5904"/>
            <w:shd w:val="clear" w:fill="1F3B57"/>
          </w:tcPr>
          <w:p>
            <w:r/>
            <w:r>
              <w:rPr>
                <w:b/>
                <w:color w:val="FFFFFF"/>
                <w:sz w:val="19"/>
              </w:rPr>
              <w:t>Dataset screened against</w:t>
            </w:r>
          </w:p>
        </w:tc>
        <w:tc>
          <w:tcPr>
            <w:tcW w:type="dxa" w:w="2160"/>
            <w:shd w:val="clear" w:fill="1F3B57"/>
          </w:tcPr>
          <w:p>
            <w:r/>
            <w:r>
              <w:rPr>
                <w:b/>
                <w:color w:val="FFFFFF"/>
                <w:sz w:val="19"/>
              </w:rPr>
              <w:t>Records indexed</w:t>
            </w:r>
          </w:p>
        </w:tc>
      </w:tr>
      <w:tr>
        <w:tc>
          <w:tcPr>
            <w:tcW w:type="dxa" w:w="576"/>
          </w:tcPr>
          <w:p>
            <w:r/>
            <w:r>
              <w:rPr>
                <w:sz w:val="19"/>
              </w:rPr>
              <w:t>1</w:t>
            </w:r>
          </w:p>
        </w:tc>
        <w:tc>
          <w:tcPr>
            <w:tcW w:type="dxa" w:w="5904"/>
          </w:tcPr>
          <w:p>
            <w:r/>
            <w:r>
              <w:rPr>
                <w:sz w:val="19"/>
              </w:rPr>
              <w:t>Training set 1 — Tsuboyama2023</w:t>
            </w:r>
          </w:p>
        </w:tc>
        <w:tc>
          <w:tcPr>
            <w:tcW w:type="dxa" w:w="2160"/>
          </w:tcPr>
          <w:p>
            <w:r/>
            <w:r>
              <w:rPr>
                <w:sz w:val="19"/>
              </w:rPr>
              <w:t>250,000</w:t>
            </w:r>
          </w:p>
        </w:tc>
      </w:tr>
      <w:tr>
        <w:tc>
          <w:tcPr>
            <w:tcW w:type="dxa" w:w="576"/>
            <w:shd w:val="clear" w:fill="F4F6F8"/>
          </w:tcPr>
          <w:p>
            <w:r/>
            <w:r>
              <w:rPr>
                <w:sz w:val="19"/>
              </w:rPr>
              <w:t>2</w:t>
            </w:r>
          </w:p>
        </w:tc>
        <w:tc>
          <w:tcPr>
            <w:tcW w:type="dxa" w:w="5904"/>
            <w:shd w:val="clear" w:fill="F4F6F8"/>
          </w:tcPr>
          <w:p>
            <w:r/>
            <w:r>
              <w:rPr>
                <w:sz w:val="19"/>
              </w:rPr>
              <w:t>Training set 2 — Domainome</w:t>
            </w:r>
          </w:p>
        </w:tc>
        <w:tc>
          <w:tcPr>
            <w:tcW w:type="dxa" w:w="2160"/>
            <w:shd w:val="clear" w:fill="F4F6F8"/>
          </w:tcPr>
          <w:p>
            <w:r/>
            <w:r>
              <w:rPr>
                <w:sz w:val="19"/>
              </w:rPr>
              <w:t>250,000</w:t>
            </w:r>
          </w:p>
        </w:tc>
      </w:tr>
      <w:tr>
        <w:tc>
          <w:tcPr>
            <w:tcW w:type="dxa" w:w="576"/>
          </w:tcPr>
          <w:p>
            <w:r/>
            <w:r>
              <w:rPr>
                <w:sz w:val="19"/>
              </w:rPr>
              <w:t>3</w:t>
            </w:r>
          </w:p>
        </w:tc>
        <w:tc>
          <w:tcPr>
            <w:tcW w:type="dxa" w:w="5904"/>
          </w:tcPr>
          <w:p>
            <w:r/>
            <w:r>
              <w:rPr>
                <w:sz w:val="19"/>
              </w:rPr>
              <w:t>Training set 3 — Domainome</w:t>
            </w:r>
          </w:p>
        </w:tc>
        <w:tc>
          <w:tcPr>
            <w:tcW w:type="dxa" w:w="2160"/>
          </w:tcPr>
          <w:p>
            <w:r/>
            <w:r>
              <w:rPr>
                <w:sz w:val="19"/>
              </w:rPr>
              <w:t>207,943</w:t>
            </w:r>
          </w:p>
        </w:tc>
      </w:tr>
      <w:tr>
        <w:tc>
          <w:tcPr>
            <w:tcW w:type="dxa" w:w="576"/>
            <w:shd w:val="clear" w:fill="F4F6F8"/>
          </w:tcPr>
          <w:p>
            <w:r/>
            <w:r>
              <w:rPr>
                <w:sz w:val="19"/>
              </w:rPr>
              <w:t>4</w:t>
            </w:r>
          </w:p>
        </w:tc>
        <w:tc>
          <w:tcPr>
            <w:tcW w:type="dxa" w:w="5904"/>
            <w:shd w:val="clear" w:fill="F4F6F8"/>
          </w:tcPr>
          <w:p>
            <w:r/>
            <w:r>
              <w:rPr>
                <w:sz w:val="19"/>
              </w:rPr>
              <w:t>Training set 4 — Tsuboyama2023_double</w:t>
            </w:r>
          </w:p>
        </w:tc>
        <w:tc>
          <w:tcPr>
            <w:tcW w:type="dxa" w:w="2160"/>
            <w:shd w:val="clear" w:fill="F4F6F8"/>
          </w:tcPr>
          <w:p>
            <w:r/>
            <w:r>
              <w:rPr>
                <w:sz w:val="19"/>
              </w:rPr>
              <w:t>138,275</w:t>
            </w:r>
          </w:p>
        </w:tc>
      </w:tr>
      <w:tr>
        <w:tc>
          <w:tcPr>
            <w:tcW w:type="dxa" w:w="576"/>
          </w:tcPr>
          <w:p>
            <w:r/>
            <w:r>
              <w:rPr>
                <w:sz w:val="19"/>
              </w:rPr>
              <w:t>5</w:t>
            </w:r>
          </w:p>
        </w:tc>
        <w:tc>
          <w:tcPr>
            <w:tcW w:type="dxa" w:w="5904"/>
          </w:tcPr>
          <w:p>
            <w:r/>
            <w:r>
              <w:rPr>
                <w:sz w:val="19"/>
              </w:rPr>
              <w:t>Training set 5 — Tsuboyama2023</w:t>
            </w:r>
          </w:p>
        </w:tc>
        <w:tc>
          <w:tcPr>
            <w:tcW w:type="dxa" w:w="2160"/>
          </w:tcPr>
          <w:p>
            <w:r/>
            <w:r>
              <w:rPr>
                <w:sz w:val="19"/>
              </w:rPr>
              <w:t>107,155</w:t>
            </w:r>
          </w:p>
        </w:tc>
      </w:tr>
      <w:tr>
        <w:tc>
          <w:tcPr>
            <w:tcW w:type="dxa" w:w="576"/>
            <w:shd w:val="clear" w:fill="F4F6F8"/>
          </w:tcPr>
          <w:p>
            <w:r/>
            <w:r>
              <w:rPr>
                <w:sz w:val="19"/>
              </w:rPr>
              <w:t>6</w:t>
            </w:r>
          </w:p>
        </w:tc>
        <w:tc>
          <w:tcPr>
            <w:tcW w:type="dxa" w:w="5904"/>
            <w:shd w:val="clear" w:fill="F4F6F8"/>
          </w:tcPr>
          <w:p>
            <w:r/>
            <w:r>
              <w:rPr>
                <w:sz w:val="19"/>
              </w:rPr>
              <w:t>Training set 6 — Meltome</w:t>
            </w:r>
          </w:p>
        </w:tc>
        <w:tc>
          <w:tcPr>
            <w:tcW w:type="dxa" w:w="2160"/>
            <w:shd w:val="clear" w:fill="F4F6F8"/>
          </w:tcPr>
          <w:p>
            <w:r/>
            <w:r>
              <w:rPr>
                <w:sz w:val="19"/>
              </w:rPr>
              <w:t>27,884</w:t>
            </w:r>
          </w:p>
        </w:tc>
      </w:tr>
      <w:tr>
        <w:tc>
          <w:tcPr>
            <w:tcW w:type="dxa" w:w="576"/>
          </w:tcPr>
          <w:p>
            <w:r/>
            <w:r>
              <w:rPr>
                <w:sz w:val="19"/>
              </w:rPr>
              <w:t>7</w:t>
            </w:r>
          </w:p>
        </w:tc>
        <w:tc>
          <w:tcPr>
            <w:tcW w:type="dxa" w:w="5904"/>
          </w:tcPr>
          <w:p>
            <w:r/>
            <w:r>
              <w:rPr>
                <w:sz w:val="19"/>
              </w:rPr>
              <w:t>Benchmark data set — S669</w:t>
            </w:r>
          </w:p>
        </w:tc>
        <w:tc>
          <w:tcPr>
            <w:tcW w:type="dxa" w:w="2160"/>
          </w:tcPr>
          <w:p>
            <w:r/>
            <w:r>
              <w:rPr>
                <w:sz w:val="19"/>
              </w:rPr>
              <w:t>658</w:t>
            </w:r>
          </w:p>
        </w:tc>
      </w:tr>
      <w:tr>
        <w:tc>
          <w:tcPr>
            <w:tcW w:type="dxa" w:w="576"/>
            <w:shd w:val="clear" w:fill="F4F6F8"/>
          </w:tcPr>
          <w:p>
            <w:r/>
            <w:r>
              <w:rPr>
                <w:sz w:val="19"/>
              </w:rPr>
              <w:t>8</w:t>
            </w:r>
          </w:p>
        </w:tc>
        <w:tc>
          <w:tcPr>
            <w:tcW w:type="dxa" w:w="5904"/>
            <w:shd w:val="clear" w:fill="F4F6F8"/>
          </w:tcPr>
          <w:p>
            <w:r/>
            <w:r>
              <w:rPr>
                <w:sz w:val="19"/>
              </w:rPr>
              <w:t>Luke Week-2 training dataset (proteins + records)</w:t>
            </w:r>
          </w:p>
        </w:tc>
        <w:tc>
          <w:tcPr>
            <w:tcW w:type="dxa" w:w="2160"/>
            <w:shd w:val="clear" w:fill="F4F6F8"/>
          </w:tcPr>
          <w:p>
            <w:r/>
            <w:r>
              <w:rPr>
                <w:sz w:val="19"/>
              </w:rPr>
              <w:t>37,448 / 563,076</w:t>
            </w:r>
          </w:p>
        </w:tc>
      </w:tr>
      <w:tr>
        <w:tc>
          <w:tcPr>
            <w:tcW w:type="dxa" w:w="576"/>
          </w:tcPr>
          <w:p>
            <w:r/>
            <w:r>
              <w:rPr>
                <w:sz w:val="19"/>
              </w:rPr>
              <w:t>9</w:t>
            </w:r>
          </w:p>
        </w:tc>
        <w:tc>
          <w:tcPr>
            <w:tcW w:type="dxa" w:w="5904"/>
          </w:tcPr>
          <w:p>
            <w:r/>
            <w:r>
              <w:rPr>
                <w:sz w:val="19"/>
              </w:rPr>
              <w:t>Luke Week-1 pH database</w:t>
            </w:r>
          </w:p>
        </w:tc>
        <w:tc>
          <w:tcPr>
            <w:tcW w:type="dxa" w:w="2160"/>
          </w:tcPr>
          <w:p>
            <w:r/>
            <w:r>
              <w:rPr>
                <w:sz w:val="19"/>
              </w:rPr>
              <w:t>12,082</w:t>
            </w:r>
          </w:p>
        </w:tc>
      </w:tr>
      <w:tr>
        <w:tc>
          <w:tcPr>
            <w:tcW w:type="dxa" w:w="576"/>
            <w:shd w:val="clear" w:fill="F4F6F8"/>
          </w:tcPr>
          <w:p>
            <w:r/>
            <w:r>
              <w:rPr>
                <w:sz w:val="19"/>
              </w:rPr>
              <w:t>10</w:t>
            </w:r>
          </w:p>
        </w:tc>
        <w:tc>
          <w:tcPr>
            <w:tcW w:type="dxa" w:w="5904"/>
            <w:shd w:val="clear" w:fill="F4F6F8"/>
          </w:tcPr>
          <w:p>
            <w:r/>
            <w:r>
              <w:rPr>
                <w:sz w:val="19"/>
              </w:rPr>
              <w:t>Aryan Week-1 conditions database</w:t>
            </w:r>
          </w:p>
        </w:tc>
        <w:tc>
          <w:tcPr>
            <w:tcW w:type="dxa" w:w="2160"/>
            <w:shd w:val="clear" w:fill="F4F6F8"/>
          </w:tcPr>
          <w:p>
            <w:r/>
            <w:r>
              <w:rPr>
                <w:sz w:val="19"/>
              </w:rPr>
              <w:t>25,340</w:t>
            </w:r>
          </w:p>
        </w:tc>
      </w:tr>
    </w:tbl>
    <w:p>
      <w:pPr>
        <w:spacing w:after="40"/>
      </w:pPr>
    </w:p>
    <w:p>
      <w:pPr>
        <w:spacing w:after="60"/>
      </w:pPr>
      <w:r>
        <w:rPr>
          <w:b w:val="0"/>
          <w:i w:val="0"/>
          <w:sz w:val="21"/>
        </w:rPr>
        <w:t>The resulting index holds:</w:t>
      </w:r>
    </w:p>
    <w:p>
      <w:pPr>
        <w:pStyle w:val="ListBullet"/>
        <w:spacing w:after="60"/>
      </w:pPr>
      <w:r>
        <w:rPr>
          <w:b w:val="0"/>
          <w:i w:val="0"/>
          <w:sz w:val="21"/>
        </w:rPr>
        <w:t>970,289 distinct protein sequences (SHA-1) and 970,289 protein_ids in Luke's exact hash format</w:t>
      </w:r>
    </w:p>
    <w:p>
      <w:pPr>
        <w:pStyle w:val="ListBullet"/>
        <w:spacing w:after="60"/>
      </w:pPr>
      <w:r>
        <w:rPr>
          <w:b w:val="0"/>
          <w:i w:val="0"/>
          <w:sz w:val="21"/>
        </w:rPr>
        <w:t>16,297 UniProt accessions  ·  6,941 paper identifiers (PMID/PMCID)</w:t>
      </w:r>
    </w:p>
    <w:p>
      <w:pPr>
        <w:pStyle w:val="ListBullet"/>
        <w:spacing w:after="60"/>
      </w:pPr>
      <w:r>
        <w:rPr>
          <w:b w:val="0"/>
          <w:i w:val="0"/>
          <w:sz w:val="21"/>
        </w:rPr>
        <w:t>1,579,354 measurement fingerprints  ·  89 PDB codes from S669</w:t>
      </w:r>
    </w:p>
    <w:p>
      <w:pPr>
        <w:pStyle w:val="Heading2"/>
        <w:spacing w:before="280" w:after="80"/>
      </w:pPr>
      <w:r>
        <w:rPr>
          <w:color w:val="1F3B57"/>
        </w:rPr>
        <w:t>The seven screens</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1F3B57"/>
          </w:tcPr>
          <w:p>
            <w:r/>
            <w:r>
              <w:rPr>
                <w:b/>
                <w:color w:val="FFFFFF"/>
                <w:sz w:val="19"/>
              </w:rPr>
              <w:t>Screen</w:t>
            </w:r>
          </w:p>
        </w:tc>
        <w:tc>
          <w:tcPr>
            <w:tcW w:type="dxa" w:w="5040"/>
            <w:shd w:val="clear" w:fill="1F3B57"/>
          </w:tcPr>
          <w:p>
            <w:r/>
            <w:r>
              <w:rPr>
                <w:b/>
                <w:color w:val="FFFFFF"/>
                <w:sz w:val="19"/>
              </w:rPr>
              <w:t>What it compares</w:t>
            </w:r>
          </w:p>
        </w:tc>
        <w:tc>
          <w:tcPr>
            <w:tcW w:type="dxa" w:w="1368"/>
            <w:shd w:val="clear" w:fill="1F3B57"/>
          </w:tcPr>
          <w:p>
            <w:r/>
            <w:r>
              <w:rPr>
                <w:b/>
                <w:color w:val="FFFFFF"/>
                <w:sz w:val="19"/>
              </w:rPr>
              <w:t>Fired on</w:t>
            </w:r>
          </w:p>
        </w:tc>
      </w:tr>
      <w:tr>
        <w:tc>
          <w:tcPr>
            <w:tcW w:type="dxa" w:w="2160"/>
          </w:tcPr>
          <w:p>
            <w:r/>
            <w:r>
              <w:rPr>
                <w:sz w:val="19"/>
              </w:rPr>
              <w:t>S1  sequence identity</w:t>
            </w:r>
          </w:p>
        </w:tc>
        <w:tc>
          <w:tcPr>
            <w:tcW w:type="dxa" w:w="5040"/>
          </w:tcPr>
          <w:p>
            <w:r/>
            <w:r>
              <w:rPr>
                <w:sz w:val="19"/>
              </w:rPr>
              <w:t>SHA-1 of the resolved sequence vs every indexed sequence</w:t>
            </w:r>
          </w:p>
        </w:tc>
        <w:tc>
          <w:tcPr>
            <w:tcW w:type="dxa" w:w="1368"/>
          </w:tcPr>
          <w:p>
            <w:r/>
            <w:r>
              <w:rPr>
                <w:sz w:val="19"/>
              </w:rPr>
              <w:t>106</w:t>
            </w:r>
          </w:p>
        </w:tc>
      </w:tr>
      <w:tr>
        <w:tc>
          <w:tcPr>
            <w:tcW w:type="dxa" w:w="2160"/>
            <w:shd w:val="clear" w:fill="F4F6F8"/>
          </w:tcPr>
          <w:p>
            <w:r/>
            <w:r>
              <w:rPr>
                <w:sz w:val="19"/>
              </w:rPr>
              <w:t>S2  Luke join key</w:t>
            </w:r>
          </w:p>
        </w:tc>
        <w:tc>
          <w:tcPr>
            <w:tcW w:type="dxa" w:w="5040"/>
            <w:shd w:val="clear" w:fill="F4F6F8"/>
          </w:tcPr>
          <w:p>
            <w:r/>
            <w:r>
              <w:rPr>
                <w:sz w:val="19"/>
              </w:rPr>
              <w:t>protein_id vs his train/test split</w:t>
            </w:r>
          </w:p>
        </w:tc>
        <w:tc>
          <w:tcPr>
            <w:tcW w:type="dxa" w:w="1368"/>
            <w:shd w:val="clear" w:fill="F4F6F8"/>
          </w:tcPr>
          <w:p>
            <w:r/>
            <w:r>
              <w:rPr>
                <w:sz w:val="19"/>
              </w:rPr>
              <w:t>106</w:t>
            </w:r>
          </w:p>
        </w:tc>
      </w:tr>
      <w:tr>
        <w:tc>
          <w:tcPr>
            <w:tcW w:type="dxa" w:w="2160"/>
          </w:tcPr>
          <w:p>
            <w:r/>
            <w:r>
              <w:rPr>
                <w:sz w:val="19"/>
              </w:rPr>
              <w:t>S3  UniProt accession</w:t>
            </w:r>
          </w:p>
        </w:tc>
        <w:tc>
          <w:tcPr>
            <w:tcW w:type="dxa" w:w="5040"/>
          </w:tcPr>
          <w:p>
            <w:r/>
            <w:r>
              <w:rPr>
                <w:sz w:val="19"/>
              </w:rPr>
              <w:t>accession vs every prior dataset</w:t>
            </w:r>
          </w:p>
        </w:tc>
        <w:tc>
          <w:tcPr>
            <w:tcW w:type="dxa" w:w="1368"/>
          </w:tcPr>
          <w:p>
            <w:r/>
            <w:r>
              <w:rPr>
                <w:sz w:val="19"/>
              </w:rPr>
              <w:t>99</w:t>
            </w:r>
          </w:p>
        </w:tc>
      </w:tr>
      <w:tr>
        <w:tc>
          <w:tcPr>
            <w:tcW w:type="dxa" w:w="2160"/>
            <w:shd w:val="clear" w:fill="F4F6F8"/>
          </w:tcPr>
          <w:p>
            <w:r/>
            <w:r>
              <w:rPr>
                <w:sz w:val="19"/>
              </w:rPr>
              <w:t>S4  paper identity</w:t>
            </w:r>
          </w:p>
        </w:tc>
        <w:tc>
          <w:tcPr>
            <w:tcW w:type="dxa" w:w="5040"/>
            <w:shd w:val="clear" w:fill="F4F6F8"/>
          </w:tcPr>
          <w:p>
            <w:r/>
            <w:r>
              <w:rPr>
                <w:sz w:val="19"/>
              </w:rPr>
              <w:t>PMCID/PMID vs every paper any prior dataset cites</w:t>
            </w:r>
          </w:p>
        </w:tc>
        <w:tc>
          <w:tcPr>
            <w:tcW w:type="dxa" w:w="1368"/>
            <w:shd w:val="clear" w:fill="F4F6F8"/>
          </w:tcPr>
          <w:p>
            <w:r/>
            <w:r>
              <w:rPr>
                <w:sz w:val="19"/>
              </w:rPr>
              <w:t>0</w:t>
            </w:r>
          </w:p>
        </w:tc>
      </w:tr>
      <w:tr>
        <w:tc>
          <w:tcPr>
            <w:tcW w:type="dxa" w:w="2160"/>
          </w:tcPr>
          <w:p>
            <w:r/>
            <w:r>
              <w:rPr>
                <w:sz w:val="19"/>
              </w:rPr>
              <w:t>S5  measurement tuple</w:t>
            </w:r>
          </w:p>
        </w:tc>
        <w:tc>
          <w:tcPr>
            <w:tcW w:type="dxa" w:w="5040"/>
          </w:tcPr>
          <w:p>
            <w:r/>
            <w:r>
              <w:rPr>
                <w:sz w:val="19"/>
              </w:rPr>
              <w:t>(protein, mutation, type, pH, T, value)</w:t>
            </w:r>
          </w:p>
        </w:tc>
        <w:tc>
          <w:tcPr>
            <w:tcW w:type="dxa" w:w="1368"/>
          </w:tcPr>
          <w:p>
            <w:r/>
            <w:r>
              <w:rPr>
                <w:sz w:val="19"/>
              </w:rPr>
              <w:t>0</w:t>
            </w:r>
          </w:p>
        </w:tc>
      </w:tr>
      <w:tr>
        <w:tc>
          <w:tcPr>
            <w:tcW w:type="dxa" w:w="2160"/>
            <w:shd w:val="clear" w:fill="F4F6F8"/>
          </w:tcPr>
          <w:p>
            <w:r/>
            <w:r>
              <w:rPr>
                <w:sz w:val="19"/>
              </w:rPr>
              <w:t>S6  PDB code</w:t>
            </w:r>
          </w:p>
        </w:tc>
        <w:tc>
          <w:tcPr>
            <w:tcW w:type="dxa" w:w="5040"/>
            <w:shd w:val="clear" w:fill="F4F6F8"/>
          </w:tcPr>
          <w:p>
            <w:r/>
            <w:r>
              <w:rPr>
                <w:sz w:val="19"/>
              </w:rPr>
              <w:t>PDB codes named in the article vs the S669 roster</w:t>
            </w:r>
          </w:p>
        </w:tc>
        <w:tc>
          <w:tcPr>
            <w:tcW w:type="dxa" w:w="1368"/>
            <w:shd w:val="clear" w:fill="F4F6F8"/>
          </w:tcPr>
          <w:p>
            <w:r/>
            <w:r>
              <w:rPr>
                <w:sz w:val="19"/>
              </w:rPr>
              <w:t>0</w:t>
            </w:r>
          </w:p>
        </w:tc>
      </w:tr>
      <w:tr>
        <w:tc>
          <w:tcPr>
            <w:tcW w:type="dxa" w:w="2160"/>
          </w:tcPr>
          <w:p>
            <w:r/>
            <w:r>
              <w:rPr>
                <w:sz w:val="19"/>
              </w:rPr>
              <w:t>S7  internal duplicate</w:t>
            </w:r>
          </w:p>
        </w:tc>
        <w:tc>
          <w:tcPr>
            <w:tcW w:type="dxa" w:w="5040"/>
          </w:tcPr>
          <w:p>
            <w:r/>
            <w:r>
              <w:rPr>
                <w:sz w:val="19"/>
              </w:rPr>
              <w:t>the same measurement extracted twice in this build</w:t>
            </w:r>
          </w:p>
        </w:tc>
        <w:tc>
          <w:tcPr>
            <w:tcW w:type="dxa" w:w="1368"/>
          </w:tcPr>
          <w:p>
            <w:r/>
            <w:r>
              <w:rPr>
                <w:sz w:val="19"/>
              </w:rPr>
              <w:t>77</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EEF3F8"/>
          </w:tcPr>
          <w:p>
            <w:r/>
            <w:r>
              <w:rPr>
                <w:b/>
                <w:color w:val="1F3B57"/>
                <w:sz w:val="20"/>
              </w:rPr>
              <w:t xml:space="preserve">Two points worth highlighting.  </w:t>
            </w:r>
            <w:r>
              <w:rPr>
                <w:sz w:val="20"/>
              </w:rPr>
              <w:t>First, papers already used are excluded before download — all 199 articles my Week-1 build mined, and every paper any prior dataset cites, were blocked pre-fetch, so the same measurement cannot re-enter under a different enzyme name. Second, Luke's join key was validated rather than trusted: recomputing protein_id from a live UniProt sequence reproduces the value in his file exactly (P58458fbad1df for IsPETase), which proves the train-overlap check actually works.</w:t>
            </w:r>
          </w:p>
        </w:tc>
      </w:tr>
    </w:tbl>
    <w:p>
      <w:pPr>
        <w:spacing w:after="40"/>
      </w:pPr>
    </w:p>
    <w:p>
      <w:pPr>
        <w:pStyle w:val="Heading2"/>
        <w:spacing w:before="280" w:after="80"/>
      </w:pPr>
      <w:r>
        <w:rPr>
          <w:color w:val="1F3B57"/>
        </w:rPr>
        <w:t>What the gate removed</w:t>
      </w:r>
    </w:p>
    <w:tbl>
      <w:tblPr>
        <w:tblStyle w:val="TableGrid"/>
        <w:tblW w:type="auto" w:w="0"/>
        <w:jc w:val="center"/>
        <w:tblLook w:firstColumn="1" w:firstRow="1" w:lastColumn="0" w:lastRow="0" w:noHBand="0" w:noVBand="1" w:val="04A0"/>
      </w:tblPr>
      <w:tblGrid>
        <w:gridCol w:w="4896"/>
        <w:gridCol w:w="4896"/>
      </w:tblGrid>
      <w:tr>
        <w:tc>
          <w:tcPr>
            <w:tcW w:type="dxa" w:w="6624"/>
            <w:shd w:val="clear" w:fill="1F3B57"/>
          </w:tcPr>
          <w:p>
            <w:r/>
            <w:r>
              <w:rPr>
                <w:b/>
                <w:color w:val="FFFFFF"/>
                <w:sz w:val="19"/>
              </w:rPr>
              <w:t>Reason removed</w:t>
            </w:r>
          </w:p>
        </w:tc>
        <w:tc>
          <w:tcPr>
            <w:tcW w:type="dxa" w:w="2016"/>
            <w:shd w:val="clear" w:fill="1F3B57"/>
          </w:tcPr>
          <w:p>
            <w:r/>
            <w:r>
              <w:rPr>
                <w:b/>
                <w:color w:val="FFFFFF"/>
                <w:sz w:val="19"/>
              </w:rPr>
              <w:t>Rows</w:t>
            </w:r>
          </w:p>
        </w:tc>
      </w:tr>
      <w:tr>
        <w:tc>
          <w:tcPr>
            <w:tcW w:type="dxa" w:w="6624"/>
          </w:tcPr>
          <w:p>
            <w:r/>
            <w:r>
              <w:rPr>
                <w:sz w:val="19"/>
              </w:rPr>
              <w:t>Protein sits in Luke's TRAINING split</w:t>
            </w:r>
          </w:p>
        </w:tc>
        <w:tc>
          <w:tcPr>
            <w:tcW w:type="dxa" w:w="2016"/>
          </w:tcPr>
          <w:p>
            <w:r/>
            <w:r>
              <w:rPr>
                <w:sz w:val="19"/>
              </w:rPr>
              <w:t>82</w:t>
            </w:r>
          </w:p>
        </w:tc>
      </w:tr>
      <w:tr>
        <w:tc>
          <w:tcPr>
            <w:tcW w:type="dxa" w:w="6624"/>
            <w:shd w:val="clear" w:fill="F4F6F8"/>
          </w:tcPr>
          <w:p>
            <w:r/>
            <w:r>
              <w:rPr>
                <w:sz w:val="19"/>
              </w:rPr>
              <w:t>Duplicate within this build (same article, same measurement)</w:t>
            </w:r>
          </w:p>
        </w:tc>
        <w:tc>
          <w:tcPr>
            <w:tcW w:type="dxa" w:w="2016"/>
            <w:shd w:val="clear" w:fill="F4F6F8"/>
          </w:tcPr>
          <w:p>
            <w:r/>
            <w:r>
              <w:rPr>
                <w:sz w:val="19"/>
              </w:rPr>
              <w:t>77</w:t>
            </w:r>
          </w:p>
        </w:tc>
      </w:tr>
      <w:tr>
        <w:tc>
          <w:tcPr>
            <w:tcW w:type="dxa" w:w="6624"/>
          </w:tcPr>
          <w:p>
            <w:r/>
            <w:r>
              <w:rPr>
                <w:sz w:val="19"/>
              </w:rPr>
              <w:t>Rejected on manual review (see section 5)</w:t>
            </w:r>
          </w:p>
        </w:tc>
        <w:tc>
          <w:tcPr>
            <w:tcW w:type="dxa" w:w="2016"/>
          </w:tcPr>
          <w:p>
            <w:r/>
            <w:r>
              <w:rPr>
                <w:sz w:val="19"/>
              </w:rPr>
              <w:t>22</w:t>
            </w:r>
          </w:p>
        </w:tc>
      </w:tr>
      <w:tr>
        <w:tc>
          <w:tcPr>
            <w:tcW w:type="dxa" w:w="6624"/>
            <w:shd w:val="clear" w:fill="F4F6F8"/>
          </w:tcPr>
          <w:p>
            <w:r/>
            <w:r>
              <w:rPr>
                <w:sz w:val="19"/>
              </w:rPr>
              <w:t>Already present in a prior dataset</w:t>
            </w:r>
          </w:p>
        </w:tc>
        <w:tc>
          <w:tcPr>
            <w:tcW w:type="dxa" w:w="2016"/>
            <w:shd w:val="clear" w:fill="F4F6F8"/>
          </w:tcPr>
          <w:p>
            <w:r/>
            <w:r>
              <w:rPr>
                <w:sz w:val="19"/>
              </w:rPr>
              <w:t>0</w:t>
            </w:r>
          </w:p>
        </w:tc>
      </w:tr>
      <w:tr>
        <w:tc>
          <w:tcPr>
            <w:tcW w:type="dxa" w:w="6624"/>
          </w:tcPr>
          <w:p>
            <w:r/>
            <w:r>
              <w:rPr>
                <w:sz w:val="19"/>
              </w:rPr>
              <w:t>Failed source verification</w:t>
            </w:r>
          </w:p>
        </w:tc>
        <w:tc>
          <w:tcPr>
            <w:tcW w:type="dxa" w:w="2016"/>
          </w:tcPr>
          <w:p>
            <w:r/>
            <w:r>
              <w:rPr>
                <w:sz w:val="19"/>
              </w:rPr>
              <w:t>3</w:t>
            </w:r>
          </w:p>
        </w:tc>
      </w:tr>
      <w:tr>
        <w:tc>
          <w:tcPr>
            <w:tcW w:type="dxa" w:w="6624"/>
            <w:shd w:val="clear" w:fill="E8F0E8"/>
          </w:tcPr>
          <w:p>
            <w:r/>
            <w:r>
              <w:rPr>
                <w:b/>
                <w:sz w:val="19"/>
              </w:rPr>
              <w:t>Total removed before shipping</w:t>
            </w:r>
          </w:p>
        </w:tc>
        <w:tc>
          <w:tcPr>
            <w:tcW w:type="dxa" w:w="2016"/>
            <w:shd w:val="clear" w:fill="E8F0E8"/>
          </w:tcPr>
          <w:p>
            <w:r/>
            <w:r>
              <w:rPr>
                <w:b/>
                <w:sz w:val="19"/>
              </w:rPr>
              <w:t>184</w:t>
            </w:r>
          </w:p>
        </w:tc>
      </w:tr>
    </w:tbl>
    <w:p>
      <w:pPr>
        <w:spacing w:after="40"/>
      </w:pPr>
    </w:p>
    <w:p>
      <w:pPr>
        <w:pStyle w:val="Heading1"/>
        <w:spacing w:before="280" w:after="80"/>
      </w:pPr>
      <w:r>
        <w:rPr>
          <w:color w:val="1F3B57"/>
        </w:rPr>
        <w:t>4.  The three tiers</w:t>
      </w:r>
    </w:p>
    <w:p>
      <w:pPr>
        <w:spacing w:after="120"/>
      </w:pPr>
      <w:r>
        <w:rPr>
          <w:b w:val="0"/>
          <w:i w:val="0"/>
          <w:sz w:val="21"/>
        </w:rPr>
        <w:t>The benchmark is tiered by how independent each row is, so the strictness can be chosen with a single filter.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944"/>
            <w:shd w:val="clear" w:fill="1F3B57"/>
          </w:tcPr>
          <w:p>
            <w:r/>
            <w:r>
              <w:rPr>
                <w:b/>
                <w:color w:val="FFFFFF"/>
                <w:sz w:val="19"/>
              </w:rPr>
              <w:t>Tier</w:t>
            </w:r>
          </w:p>
        </w:tc>
        <w:tc>
          <w:tcPr>
            <w:tcW w:type="dxa" w:w="3600"/>
            <w:shd w:val="clear" w:fill="1F3B57"/>
          </w:tcPr>
          <w:p>
            <w:r/>
            <w:r>
              <w:rPr>
                <w:b/>
                <w:color w:val="FFFFFF"/>
                <w:sz w:val="19"/>
              </w:rPr>
              <w:t>Meaning</w:t>
            </w:r>
          </w:p>
        </w:tc>
        <w:tc>
          <w:tcPr>
            <w:tcW w:type="dxa" w:w="720"/>
            <w:shd w:val="clear" w:fill="1F3B57"/>
          </w:tcPr>
          <w:p>
            <w:r/>
            <w:r>
              <w:rPr>
                <w:b/>
                <w:color w:val="FFFFFF"/>
                <w:sz w:val="19"/>
              </w:rPr>
              <w:t>Rows</w:t>
            </w:r>
          </w:p>
        </w:tc>
        <w:tc>
          <w:tcPr>
            <w:tcW w:type="dxa" w:w="2376"/>
            <w:shd w:val="clear" w:fill="1F3B57"/>
          </w:tcPr>
          <w:p>
            <w:r/>
            <w:r>
              <w:rPr>
                <w:b/>
                <w:color w:val="FFFFFF"/>
                <w:sz w:val="19"/>
              </w:rPr>
              <w:t>Use for</w:t>
            </w:r>
          </w:p>
        </w:tc>
      </w:tr>
      <w:tr>
        <w:tc>
          <w:tcPr>
            <w:tcW w:type="dxa" w:w="1944"/>
          </w:tcPr>
          <w:p>
            <w:r/>
            <w:r>
              <w:rPr>
                <w:sz w:val="19"/>
              </w:rPr>
              <w:t>A  fully independent</w:t>
            </w:r>
          </w:p>
        </w:tc>
        <w:tc>
          <w:tcPr>
            <w:tcW w:type="dxa" w:w="3600"/>
          </w:tcPr>
          <w:p>
            <w:r/>
            <w:r>
              <w:rPr>
                <w:sz w:val="19"/>
              </w:rPr>
              <w:t>Protein appears in none of the seven datasets and nowhere in Luke's data</w:t>
            </w:r>
          </w:p>
        </w:tc>
        <w:tc>
          <w:tcPr>
            <w:tcW w:type="dxa" w:w="720"/>
          </w:tcPr>
          <w:p>
            <w:r/>
            <w:r>
              <w:rPr>
                <w:sz w:val="19"/>
              </w:rPr>
              <w:t>137</w:t>
            </w:r>
          </w:p>
        </w:tc>
        <w:tc>
          <w:tcPr>
            <w:tcW w:type="dxa" w:w="2376"/>
          </w:tcPr>
          <w:p>
            <w:r/>
            <w:r>
              <w:rPr>
                <w:sz w:val="19"/>
              </w:rPr>
              <w:t>The headline external test (v_gold)</w:t>
            </w:r>
          </w:p>
        </w:tc>
      </w:tr>
      <w:tr>
        <w:tc>
          <w:tcPr>
            <w:tcW w:type="dxa" w:w="1944"/>
            <w:shd w:val="clear" w:fill="F4F6F8"/>
          </w:tcPr>
          <w:p>
            <w:r/>
            <w:r>
              <w:rPr>
                <w:sz w:val="19"/>
              </w:rPr>
              <w:t>B  in Luke's held-out test only</w:t>
            </w:r>
          </w:p>
        </w:tc>
        <w:tc>
          <w:tcPr>
            <w:tcW w:type="dxa" w:w="3600"/>
            <w:shd w:val="clear" w:fill="F4F6F8"/>
          </w:tcPr>
          <w:p>
            <w:r/>
            <w:r>
              <w:rPr>
                <w:sz w:val="19"/>
              </w:rPr>
              <w:t>No training contamination, but not novel to the project</w:t>
            </w:r>
          </w:p>
        </w:tc>
        <w:tc>
          <w:tcPr>
            <w:tcW w:type="dxa" w:w="720"/>
            <w:shd w:val="clear" w:fill="F4F6F8"/>
          </w:tcPr>
          <w:p>
            <w:r/>
            <w:r>
              <w:rPr>
                <w:sz w:val="19"/>
              </w:rPr>
              <w:t>11</w:t>
            </w:r>
          </w:p>
        </w:tc>
        <w:tc>
          <w:tcPr>
            <w:tcW w:type="dxa" w:w="2376"/>
            <w:shd w:val="clear" w:fill="F4F6F8"/>
          </w:tcPr>
          <w:p>
            <w:r/>
            <w:r>
              <w:rPr>
                <w:sz w:val="19"/>
              </w:rPr>
              <w:t>Extra coverage; exclude for strict novelty</w:t>
            </w:r>
          </w:p>
        </w:tc>
      </w:tr>
      <w:tr>
        <w:tc>
          <w:tcPr>
            <w:tcW w:type="dxa" w:w="1944"/>
          </w:tcPr>
          <w:p>
            <w:r/>
            <w:r>
              <w:rPr>
                <w:sz w:val="19"/>
              </w:rPr>
              <w:t>C  conditions only</w:t>
            </w:r>
          </w:p>
        </w:tc>
        <w:tc>
          <w:tcPr>
            <w:tcW w:type="dxa" w:w="3600"/>
          </w:tcPr>
          <w:p>
            <w:r/>
            <w:r>
              <w:rPr>
                <w:sz w:val="19"/>
              </w:rPr>
              <w:t>Real measurement, enzyme not resolvable to a sequence</w:t>
            </w:r>
          </w:p>
        </w:tc>
        <w:tc>
          <w:tcPr>
            <w:tcW w:type="dxa" w:w="720"/>
          </w:tcPr>
          <w:p>
            <w:r/>
            <w:r>
              <w:rPr>
                <w:sz w:val="19"/>
              </w:rPr>
              <w:t>458</w:t>
            </w:r>
          </w:p>
        </w:tc>
        <w:tc>
          <w:tcPr>
            <w:tcW w:type="dxa" w:w="2376"/>
          </w:tcPr>
          <w:p>
            <w:r/>
            <w:r>
              <w:rPr>
                <w:sz w:val="19"/>
              </w:rPr>
              <w:t>Condition-axis analysis, not a sequence model</w:t>
            </w:r>
          </w:p>
        </w:tc>
      </w:tr>
    </w:tbl>
    <w:p>
      <w:pPr>
        <w:spacing w:after="40"/>
      </w:pPr>
    </w:p>
    <w:p>
      <w:pPr>
        <w:spacing w:after="120"/>
      </w:pPr>
      <w:r>
        <w:rPr>
          <w:b w:val="0"/>
          <w:i/>
          <w:color w:val="5A5A5A"/>
          <w:sz w:val="20"/>
        </w:rPr>
        <w:t>No tier touches Luke's training split — that check is the gate, not a label.</w:t>
      </w:r>
    </w:p>
    <w:p>
      <w:r>
        <w:br w:type="page"/>
      </w:r>
    </w:p>
    <w:p>
      <w:pPr>
        <w:pStyle w:val="Heading1"/>
        <w:spacing w:before="0" w:after="80"/>
      </w:pPr>
      <w:r>
        <w:rPr>
          <w:color w:val="1F3B57"/>
        </w:rPr>
        <w:t>5.  Verification — two different checks</w:t>
      </w:r>
    </w:p>
    <w:p>
      <w:pPr>
        <w:spacing w:after="120"/>
      </w:pPr>
      <w:r>
        <w:rPr>
          <w:b w:val="0"/>
          <w:i w:val="0"/>
          <w:sz w:val="21"/>
        </w:rPr>
        <w:t>These answer two different questions. The first alone would overstate the data quality, so both are reported.</w:t>
      </w:r>
    </w:p>
    <w:tbl>
      <w:tblPr>
        <w:tblStyle w:val="TableGrid"/>
        <w:tblW w:type="auto" w:w="0"/>
        <w:jc w:val="center"/>
        <w:tblLook w:firstColumn="1" w:firstRow="1" w:lastColumn="0" w:lastRow="0" w:noHBand="0" w:noVBand="1" w:val="04A0"/>
      </w:tblPr>
      <w:tblGrid>
        <w:gridCol w:w="3264"/>
        <w:gridCol w:w="3264"/>
        <w:gridCol w:w="3264"/>
      </w:tblGrid>
      <w:tr>
        <w:tc>
          <w:tcPr>
            <w:tcW w:type="dxa" w:w="2448"/>
            <w:shd w:val="clear" w:fill="1F3B57"/>
          </w:tcPr>
          <w:p>
            <w:r/>
            <w:r>
              <w:rPr>
                <w:b/>
                <w:color w:val="FFFFFF"/>
                <w:sz w:val="19"/>
              </w:rPr>
              <w:t>Check</w:t>
            </w:r>
          </w:p>
        </w:tc>
        <w:tc>
          <w:tcPr>
            <w:tcW w:type="dxa" w:w="3744"/>
            <w:shd w:val="clear" w:fill="1F3B57"/>
          </w:tcPr>
          <w:p>
            <w:r/>
            <w:r>
              <w:rPr>
                <w:b/>
                <w:color w:val="FFFFFF"/>
                <w:sz w:val="19"/>
              </w:rPr>
              <w:t>Question it answers</w:t>
            </w:r>
          </w:p>
        </w:tc>
        <w:tc>
          <w:tcPr>
            <w:tcW w:type="dxa" w:w="2376"/>
            <w:shd w:val="clear" w:fill="1F3B57"/>
          </w:tcPr>
          <w:p>
            <w:r/>
            <w:r>
              <w:rPr>
                <w:b/>
                <w:color w:val="FFFFFF"/>
                <w:sz w:val="19"/>
              </w:rPr>
              <w:t>Coverage</w:t>
            </w:r>
          </w:p>
        </w:tc>
      </w:tr>
      <w:tr>
        <w:tc>
          <w:tcPr>
            <w:tcW w:type="dxa" w:w="2448"/>
          </w:tcPr>
          <w:p>
            <w:r/>
            <w:r>
              <w:rPr>
                <w:sz w:val="19"/>
              </w:rPr>
              <w:t>Automated source verification</w:t>
            </w:r>
          </w:p>
        </w:tc>
        <w:tc>
          <w:tcPr>
            <w:tcW w:type="dxa" w:w="3744"/>
          </w:tcPr>
          <w:p>
            <w:r/>
            <w:r>
              <w:rPr>
                <w:sz w:val="19"/>
              </w:rPr>
              <w:t>Is this value actually in the article?</w:t>
            </w:r>
          </w:p>
        </w:tc>
        <w:tc>
          <w:tcPr>
            <w:tcW w:type="dxa" w:w="2376"/>
          </w:tcPr>
          <w:p>
            <w:r/>
            <w:r>
              <w:rPr>
                <w:sz w:val="19"/>
              </w:rPr>
              <w:t>628 entries (all shipped rows)</w:t>
            </w:r>
          </w:p>
        </w:tc>
      </w:tr>
      <w:tr>
        <w:tc>
          <w:tcPr>
            <w:tcW w:type="dxa" w:w="2448"/>
            <w:shd w:val="clear" w:fill="F4F6F8"/>
          </w:tcPr>
          <w:p>
            <w:r/>
            <w:r>
              <w:rPr>
                <w:sz w:val="19"/>
              </w:rPr>
              <w:t>Manual review</w:t>
            </w:r>
          </w:p>
        </w:tc>
        <w:tc>
          <w:tcPr>
            <w:tcW w:type="dxa" w:w="3744"/>
            <w:shd w:val="clear" w:fill="F4F6F8"/>
          </w:tcPr>
          <w:p>
            <w:r/>
            <w:r>
              <w:rPr>
                <w:sz w:val="19"/>
              </w:rPr>
              <w:t>Is this value attributed correctly?</w:t>
            </w:r>
          </w:p>
        </w:tc>
        <w:tc>
          <w:tcPr>
            <w:tcW w:type="dxa" w:w="2376"/>
            <w:shd w:val="clear" w:fill="F4F6F8"/>
          </w:tcPr>
          <w:p>
            <w:r/>
            <w:r>
              <w:rPr>
                <w:sz w:val="19"/>
              </w:rPr>
              <w:t>110 entries read against source</w:t>
            </w:r>
          </w:p>
        </w:tc>
      </w:tr>
    </w:tbl>
    <w:p>
      <w:pPr>
        <w:spacing w:after="40"/>
      </w:pPr>
    </w:p>
    <w:p>
      <w:pPr>
        <w:pStyle w:val="Heading2"/>
        <w:spacing w:before="280" w:after="80"/>
      </w:pPr>
      <w:r>
        <w:rPr>
          <w:color w:val="1F3B57"/>
        </w:rPr>
        <w:t>Automated source verification</w:t>
      </w:r>
    </w:p>
    <w:p>
      <w:pPr>
        <w:spacing w:after="120"/>
      </w:pPr>
      <w:r>
        <w:rPr>
          <w:b w:val="0"/>
          <w:i w:val="0"/>
          <w:sz w:val="21"/>
        </w:rPr>
        <w:t>Every shipped row was re-checked against a freshly downloaded copy of its article. The harvest-time cache is never read during verification, so a corrupted cache cannot verify itself. A row passes only when its recorded evidence is located in the fresh copy — verbatim for prose, cell-by-cell for tables — and its recorded value is present in that text. 3 rows failed and were removed.</w:t>
      </w:r>
    </w:p>
    <w:tbl>
      <w:tblPr>
        <w:tblStyle w:val="TableGrid"/>
        <w:tblW w:type="auto" w:w="0"/>
        <w:tblLook w:firstColumn="1" w:firstRow="1" w:lastColumn="0" w:lastRow="0" w:noHBand="0" w:noVBand="1" w:val="04A0"/>
      </w:tblPr>
      <w:tblGrid>
        <w:gridCol w:w="9792"/>
      </w:tblGrid>
      <w:tr>
        <w:tc>
          <w:tcPr>
            <w:tcW w:type="dxa" w:w="9792"/>
            <w:shd w:val="clear" w:fill="EEF3F8"/>
          </w:tcPr>
          <w:p>
            <w:r/>
            <w:r>
              <w:rPr>
                <w:b/>
                <w:color w:val="1F3B57"/>
                <w:sz w:val="20"/>
              </w:rPr>
              <w:t xml:space="preserve">Specificity control.  </w:t>
            </w:r>
            <w:r>
              <w:rPr>
                <w:sz w:val="20"/>
              </w:rPr>
              <w:t>The matcher was tested by taking verified quotes and searching for them in unrelated articles: 0 of 224 matched. It is confirming real locations, not matching loosely.</w:t>
            </w:r>
          </w:p>
        </w:tc>
      </w:tr>
    </w:tbl>
    <w:p>
      <w:pPr>
        <w:spacing w:after="40"/>
      </w:pPr>
    </w:p>
    <w:p>
      <w:pPr>
        <w:pStyle w:val="Heading2"/>
        <w:spacing w:before="280" w:after="80"/>
      </w:pPr>
      <w:r>
        <w:rPr>
          <w:color w:val="1F3B57"/>
        </w:rPr>
        <w:t>Manual review — and why it mattered</w:t>
      </w:r>
    </w:p>
    <w:p>
      <w:pPr>
        <w:spacing w:after="120"/>
      </w:pPr>
      <w:r>
        <w:rPr>
          <w:b w:val="0"/>
          <w:i w:val="0"/>
          <w:sz w:val="21"/>
        </w:rPr>
        <w:t>An automated check confirms a number is present in a paper. It cannot tell you the number was recorded correctly. A value can be genuinely in an article and still be attached to the wrong enzyme, lifted from a methods sentence describing what was planned, or taken from a table of another lab's published results. Only reading entries beside their sources catches that.</w:t>
      </w:r>
    </w:p>
    <w:p>
      <w:pPr>
        <w:spacing w:after="160"/>
      </w:pPr>
      <w:r>
        <w:rPr>
          <w:b w:val="0"/>
          <w:i w:val="0"/>
          <w:sz w:val="21"/>
        </w:rPr>
        <w:t>110 entries were sampled across every measurement type, both prose and tables, and all three tiers, then read against the original article. Each defect found was fixed at the level of the rule rather than the row, and the pipeline was re-run — so rows sharing a defect were removed whether or not the sample happened to reach them.</w:t>
      </w:r>
    </w:p>
    <w:tbl>
      <w:tblPr>
        <w:tblStyle w:val="TableGrid"/>
        <w:tblW w:type="auto" w:w="0"/>
        <w:jc w:val="center"/>
        <w:tblLook w:firstColumn="1" w:firstRow="1" w:lastColumn="0" w:lastRow="0" w:noHBand="0" w:noVBand="1" w:val="04A0"/>
      </w:tblPr>
      <w:tblGrid>
        <w:gridCol w:w="3264"/>
        <w:gridCol w:w="3264"/>
        <w:gridCol w:w="3264"/>
      </w:tblGrid>
      <w:tr>
        <w:tc>
          <w:tcPr>
            <w:tcW w:type="dxa" w:w="3672"/>
            <w:shd w:val="clear" w:fill="1F3B57"/>
          </w:tcPr>
          <w:p>
            <w:r/>
            <w:r>
              <w:rPr>
                <w:b/>
                <w:color w:val="FFFFFF"/>
                <w:sz w:val="18"/>
              </w:rPr>
              <w:t>Defect found by reading entries</w:t>
            </w:r>
          </w:p>
        </w:tc>
        <w:tc>
          <w:tcPr>
            <w:tcW w:type="dxa" w:w="3456"/>
            <w:shd w:val="clear" w:fill="1F3B57"/>
          </w:tcPr>
          <w:p>
            <w:r/>
            <w:r>
              <w:rPr>
                <w:b/>
                <w:color w:val="FFFFFF"/>
                <w:sz w:val="18"/>
              </w:rPr>
              <w:t>Fix applied</w:t>
            </w:r>
          </w:p>
        </w:tc>
        <w:tc>
          <w:tcPr>
            <w:tcW w:type="dxa" w:w="1512"/>
            <w:shd w:val="clear" w:fill="1F3B57"/>
          </w:tcPr>
          <w:p>
            <w:r/>
            <w:r>
              <w:rPr>
                <w:b/>
                <w:color w:val="FFFFFF"/>
                <w:sz w:val="18"/>
              </w:rPr>
              <w:t>Scale of effect</w:t>
            </w:r>
          </w:p>
        </w:tc>
      </w:tr>
      <w:tr>
        <w:tc>
          <w:tcPr>
            <w:tcW w:type="dxa" w:w="3672"/>
          </w:tcPr>
          <w:p>
            <w:r/>
            <w:r>
              <w:rPr>
                <w:sz w:val="18"/>
              </w:rPr>
              <w:t>Values from review articles restating other labs' results</w:t>
            </w:r>
          </w:p>
        </w:tc>
        <w:tc>
          <w:tcPr>
            <w:tcW w:type="dxa" w:w="3456"/>
          </w:tcPr>
          <w:p>
            <w:r/>
            <w:r>
              <w:rPr>
                <w:sz w:val="18"/>
              </w:rPr>
              <w:t>Article type read from JATS; reviews and editorials refused</w:t>
            </w:r>
          </w:p>
        </w:tc>
        <w:tc>
          <w:tcPr>
            <w:tcW w:type="dxa" w:w="1512"/>
          </w:tcPr>
          <w:p>
            <w:r/>
            <w:r>
              <w:rPr>
                <w:sz w:val="18"/>
              </w:rPr>
              <w:t>142 rows</w:t>
            </w:r>
          </w:p>
        </w:tc>
      </w:tr>
      <w:tr>
        <w:tc>
          <w:tcPr>
            <w:tcW w:type="dxa" w:w="3672"/>
            <w:shd w:val="clear" w:fill="F4F6F8"/>
          </w:tcPr>
          <w:p>
            <w:r/>
            <w:r>
              <w:rPr>
                <w:sz w:val="18"/>
              </w:rPr>
              <w:t>Sentences citing another paper for the number</w:t>
            </w:r>
          </w:p>
        </w:tc>
        <w:tc>
          <w:tcPr>
            <w:tcW w:type="dxa" w:w="3456"/>
            <w:shd w:val="clear" w:fill="F4F6F8"/>
          </w:tcPr>
          <w:p>
            <w:r/>
            <w:r>
              <w:rPr>
                <w:sz w:val="18"/>
              </w:rPr>
              <w:t>Secondhand-language filter, incl. bare stripped reference markers</w:t>
            </w:r>
          </w:p>
        </w:tc>
        <w:tc>
          <w:tcPr>
            <w:tcW w:type="dxa" w:w="1512"/>
            <w:shd w:val="clear" w:fill="F4F6F8"/>
          </w:tcPr>
          <w:p>
            <w:r/>
            <w:r>
              <w:rPr>
                <w:sz w:val="18"/>
              </w:rPr>
              <w:t>10,226 sentences</w:t>
            </w:r>
          </w:p>
        </w:tc>
      </w:tr>
      <w:tr>
        <w:tc>
          <w:tcPr>
            <w:tcW w:type="dxa" w:w="3672"/>
          </w:tcPr>
          <w:p>
            <w:r/>
            <w:r>
              <w:rPr>
                <w:sz w:val="18"/>
              </w:rPr>
              <w:t>Introduction / Conclusion prose mined as results</w:t>
            </w:r>
          </w:p>
        </w:tc>
        <w:tc>
          <w:tcPr>
            <w:tcW w:type="dxa" w:w="3456"/>
          </w:tcPr>
          <w:p>
            <w:r/>
            <w:r>
              <w:rPr>
                <w:sz w:val="18"/>
              </w:rPr>
              <w:t>Section-aware walk; background sections refused</w:t>
            </w:r>
          </w:p>
        </w:tc>
        <w:tc>
          <w:tcPr>
            <w:tcW w:type="dxa" w:w="1512"/>
          </w:tcPr>
          <w:p>
            <w:r/>
            <w:r>
              <w:rPr>
                <w:sz w:val="18"/>
              </w:rPr>
              <w:t>4,270 paragraphs</w:t>
            </w:r>
          </w:p>
        </w:tc>
      </w:tr>
      <w:tr>
        <w:tc>
          <w:tcPr>
            <w:tcW w:type="dxa" w:w="3672"/>
            <w:shd w:val="clear" w:fill="F4F6F8"/>
          </w:tcPr>
          <w:p>
            <w:r/>
            <w:r>
              <w:rPr>
                <w:sz w:val="18"/>
              </w:rPr>
              <w:t>Literature-comparison tables (a Reference column)</w:t>
            </w:r>
          </w:p>
        </w:tc>
        <w:tc>
          <w:tcPr>
            <w:tcW w:type="dxa" w:w="3456"/>
            <w:shd w:val="clear" w:fill="F4F6F8"/>
          </w:tcPr>
          <w:p>
            <w:r/>
            <w:r>
              <w:rPr>
                <w:sz w:val="18"/>
              </w:rPr>
              <w:t>Comparison tables refused</w:t>
            </w:r>
          </w:p>
        </w:tc>
        <w:tc>
          <w:tcPr>
            <w:tcW w:type="dxa" w:w="1512"/>
            <w:shd w:val="clear" w:fill="F4F6F8"/>
          </w:tcPr>
          <w:p>
            <w:r/>
            <w:r>
              <w:rPr>
                <w:sz w:val="18"/>
              </w:rPr>
              <w:t>part of 297 tables</w:t>
            </w:r>
          </w:p>
        </w:tc>
      </w:tr>
      <w:tr>
        <w:tc>
          <w:tcPr>
            <w:tcW w:type="dxa" w:w="3672"/>
          </w:tcPr>
          <w:p>
            <w:r/>
            <w:r>
              <w:rPr>
                <w:sz w:val="18"/>
              </w:rPr>
              <w:t>In-silico annotation tables where pH optimum is predicted</w:t>
            </w:r>
          </w:p>
        </w:tc>
        <w:tc>
          <w:tcPr>
            <w:tcW w:type="dxa" w:w="3456"/>
          </w:tcPr>
          <w:p>
            <w:r/>
            <w:r>
              <w:rPr>
                <w:sz w:val="18"/>
              </w:rPr>
              <w:t>TPM/FPKM/pI tables refused</w:t>
            </w:r>
          </w:p>
        </w:tc>
        <w:tc>
          <w:tcPr>
            <w:tcW w:type="dxa" w:w="1512"/>
          </w:tcPr>
          <w:p>
            <w:r/>
            <w:r>
              <w:rPr>
                <w:sz w:val="18"/>
              </w:rPr>
              <w:t>part of 297 tables</w:t>
            </w:r>
          </w:p>
        </w:tc>
      </w:tr>
      <w:tr>
        <w:tc>
          <w:tcPr>
            <w:tcW w:type="dxa" w:w="3672"/>
            <w:shd w:val="clear" w:fill="F4F6F8"/>
          </w:tcPr>
          <w:p>
            <w:r/>
            <w:r>
              <w:rPr>
                <w:sz w:val="18"/>
              </w:rPr>
              <w:t>A polymer's melting temperature read as enzyme thermostability</w:t>
            </w:r>
          </w:p>
        </w:tc>
        <w:tc>
          <w:tcPr>
            <w:tcW w:type="dxa" w:w="3456"/>
            <w:shd w:val="clear" w:fill="F4F6F8"/>
          </w:tcPr>
          <w:p>
            <w:r/>
            <w:r>
              <w:rPr>
                <w:sz w:val="18"/>
              </w:rPr>
              <w:t>Material-property tables refused</w:t>
            </w:r>
          </w:p>
        </w:tc>
        <w:tc>
          <w:tcPr>
            <w:tcW w:type="dxa" w:w="1512"/>
            <w:shd w:val="clear" w:fill="F4F6F8"/>
          </w:tcPr>
          <w:p>
            <w:r/>
            <w:r>
              <w:rPr>
                <w:sz w:val="18"/>
              </w:rPr>
              <w:t>part of 297 tables</w:t>
            </w:r>
          </w:p>
        </w:tc>
      </w:tr>
      <w:tr>
        <w:tc>
          <w:tcPr>
            <w:tcW w:type="dxa" w:w="3672"/>
          </w:tcPr>
          <w:p>
            <w:r/>
            <w:r>
              <w:rPr>
                <w:sz w:val="18"/>
              </w:rPr>
              <w:t>Reagent-supplier and purification-summary tables</w:t>
            </w:r>
          </w:p>
        </w:tc>
        <w:tc>
          <w:tcPr>
            <w:tcW w:type="dxa" w:w="3456"/>
          </w:tcPr>
          <w:p>
            <w:r/>
            <w:r>
              <w:rPr>
                <w:sz w:val="18"/>
              </w:rPr>
              <w:t>Both refused</w:t>
            </w:r>
          </w:p>
        </w:tc>
        <w:tc>
          <w:tcPr>
            <w:tcW w:type="dxa" w:w="1512"/>
          </w:tcPr>
          <w:p>
            <w:r/>
            <w:r>
              <w:rPr>
                <w:sz w:val="18"/>
              </w:rPr>
              <w:t>part of 297 tables</w:t>
            </w:r>
          </w:p>
        </w:tc>
      </w:tr>
      <w:tr>
        <w:tc>
          <w:tcPr>
            <w:tcW w:type="dxa" w:w="3672"/>
            <w:shd w:val="clear" w:fill="F4F6F8"/>
          </w:tcPr>
          <w:p>
            <w:r/>
            <w:r>
              <w:rPr>
                <w:sz w:val="18"/>
              </w:rPr>
              <w:t>FPKM matched as a KM kinetic column</w:t>
            </w:r>
          </w:p>
        </w:tc>
        <w:tc>
          <w:tcPr>
            <w:tcW w:type="dxa" w:w="3456"/>
            <w:shd w:val="clear" w:fill="F4F6F8"/>
          </w:tcPr>
          <w:p>
            <w:r/>
            <w:r>
              <w:rPr>
                <w:sz w:val="18"/>
              </w:rPr>
              <w:t>Header pattern anchored</w:t>
            </w:r>
          </w:p>
        </w:tc>
        <w:tc>
          <w:tcPr>
            <w:tcW w:type="dxa" w:w="1512"/>
            <w:shd w:val="clear" w:fill="F4F6F8"/>
          </w:tcPr>
          <w:p>
            <w:r/>
            <w:r>
              <w:rPr>
                <w:sz w:val="18"/>
              </w:rPr>
              <w:t>—</w:t>
            </w:r>
          </w:p>
        </w:tc>
      </w:tr>
      <w:tr>
        <w:tc>
          <w:tcPr>
            <w:tcW w:type="dxa" w:w="3672"/>
          </w:tcPr>
          <w:p>
            <w:r/>
            <w:r>
              <w:rPr>
                <w:sz w:val="18"/>
              </w:rPr>
              <w:t>Range midpoints stored as values (45–50 °C became 47.5 °C)</w:t>
            </w:r>
          </w:p>
        </w:tc>
        <w:tc>
          <w:tcPr>
            <w:tcW w:type="dxa" w:w="3456"/>
          </w:tcPr>
          <w:p>
            <w:r/>
            <w:r>
              <w:rPr>
                <w:sz w:val="18"/>
              </w:rPr>
              <w:t>Endpoints kept as reported; value = low endpoint + range flag</w:t>
            </w:r>
          </w:p>
        </w:tc>
        <w:tc>
          <w:tcPr>
            <w:tcW w:type="dxa" w:w="1512"/>
          </w:tcPr>
          <w:p>
            <w:r/>
            <w:r>
              <w:rPr>
                <w:sz w:val="18"/>
              </w:rPr>
              <w:t>all range rows</w:t>
            </w:r>
          </w:p>
        </w:tc>
      </w:tr>
      <w:tr>
        <w:tc>
          <w:tcPr>
            <w:tcW w:type="dxa" w:w="3672"/>
            <w:shd w:val="clear" w:fill="F4F6F8"/>
          </w:tcPr>
          <w:p>
            <w:r/>
            <w:r>
              <w:rPr>
                <w:sz w:val="18"/>
              </w:rPr>
              <w:t>Two enzymes' values in one sentence averaged into one row</w:t>
            </w:r>
          </w:p>
        </w:tc>
        <w:tc>
          <w:tcPr>
            <w:tcW w:type="dxa" w:w="3456"/>
            <w:shd w:val="clear" w:fill="F4F6F8"/>
          </w:tcPr>
          <w:p>
            <w:r/>
            <w:r>
              <w:rPr>
                <w:sz w:val="18"/>
              </w:rPr>
              <w:t>“respectively” sentences refused</w:t>
            </w:r>
          </w:p>
        </w:tc>
        <w:tc>
          <w:tcPr>
            <w:tcW w:type="dxa" w:w="1512"/>
            <w:shd w:val="clear" w:fill="F4F6F8"/>
          </w:tcPr>
          <w:p>
            <w:r/>
            <w:r>
              <w:rPr>
                <w:sz w:val="18"/>
              </w:rPr>
              <w:t>—</w:t>
            </w:r>
          </w:p>
        </w:tc>
      </w:tr>
      <w:tr>
        <w:tc>
          <w:tcPr>
            <w:tcW w:type="dxa" w:w="3672"/>
          </w:tcPr>
          <w:p>
            <w:r/>
            <w:r>
              <w:rPr>
                <w:sz w:val="18"/>
              </w:rPr>
              <w:t>Buffer / medium / crystallisation recipes read as salt effects</w:t>
            </w:r>
          </w:p>
        </w:tc>
        <w:tc>
          <w:tcPr>
            <w:tcW w:type="dxa" w:w="3456"/>
          </w:tcPr>
          <w:p>
            <w:r/>
            <w:r>
              <w:rPr>
                <w:sz w:val="18"/>
              </w:rPr>
              <w:t>Electrolyte rows must report an activity outcome</w:t>
            </w:r>
          </w:p>
        </w:tc>
        <w:tc>
          <w:tcPr>
            <w:tcW w:type="dxa" w:w="1512"/>
          </w:tcPr>
          <w:p>
            <w:r/>
            <w:r>
              <w:rPr>
                <w:sz w:val="18"/>
              </w:rPr>
              <w:t>26 rows</w:t>
            </w:r>
          </w:p>
        </w:tc>
      </w:tr>
      <w:tr>
        <w:tc>
          <w:tcPr>
            <w:tcW w:type="dxa" w:w="3672"/>
            <w:shd w:val="clear" w:fill="F4F6F8"/>
          </w:tcPr>
          <w:p>
            <w:r/>
            <w:r>
              <w:rPr>
                <w:sz w:val="18"/>
              </w:rPr>
              <w:t>Molecular-biology methods (PCR mixes, lysis buffers) read as conditions</w:t>
            </w:r>
          </w:p>
        </w:tc>
        <w:tc>
          <w:tcPr>
            <w:tcW w:type="dxa" w:w="3456"/>
            <w:shd w:val="clear" w:fill="F4F6F8"/>
          </w:tcPr>
          <w:p>
            <w:r/>
            <w:r>
              <w:rPr>
                <w:sz w:val="18"/>
              </w:rPr>
              <w:t>Method-recipe filter</w:t>
            </w:r>
          </w:p>
        </w:tc>
        <w:tc>
          <w:tcPr>
            <w:tcW w:type="dxa" w:w="1512"/>
            <w:shd w:val="clear" w:fill="F4F6F8"/>
          </w:tcPr>
          <w:p>
            <w:r/>
            <w:r>
              <w:rPr>
                <w:sz w:val="18"/>
              </w:rPr>
              <w:t>—</w:t>
            </w:r>
          </w:p>
        </w:tc>
      </w:tr>
      <w:tr>
        <w:tc>
          <w:tcPr>
            <w:tcW w:type="dxa" w:w="3672"/>
          </w:tcPr>
          <w:p>
            <w:r/>
            <w:r>
              <w:rPr>
                <w:sz w:val="18"/>
              </w:rPr>
              <w:t>A solvent's boiling point read as an enzyme optimum</w:t>
            </w:r>
          </w:p>
        </w:tc>
        <w:tc>
          <w:tcPr>
            <w:tcW w:type="dxa" w:w="3456"/>
          </w:tcPr>
          <w:p>
            <w:r/>
            <w:r>
              <w:rPr>
                <w:sz w:val="18"/>
              </w:rPr>
              <w:t>Chemical-constant filter</w:t>
            </w:r>
          </w:p>
        </w:tc>
        <w:tc>
          <w:tcPr>
            <w:tcW w:type="dxa" w:w="1512"/>
          </w:tcPr>
          <w:p>
            <w:r/>
            <w:r>
              <w:rPr>
                <w:sz w:val="18"/>
              </w:rPr>
              <w:t>—</w:t>
            </w:r>
          </w:p>
        </w:tc>
      </w:tr>
      <w:tr>
        <w:tc>
          <w:tcPr>
            <w:tcW w:type="dxa" w:w="3672"/>
            <w:shd w:val="clear" w:fill="F4F6F8"/>
          </w:tcPr>
          <w:p>
            <w:r/>
            <w:r>
              <w:rPr>
                <w:sz w:val="18"/>
              </w:rPr>
              <w:t>Off-target enzymes (carbonic anhydrase, endolysin, xylanase)</w:t>
            </w:r>
          </w:p>
        </w:tc>
        <w:tc>
          <w:tcPr>
            <w:tcW w:type="dxa" w:w="3456"/>
            <w:shd w:val="clear" w:fill="F4F6F8"/>
          </w:tcPr>
          <w:p>
            <w:r/>
            <w:r>
              <w:rPr>
                <w:sz w:val="18"/>
              </w:rPr>
              <w:t>Article-level plastic relevance from full text + enzyme-class gate</w:t>
            </w:r>
          </w:p>
        </w:tc>
        <w:tc>
          <w:tcPr>
            <w:tcW w:type="dxa" w:w="1512"/>
            <w:shd w:val="clear" w:fill="F4F6F8"/>
          </w:tcPr>
          <w:p>
            <w:r/>
            <w:r>
              <w:rPr>
                <w:sz w:val="18"/>
              </w:rPr>
              <w:t>302 rows</w:t>
            </w:r>
          </w:p>
        </w:tc>
      </w:tr>
      <w:tr>
        <w:tc>
          <w:tcPr>
            <w:tcW w:type="dxa" w:w="3672"/>
          </w:tcPr>
          <w:p>
            <w:r/>
            <w:r>
              <w:rPr>
                <w:sz w:val="18"/>
              </w:rPr>
              <w:t>Drug-delivery papers using the same pH / stability vocabulary</w:t>
            </w:r>
          </w:p>
        </w:tc>
        <w:tc>
          <w:tcPr>
            <w:tcW w:type="dxa" w:w="3456"/>
          </w:tcPr>
          <w:p>
            <w:r/>
            <w:r>
              <w:rPr>
                <w:sz w:val="18"/>
              </w:rPr>
              <w:t>Pharma-context filter</w:t>
            </w:r>
          </w:p>
        </w:tc>
        <w:tc>
          <w:tcPr>
            <w:tcW w:type="dxa" w:w="1512"/>
          </w:tcPr>
          <w:p>
            <w:r/>
            <w:r>
              <w:rPr>
                <w:sz w:val="18"/>
              </w:rPr>
              <w:t>—</w:t>
            </w:r>
          </w:p>
        </w:tc>
      </w:tr>
    </w:tbl>
    <w:p>
      <w:pPr>
        <w:spacing w:after="40"/>
      </w:pPr>
    </w:p>
    <w:tbl>
      <w:tblPr>
        <w:tblStyle w:val="TableGrid"/>
        <w:tblW w:type="auto" w:w="0"/>
        <w:tblLook w:firstColumn="1" w:firstRow="1" w:lastColumn="0" w:lastRow="0" w:noHBand="0" w:noVBand="1" w:val="04A0"/>
      </w:tblPr>
      <w:tblGrid>
        <w:gridCol w:w="9792"/>
      </w:tblGrid>
      <w:tr>
        <w:tc>
          <w:tcPr>
            <w:tcW w:type="dxa" w:w="9792"/>
            <w:shd w:val="clear" w:fill="F3F0E8"/>
          </w:tcPr>
          <w:p>
            <w:r/>
            <w:r>
              <w:rPr>
                <w:b/>
                <w:color w:val="1F3B57"/>
                <w:sz w:val="20"/>
              </w:rPr>
              <w:t xml:space="preserve">The reduction is the quality.  </w:t>
            </w:r>
            <w:r>
              <w:rPr>
                <w:sz w:val="20"/>
              </w:rPr>
              <w:t>An unfiltered first pass would have shipped roughly 25,000 rows. This ships 606. Everything between those two numbers was removed for a stated, auditable reason.</w:t>
            </w:r>
          </w:p>
        </w:tc>
      </w:tr>
    </w:tbl>
    <w:p>
      <w:pPr>
        <w:spacing w:after="40"/>
      </w:pPr>
    </w:p>
    <w:p>
      <w:pPr>
        <w:pStyle w:val="Heading2"/>
        <w:spacing w:before="280" w:after="80"/>
      </w:pPr>
      <w:r>
        <w:rPr>
          <w:color w:val="1F3B57"/>
        </w:rPr>
        <w:t>Rows removed directly by manual review</w:t>
      </w:r>
    </w:p>
    <w:p>
      <w:pPr>
        <w:spacing w:after="80"/>
      </w:pPr>
      <w:r>
        <w:rPr>
          <w:b w:val="0"/>
          <w:i w:val="0"/>
          <w:sz w:val="21"/>
        </w:rPr>
        <w:t>After the rule-level fixes, a final read of the shipped data found rows that were still wrong. Each was removed together with every row sharing its signature:</w:t>
      </w:r>
    </w:p>
    <w:tbl>
      <w:tblPr>
        <w:tblStyle w:val="TableGrid"/>
        <w:tblW w:type="auto" w:w="0"/>
        <w:jc w:val="center"/>
        <w:tblLook w:firstColumn="1" w:firstRow="1" w:lastColumn="0" w:lastRow="0" w:noHBand="0" w:noVBand="1" w:val="04A0"/>
      </w:tblPr>
      <w:tblGrid>
        <w:gridCol w:w="3264"/>
        <w:gridCol w:w="3264"/>
        <w:gridCol w:w="3264"/>
      </w:tblGrid>
      <w:tr>
        <w:tc>
          <w:tcPr>
            <w:tcW w:type="dxa" w:w="5040"/>
            <w:shd w:val="clear" w:fill="1F3B57"/>
          </w:tcPr>
          <w:p>
            <w:r/>
            <w:r>
              <w:rPr>
                <w:b/>
                <w:color w:val="FFFFFF"/>
                <w:sz w:val="18"/>
              </w:rPr>
              <w:t>Defect</w:t>
            </w:r>
          </w:p>
        </w:tc>
        <w:tc>
          <w:tcPr>
            <w:tcW w:type="dxa" w:w="2016"/>
            <w:shd w:val="clear" w:fill="1F3B57"/>
          </w:tcPr>
          <w:p>
            <w:r/>
            <w:r>
              <w:rPr>
                <w:b/>
                <w:color w:val="FFFFFF"/>
                <w:sz w:val="18"/>
              </w:rPr>
              <w:t>Found while reading</w:t>
            </w:r>
          </w:p>
        </w:tc>
        <w:tc>
          <w:tcPr>
            <w:tcW w:type="dxa" w:w="1584"/>
            <w:shd w:val="clear" w:fill="1F3B57"/>
          </w:tcPr>
          <w:p>
            <w:r/>
            <w:r>
              <w:rPr>
                <w:b/>
                <w:color w:val="FFFFFF"/>
                <w:sz w:val="18"/>
              </w:rPr>
              <w:t>Rows removed</w:t>
            </w:r>
          </w:p>
        </w:tc>
      </w:tr>
      <w:tr>
        <w:tc>
          <w:tcPr>
            <w:tcW w:type="dxa" w:w="5040"/>
          </w:tcPr>
          <w:p>
            <w:r/>
            <w:r>
              <w:rPr>
                <w:sz w:val="18"/>
              </w:rPr>
              <w:t>growth optimum of the organism, not the enzyme's optimum</w:t>
            </w:r>
          </w:p>
        </w:tc>
        <w:tc>
          <w:tcPr>
            <w:tcW w:type="dxa" w:w="2016"/>
          </w:tcPr>
          <w:p>
            <w:r/>
            <w:r>
              <w:rPr>
                <w:sz w:val="18"/>
              </w:rPr>
              <w:t>BM000492</w:t>
            </w:r>
          </w:p>
        </w:tc>
        <w:tc>
          <w:tcPr>
            <w:tcW w:type="dxa" w:w="1584"/>
          </w:tcPr>
          <w:p>
            <w:r/>
            <w:r>
              <w:rPr>
                <w:sz w:val="18"/>
              </w:rPr>
              <w:t>4</w:t>
            </w:r>
          </w:p>
        </w:tc>
      </w:tr>
      <w:tr>
        <w:tc>
          <w:tcPr>
            <w:tcW w:type="dxa" w:w="5040"/>
            <w:shd w:val="clear" w:fill="F4F6F8"/>
          </w:tcPr>
          <w:p>
            <w:r/>
            <w:r>
              <w:rPr>
                <w:sz w:val="18"/>
              </w:rPr>
              <w:t>the parsed cell holds a protein concentration, not an activity</w:t>
            </w:r>
          </w:p>
        </w:tc>
        <w:tc>
          <w:tcPr>
            <w:tcW w:type="dxa" w:w="2016"/>
            <w:shd w:val="clear" w:fill="F4F6F8"/>
          </w:tcPr>
          <w:p>
            <w:r/>
            <w:r>
              <w:rPr>
                <w:sz w:val="18"/>
              </w:rPr>
              <w:t>BM000136</w:t>
            </w:r>
          </w:p>
        </w:tc>
        <w:tc>
          <w:tcPr>
            <w:tcW w:type="dxa" w:w="1584"/>
            <w:shd w:val="clear" w:fill="F4F6F8"/>
          </w:tcPr>
          <w:p>
            <w:r/>
            <w:r>
              <w:rPr>
                <w:sz w:val="18"/>
              </w:rPr>
              <w:t>1</w:t>
            </w:r>
          </w:p>
        </w:tc>
      </w:tr>
      <w:tr>
        <w:tc>
          <w:tcPr>
            <w:tcW w:type="dxa" w:w="5040"/>
          </w:tcPr>
          <w:p>
            <w:r/>
            <w:r>
              <w:rPr>
                <w:sz w:val="18"/>
              </w:rPr>
              <w:t>methods sentence listing the buffer ranges assayed, not a measured optimum</w:t>
            </w:r>
          </w:p>
        </w:tc>
        <w:tc>
          <w:tcPr>
            <w:tcW w:type="dxa" w:w="2016"/>
          </w:tcPr>
          <w:p>
            <w:r/>
            <w:r>
              <w:rPr>
                <w:sz w:val="18"/>
              </w:rPr>
              <w:t>BM001126</w:t>
            </w:r>
          </w:p>
        </w:tc>
        <w:tc>
          <w:tcPr>
            <w:tcW w:type="dxa" w:w="1584"/>
          </w:tcPr>
          <w:p>
            <w:r/>
            <w:r>
              <w:rPr>
                <w:sz w:val="18"/>
              </w:rPr>
              <w:t>1</w:t>
            </w:r>
          </w:p>
        </w:tc>
      </w:tr>
      <w:tr>
        <w:tc>
          <w:tcPr>
            <w:tcW w:type="dxa" w:w="5040"/>
            <w:shd w:val="clear" w:fill="F4F6F8"/>
          </w:tcPr>
          <w:p>
            <w:r/>
            <w:r>
              <w:rPr>
                <w:sz w:val="18"/>
              </w:rPr>
              <w:t>carbonic anhydrase CO2-hydration activity — not a plastic-degrading enzyme</w:t>
            </w:r>
          </w:p>
        </w:tc>
        <w:tc>
          <w:tcPr>
            <w:tcW w:type="dxa" w:w="2016"/>
            <w:shd w:val="clear" w:fill="F4F6F8"/>
          </w:tcPr>
          <w:p>
            <w:r/>
            <w:r>
              <w:rPr>
                <w:sz w:val="18"/>
              </w:rPr>
              <w:t>BM001319</w:t>
            </w:r>
          </w:p>
        </w:tc>
        <w:tc>
          <w:tcPr>
            <w:tcW w:type="dxa" w:w="1584"/>
            <w:shd w:val="clear" w:fill="F4F6F8"/>
          </w:tcPr>
          <w:p>
            <w:r/>
            <w:r>
              <w:rPr>
                <w:sz w:val="18"/>
              </w:rPr>
              <w:t>13</w:t>
            </w:r>
          </w:p>
        </w:tc>
      </w:tr>
      <w:tr>
        <w:tc>
          <w:tcPr>
            <w:tcW w:type="dxa" w:w="5040"/>
          </w:tcPr>
          <w:p>
            <w:r/>
            <w:r>
              <w:rPr>
                <w:sz w:val="18"/>
              </w:rPr>
              <w:t>carbohydrate-active enzyme (xylanase/cellulase/glucosidase), off-target</w:t>
            </w:r>
          </w:p>
        </w:tc>
        <w:tc>
          <w:tcPr>
            <w:tcW w:type="dxa" w:w="2016"/>
          </w:tcPr>
          <w:p>
            <w:r/>
            <w:r>
              <w:rPr>
                <w:sz w:val="18"/>
              </w:rPr>
              <w:t>BM001474</w:t>
            </w:r>
          </w:p>
        </w:tc>
        <w:tc>
          <w:tcPr>
            <w:tcW w:type="dxa" w:w="1584"/>
          </w:tcPr>
          <w:p>
            <w:r/>
            <w:r>
              <w:rPr>
                <w:sz w:val="18"/>
              </w:rPr>
              <w:t>2</w:t>
            </w:r>
          </w:p>
        </w:tc>
      </w:tr>
      <w:tr>
        <w:tc>
          <w:tcPr>
            <w:tcW w:type="dxa" w:w="5040"/>
            <w:shd w:val="clear" w:fill="F4F6F8"/>
          </w:tcPr>
          <w:p>
            <w:r/>
            <w:r>
              <w:rPr>
                <w:sz w:val="18"/>
              </w:rPr>
              <w:t>salt tolerance of a strain, not of a purified enzyme</w:t>
            </w:r>
          </w:p>
        </w:tc>
        <w:tc>
          <w:tcPr>
            <w:tcW w:type="dxa" w:w="2016"/>
            <w:shd w:val="clear" w:fill="F4F6F8"/>
          </w:tcPr>
          <w:p>
            <w:r/>
            <w:r>
              <w:rPr>
                <w:sz w:val="18"/>
              </w:rPr>
              <w:t>(review sweep)</w:t>
            </w:r>
          </w:p>
        </w:tc>
        <w:tc>
          <w:tcPr>
            <w:tcW w:type="dxa" w:w="1584"/>
            <w:shd w:val="clear" w:fill="F4F6F8"/>
          </w:tcPr>
          <w:p>
            <w:r/>
            <w:r>
              <w:rPr>
                <w:sz w:val="18"/>
              </w:rPr>
              <w:t>1</w:t>
            </w:r>
          </w:p>
        </w:tc>
      </w:tr>
    </w:tbl>
    <w:p>
      <w:pPr>
        <w:spacing w:after="40"/>
      </w:pPr>
    </w:p>
    <w:p>
      <w:pPr>
        <w:spacing w:after="120"/>
      </w:pPr>
      <w:r>
        <w:rPr>
          <w:b w:val="0"/>
          <w:i/>
          <w:color w:val="5A5A5A"/>
          <w:sz w:val="20"/>
        </w:rPr>
        <w:t>Note the leverage: reading two carbonic-anhydrase entries removed 13 rows, because the rule was written against the defect rather than the sampled row.</w:t>
      </w:r>
    </w:p>
    <w:p>
      <w:r>
        <w:br w:type="page"/>
      </w:r>
    </w:p>
    <w:p>
      <w:pPr>
        <w:pStyle w:val="Heading1"/>
        <w:spacing w:before="0" w:after="80"/>
      </w:pPr>
      <w:r>
        <w:rPr>
          <w:color w:val="1F3B57"/>
        </w:rPr>
        <w:t>6.  Limitations — stated plainly</w:t>
      </w:r>
    </w:p>
    <w:p>
      <w:pPr>
        <w:spacing w:after="160"/>
      </w:pPr>
      <w:r>
        <w:rPr>
          <w:b w:val="0"/>
          <w:i w:val="0"/>
          <w:sz w:val="21"/>
        </w:rPr>
        <w:t>This benchmark is extracted from article text and tables by pattern matching, then filtered hard and checked twice. It is not hand-curated by a domain expert reading all 606 rows, and should not be described that way.</w:t>
      </w:r>
    </w:p>
    <w:p>
      <w:pPr>
        <w:pStyle w:val="ListBullet"/>
        <w:spacing w:after="60"/>
      </w:pPr>
      <w:r>
        <w:rPr>
          <w:b/>
          <w:i w:val="0"/>
          <w:sz w:val="21"/>
        </w:rPr>
        <w:t xml:space="preserve">Residual defect rate is ~5–8%, measured not assumed, and concentrated in tier C. </w:t>
      </w:r>
      <w:r>
        <w:rPr>
          <w:b w:val="0"/>
          <w:i w:val="0"/>
          <w:sz w:val="21"/>
        </w:rPr>
        <w:t>In the final read, 6 of 65 entries reviewed were still judged wrong before the removals above were applied.</w:t>
      </w:r>
    </w:p>
    <w:p>
      <w:pPr>
        <w:pStyle w:val="ListBullet"/>
        <w:spacing w:after="60"/>
      </w:pPr>
      <w:r>
        <w:rPr>
          <w:b/>
          <w:i w:val="0"/>
          <w:sz w:val="21"/>
        </w:rPr>
        <w:t xml:space="preserve">Only 16 distinct proteins carry sequences. </w:t>
      </w:r>
      <w:r>
        <w:rPr>
          <w:b w:val="0"/>
          <w:i w:val="0"/>
          <w:sz w:val="21"/>
        </w:rPr>
        <w:t>Sequence resolution accepts an accession only when an article names exactly one hydrolase record, because accepting ambiguous ones is how a benchmark acquires silently wrong labels. That precision costs coverage.</w:t>
      </w:r>
    </w:p>
    <w:p>
      <w:pPr>
        <w:pStyle w:val="ListBullet"/>
        <w:spacing w:after="60"/>
      </w:pPr>
      <w:r>
        <w:rPr>
          <w:b/>
          <w:i w:val="0"/>
          <w:sz w:val="21"/>
        </w:rPr>
        <w:t xml:space="preserve">Tier A is materially cleaner than tier C. </w:t>
      </w:r>
      <w:r>
        <w:rPr>
          <w:b w:val="0"/>
          <w:i w:val="0"/>
          <w:sz w:val="21"/>
        </w:rPr>
        <w:t>Requiring a row to resolve to a real deposited hydrolase acts as an independent quality filter — a row that resolves is far more likely to come from a genuine characterisation experiment than from a passing sentence.</w:t>
      </w:r>
    </w:p>
    <w:p>
      <w:pPr>
        <w:pStyle w:val="ListBullet"/>
        <w:spacing w:after="60"/>
      </w:pPr>
      <w:r>
        <w:rPr>
          <w:b/>
          <w:i w:val="0"/>
          <w:sz w:val="21"/>
        </w:rPr>
        <w:t xml:space="preserve">Coverage is bounded by open access. </w:t>
      </w:r>
      <w:r>
        <w:rPr>
          <w:b w:val="0"/>
          <w:i w:val="0"/>
          <w:sz w:val="21"/>
        </w:rPr>
        <w:t>Paywalled characterisation papers are not represented.</w:t>
      </w:r>
    </w:p>
    <w:p>
      <w:pPr>
        <w:pStyle w:val="ListBullet"/>
        <w:spacing w:after="60"/>
      </w:pPr>
      <w:r>
        <w:rPr>
          <w:b/>
          <w:i w:val="0"/>
          <w:sz w:val="21"/>
        </w:rPr>
        <w:t xml:space="preserve">Salinity is thin. </w:t>
      </w:r>
      <w:r>
        <w:rPr>
          <w:b w:val="0"/>
          <w:i w:val="0"/>
          <w:sz w:val="21"/>
        </w:rPr>
        <w:t>Most papers state salt molarity rather than a salinity in g/L, so the electrolyte axis is carried mainly by named salts and metal ions.</w:t>
      </w:r>
    </w:p>
    <w:tbl>
      <w:tblPr>
        <w:tblStyle w:val="TableGrid"/>
        <w:tblW w:type="auto" w:w="0"/>
        <w:tblLook w:firstColumn="1" w:firstRow="1" w:lastColumn="0" w:lastRow="0" w:noHBand="0" w:noVBand="1" w:val="04A0"/>
      </w:tblPr>
      <w:tblGrid>
        <w:gridCol w:w="9792"/>
      </w:tblGrid>
      <w:tr>
        <w:tc>
          <w:tcPr>
            <w:tcW w:type="dxa" w:w="9792"/>
            <w:shd w:val="clear" w:fill="E8F0E8"/>
          </w:tcPr>
          <w:p>
            <w:r/>
            <w:r>
              <w:rPr>
                <w:b/>
                <w:color w:val="1B5E20"/>
                <w:sz w:val="20"/>
              </w:rPr>
              <w:t xml:space="preserve">Recommendation.  </w:t>
            </w:r>
            <w:r>
              <w:rPr>
                <w:sz w:val="20"/>
              </w:rPr>
              <w:t>Use tier A (SQLite view v_gold) as the scored external test set, and treat tier C as supporting evidence on the condition axes rather than as scored test cases.</w:t>
            </w:r>
          </w:p>
        </w:tc>
      </w:tr>
    </w:tbl>
    <w:p>
      <w:pPr>
        <w:spacing w:after="40"/>
      </w:pPr>
    </w:p>
    <w:p>
      <w:pPr>
        <w:pStyle w:val="Heading1"/>
        <w:spacing w:before="280" w:after="80"/>
      </w:pPr>
      <w:r>
        <w:rPr>
          <w:color w:val="1F3B57"/>
        </w:rPr>
        <w:t>7.  Handover rules</w:t>
      </w:r>
    </w:p>
    <w:p>
      <w:pPr>
        <w:spacing w:after="40"/>
      </w:pPr>
      <w:r>
        <w:rPr>
          <w:b/>
          <w:i w:val="0"/>
          <w:sz w:val="21"/>
        </w:rPr>
        <w:t>Luke</w:t>
      </w:r>
    </w:p>
    <w:p>
      <w:pPr>
        <w:spacing w:after="160"/>
      </w:pPr>
      <w:r>
        <w:rPr>
          <w:b w:val="0"/>
          <w:i w:val="0"/>
          <w:sz w:val="21"/>
        </w:rPr>
        <w:t>LUKE_HANDOFF.md answers the exact check he requested in his DATA_READINESS_HANDOFF.md, using his hash verbatim. It reports zero training-split matches, lists the tier-B proteins that sit in his held-out test split, and flags that his 126 plastic-degraders are all in test — which is precisely why tier A matters for an unbiased final number. The team works in Slack, so this document is for posting there; nothing has been sent automatically.</w:t>
      </w:r>
    </w:p>
    <w:p>
      <w:pPr>
        <w:spacing w:after="40"/>
      </w:pPr>
      <w:r>
        <w:rPr>
          <w:b/>
          <w:i w:val="0"/>
          <w:sz w:val="21"/>
        </w:rPr>
        <w:t>Sargun</w:t>
      </w:r>
    </w:p>
    <w:tbl>
      <w:tblPr>
        <w:tblStyle w:val="TableGrid"/>
        <w:tblW w:type="auto" w:w="0"/>
        <w:tblLook w:firstColumn="1" w:firstRow="1" w:lastColumn="0" w:lastRow="0" w:noHBand="0" w:noVBand="1" w:val="04A0"/>
      </w:tblPr>
      <w:tblGrid>
        <w:gridCol w:w="9792"/>
      </w:tblGrid>
      <w:tr>
        <w:tc>
          <w:tcPr>
            <w:tcW w:type="dxa" w:w="9792"/>
            <w:shd w:val="clear" w:fill="F8EEEE"/>
          </w:tcPr>
          <w:p>
            <w:r/>
            <w:r>
              <w:rPr>
                <w:b/>
                <w:color w:val="8B1A1A"/>
                <w:sz w:val="20"/>
              </w:rPr>
              <w:t xml:space="preserve">Do not release before training and tuning are complete.  </w:t>
            </w:r>
            <w:r>
              <w:rPr>
                <w:sz w:val="20"/>
              </w:rPr>
              <w:t>This dataset is for the final external test only — not for training, not for tuning, not for feature selection, and not for picking thresholds. This is also the rule Luke states in his own handoff note. Nothing has been sent to her.</w:t>
            </w:r>
          </w:p>
        </w:tc>
      </w:tr>
    </w:tbl>
    <w:p>
      <w:pPr>
        <w:spacing w:after="40"/>
      </w:pPr>
    </w:p>
    <w:p>
      <w:pPr>
        <w:pStyle w:val="Heading1"/>
        <w:spacing w:before="280" w:after="80"/>
      </w:pPr>
      <w:r>
        <w:rPr>
          <w:color w:val="1F3B57"/>
        </w:rPr>
        <w:t>8.  Files in the deliverable</w:t>
      </w:r>
    </w:p>
    <w:tbl>
      <w:tblPr>
        <w:tblStyle w:val="TableGrid"/>
        <w:tblW w:type="auto" w:w="0"/>
        <w:jc w:val="center"/>
        <w:tblLook w:firstColumn="1" w:firstRow="1" w:lastColumn="0" w:lastRow="0" w:noHBand="0" w:noVBand="1" w:val="04A0"/>
      </w:tblPr>
      <w:tblGrid>
        <w:gridCol w:w="4896"/>
        <w:gridCol w:w="4896"/>
      </w:tblGrid>
      <w:tr>
        <w:tc>
          <w:tcPr>
            <w:tcW w:type="dxa" w:w="2736"/>
            <w:shd w:val="clear" w:fill="1F3B57"/>
          </w:tcPr>
          <w:p>
            <w:r/>
            <w:r>
              <w:rPr>
                <w:b/>
                <w:color w:val="FFFFFF"/>
                <w:sz w:val="19"/>
              </w:rPr>
              <w:t>File</w:t>
            </w:r>
          </w:p>
        </w:tc>
        <w:tc>
          <w:tcPr>
            <w:tcW w:type="dxa" w:w="5904"/>
            <w:shd w:val="clear" w:fill="1F3B57"/>
          </w:tcPr>
          <w:p>
            <w:r/>
            <w:r>
              <w:rPr>
                <w:b/>
                <w:color w:val="FFFFFF"/>
                <w:sz w:val="19"/>
              </w:rPr>
              <w:t>What it is</w:t>
            </w:r>
          </w:p>
        </w:tc>
      </w:tr>
      <w:tr>
        <w:tc>
          <w:tcPr>
            <w:tcW w:type="dxa" w:w="2736"/>
          </w:tcPr>
          <w:p>
            <w:r/>
            <w:r>
              <w:rPr>
                <w:sz w:val="19"/>
              </w:rPr>
              <w:t>pet_benchmark_v2.csv</w:t>
            </w:r>
          </w:p>
        </w:tc>
        <w:tc>
          <w:tcPr>
            <w:tcW w:type="dxa" w:w="5904"/>
          </w:tcPr>
          <w:p>
            <w:r/>
            <w:r>
              <w:rPr>
                <w:sz w:val="19"/>
              </w:rPr>
              <w:t>Main deliverable — 606 rows × 74 columns</w:t>
            </w:r>
          </w:p>
        </w:tc>
      </w:tr>
      <w:tr>
        <w:tc>
          <w:tcPr>
            <w:tcW w:type="dxa" w:w="2736"/>
            <w:shd w:val="clear" w:fill="F4F6F8"/>
          </w:tcPr>
          <w:p>
            <w:r/>
            <w:r>
              <w:rPr>
                <w:sz w:val="19"/>
              </w:rPr>
              <w:t>pet_benchmark_v2.sqlite</w:t>
            </w:r>
          </w:p>
        </w:tc>
        <w:tc>
          <w:tcPr>
            <w:tcW w:type="dxa" w:w="5904"/>
            <w:shd w:val="clear" w:fill="F4F6F8"/>
          </w:tcPr>
          <w:p>
            <w:r/>
            <w:r>
              <w:rPr>
                <w:sz w:val="19"/>
              </w:rPr>
              <w:t>Indexed, with views v_gold, v_sequence, v_temperature, v_ph, v_electrolyte, v_verified</w:t>
            </w:r>
          </w:p>
        </w:tc>
      </w:tr>
      <w:tr>
        <w:tc>
          <w:tcPr>
            <w:tcW w:type="dxa" w:w="2736"/>
          </w:tcPr>
          <w:p>
            <w:r/>
            <w:r>
              <w:rPr>
                <w:sz w:val="19"/>
              </w:rPr>
              <w:t>benchmark_sequences.fasta</w:t>
            </w:r>
          </w:p>
        </w:tc>
        <w:tc>
          <w:tcPr>
            <w:tcW w:type="dxa" w:w="5904"/>
          </w:tcPr>
          <w:p>
            <w:r/>
            <w:r>
              <w:rPr>
                <w:sz w:val="19"/>
              </w:rPr>
              <w:t>Every benchmark protein; header carries Luke's protein_id join key</w:t>
            </w:r>
          </w:p>
        </w:tc>
      </w:tr>
      <w:tr>
        <w:tc>
          <w:tcPr>
            <w:tcW w:type="dxa" w:w="2736"/>
            <w:shd w:val="clear" w:fill="F4F6F8"/>
          </w:tcPr>
          <w:p>
            <w:r/>
            <w:r>
              <w:rPr>
                <w:sz w:val="19"/>
              </w:rPr>
              <w:t>LUKE_HANDOFF.md</w:t>
            </w:r>
          </w:p>
        </w:tc>
        <w:tc>
          <w:tcPr>
            <w:tcW w:type="dxa" w:w="5904"/>
            <w:shd w:val="clear" w:fill="F4F6F8"/>
          </w:tcPr>
          <w:p>
            <w:r/>
            <w:r>
              <w:rPr>
                <w:sz w:val="19"/>
              </w:rPr>
              <w:t>The document to send Luke</w:t>
            </w:r>
          </w:p>
        </w:tc>
      </w:tr>
      <w:tr>
        <w:tc>
          <w:tcPr>
            <w:tcW w:type="dxa" w:w="2736"/>
          </w:tcPr>
          <w:p>
            <w:r/>
            <w:r>
              <w:rPr>
                <w:sz w:val="19"/>
              </w:rPr>
              <w:t>OVERLAP_REPORT.md</w:t>
            </w:r>
          </w:p>
        </w:tc>
        <w:tc>
          <w:tcPr>
            <w:tcW w:type="dxa" w:w="5904"/>
          </w:tcPr>
          <w:p>
            <w:r/>
            <w:r>
              <w:rPr>
                <w:sz w:val="19"/>
              </w:rPr>
              <w:t>Full audit trail of what was screened against what</w:t>
            </w:r>
          </w:p>
        </w:tc>
      </w:tr>
      <w:tr>
        <w:tc>
          <w:tcPr>
            <w:tcW w:type="dxa" w:w="2736"/>
            <w:shd w:val="clear" w:fill="F4F6F8"/>
          </w:tcPr>
          <w:p>
            <w:r/>
            <w:r>
              <w:rPr>
                <w:sz w:val="19"/>
              </w:rPr>
              <w:t>VERIFICATION_REPORT.md</w:t>
            </w:r>
          </w:p>
        </w:tc>
        <w:tc>
          <w:tcPr>
            <w:tcW w:type="dxa" w:w="5904"/>
            <w:shd w:val="clear" w:fill="F4F6F8"/>
          </w:tcPr>
          <w:p>
            <w:r/>
            <w:r>
              <w:rPr>
                <w:sz w:val="19"/>
              </w:rPr>
              <w:t>Every entry re-checked against a freshly downloaded article</w:t>
            </w:r>
          </w:p>
        </w:tc>
      </w:tr>
      <w:tr>
        <w:tc>
          <w:tcPr>
            <w:tcW w:type="dxa" w:w="2736"/>
          </w:tcPr>
          <w:p>
            <w:r/>
            <w:r>
              <w:rPr>
                <w:sz w:val="19"/>
              </w:rPr>
              <w:t>MANUAL_VERIFICATION.md</w:t>
            </w:r>
          </w:p>
        </w:tc>
        <w:tc>
          <w:tcPr>
            <w:tcW w:type="dxa" w:w="5904"/>
          </w:tcPr>
          <w:p>
            <w:r/>
            <w:r>
              <w:rPr>
                <w:sz w:val="19"/>
              </w:rPr>
              <w:t>What manual review found, fixed, and the measured error rate</w:t>
            </w:r>
          </w:p>
        </w:tc>
      </w:tr>
      <w:tr>
        <w:tc>
          <w:tcPr>
            <w:tcW w:type="dxa" w:w="2736"/>
            <w:shd w:val="clear" w:fill="F4F6F8"/>
          </w:tcPr>
          <w:p>
            <w:r/>
            <w:r>
              <w:rPr>
                <w:sz w:val="19"/>
              </w:rPr>
              <w:t>MANUAL_REVIEW_PACKET.md</w:t>
            </w:r>
          </w:p>
        </w:tc>
        <w:tc>
          <w:tcPr>
            <w:tcW w:type="dxa" w:w="5904"/>
            <w:shd w:val="clear" w:fill="F4F6F8"/>
          </w:tcPr>
          <w:p>
            <w:r/>
            <w:r>
              <w:rPr>
                <w:sz w:val="19"/>
              </w:rPr>
              <w:t>Entries printed beside the original article text</w:t>
            </w:r>
          </w:p>
        </w:tc>
      </w:tr>
      <w:tr>
        <w:tc>
          <w:tcPr>
            <w:tcW w:type="dxa" w:w="2736"/>
          </w:tcPr>
          <w:p>
            <w:r/>
            <w:r>
              <w:rPr>
                <w:sz w:val="19"/>
              </w:rPr>
              <w:t>README.md</w:t>
            </w:r>
          </w:p>
        </w:tc>
        <w:tc>
          <w:tcPr>
            <w:tcW w:type="dxa" w:w="5904"/>
          </w:tcPr>
          <w:p>
            <w:r/>
            <w:r>
              <w:rPr>
                <w:sz w:val="19"/>
              </w:rPr>
              <w:t>Schema, methods, provenance, limitations</w:t>
            </w:r>
          </w:p>
        </w:tc>
      </w:tr>
      <w:tr>
        <w:tc>
          <w:tcPr>
            <w:tcW w:type="dxa" w:w="2736"/>
            <w:shd w:val="clear" w:fill="F4F6F8"/>
          </w:tcPr>
          <w:p>
            <w:r/>
            <w:r>
              <w:rPr>
                <w:sz w:val="19"/>
              </w:rPr>
              <w:t>scripts/</w:t>
            </w:r>
          </w:p>
        </w:tc>
        <w:tc>
          <w:tcPr>
            <w:tcW w:type="dxa" w:w="5904"/>
            <w:shd w:val="clear" w:fill="F4F6F8"/>
          </w:tcPr>
          <w:p>
            <w:r/>
            <w:r>
              <w:rPr>
                <w:sz w:val="19"/>
              </w:rPr>
              <w:t>The reproducible pipeline (standard library, plus pypdf and python-docx)</w:t>
            </w:r>
          </w:p>
        </w:tc>
      </w:tr>
    </w:tbl>
    <w:p>
      <w:pPr>
        <w:spacing w:after="40"/>
      </w:pPr>
    </w:p>
    <w:p>
      <w:pPr>
        <w:spacing w:after="120"/>
      </w:pPr>
      <w:r>
        <w:rPr>
          <w:b w:val="0"/>
          <w:i w:val="0"/>
          <w:sz w:val="21"/>
        </w:rPr>
      </w:r>
    </w:p>
    <w:p>
      <w:pPr>
        <w:spacing w:after="120"/>
      </w:pPr>
      <w:r>
        <w:rPr>
          <w:b w:val="0"/>
          <w:i w:val="0"/>
          <w:color w:val="5A5A5A"/>
          <w:sz w:val="18"/>
        </w:rPr>
        <w:t>Sources: 558 open-access articles mined; 99 contributed a shipped row. Publication years 2026 (151), 2025 (57), 2024 (73), 2023 (122), 2022 (131), 2021 (43).</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