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THEORY TASK</w:t>
      </w:r>
    </w:p>
    <w:p>
      <w:pPr>
        <w:pStyle w:val="Heading2"/>
      </w:pPr>
      <w:r>
        <w:t>1. Why is traceability important for release confidence and UAT readiness?</w:t>
      </w:r>
    </w:p>
    <w:p>
      <w:r>
        <w:t>Traceability is the ability to link requirements to design, development, testing, and deployment artifacts. It is important for release confidence because it ensures that every approved requirement has been properly implemented and tested. When traceability is maintained, teams can easily verify that no requirement is missing, partially implemented, or incorrectly delivered before release.</w:t>
        <w:br/>
        <w:br/>
        <w:t>For User Acceptance Testing (UAT) readiness, traceability helps stakeholders confirm that all business requirements are covered by test cases. It allows testers and business users to validate that the system meets user expectations and agreed objectives. Without traceability, it becomes difficult to prove that the product is ready for release, increasing the risk of defects reaching production.</w:t>
      </w:r>
    </w:p>
    <w:p>
      <w:pPr>
        <w:pStyle w:val="Heading2"/>
      </w:pPr>
      <w:r>
        <w:t>2. What problems occur when requirements are not linked to test cases?</w:t>
      </w:r>
    </w:p>
    <w:p>
      <w:r>
        <w:t>When requirements are not linked to test cases, several issues can arise. First, some requirements may remain untested, leading to undetected defects. Second, testers may execute tests that do not validate any real business requirement, wasting time and effort.</w:t>
        <w:br/>
        <w:br/>
        <w:t>Additionally, it becomes difficult to measure test coverage and assess product quality. In case of requirement changes, teams cannot easily identify which test cases need updates, resulting in outdated or irrelevant tests. This lack of linkage reduces transparency, increases project risk, and lowers confidence in the final release.</w:t>
      </w:r>
    </w:p>
    <w:p>
      <w:pPr>
        <w:pStyle w:val="Heading2"/>
      </w:pPr>
      <w:r>
        <w:t>3. Explain how AI-generated artifacts (tests/websites) must be validated using human quality gates.</w:t>
      </w:r>
    </w:p>
    <w:p>
      <w:r>
        <w:t>AI-generated artifacts such as test cases, code, or websites can significantly improve speed and productivity, but they must be validated through human quality gates to ensure accuracy and reliability. Human review is necessary to check whether AI-generated outputs align with business requirements, standards, and user expectations.</w:t>
        <w:br/>
        <w:br/>
        <w:t>Quality gates act as checkpoints where domain experts, testers, or reviewers verify correctness, completeness, and usability. They help identify logical errors, missing edge cases, security issues, or ethical concerns that AI may overlook. By combining AI efficiency with human judgment, organizations can ensure high-quality outcomes while minimizing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