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 for:</w:t>
      </w:r>
      <w:r>
        <w:br/>
      </w:r>
      <w:r>
        <w:t xml:space="preserve">An open-source GCR dosimetry pipeline for Mars mission risk assessment:</w:t>
      </w:r>
      <w:r>
        <w:br/>
      </w:r>
      <w:r>
        <w:t xml:space="preserve">organ-specific REID, SEP acute hazard, and global uncertainty quantification</w:t>
      </w:r>
    </w:p>
    <w:p>
      <w:pPr>
        <w:pStyle w:val="Author"/>
      </w:pPr>
      <w:r>
        <w:t xml:space="preserve">Aryan Hemendra Shah</w:t>
      </w:r>
      <w:r>
        <w:br/>
      </w:r>
      <w:r>
        <w:t xml:space="preserve">University of Miami</w:t>
      </w:r>
    </w:p>
    <w:p>
      <w:pPr>
        <w:pStyle w:val="Date"/>
      </w:pPr>
      <w:r>
        <w:t xml:space="preserve">2026-09-19</w:t>
      </w:r>
    </w:p>
    <w:p>
      <w:pPr>
        <w:pStyle w:val="FirstParagraph"/>
      </w:pPr>
      <w:r>
        <w:t xml:space="preserve">This document contains full physics/biology derivations, extended parameter</w:t>
      </w:r>
      <w:r>
        <w:t xml:space="preserve"> </w:t>
      </w:r>
      <w:r>
        <w:t xml:space="preserve">tables, and extended discussion supporting the main text, which is</w:t>
      </w:r>
      <w:r>
        <w:t xml:space="preserve"> </w:t>
      </w:r>
      <w:r>
        <w:t xml:space="preserve">constrained to 3500 words (Introduction through Discussion) per the</w:t>
      </w:r>
      <w:r>
        <w:t xml:space="preserve"> </w:t>
      </w:r>
      <w:r>
        <w:rPr>
          <w:i/>
          <w:iCs/>
        </w:rPr>
        <w:t xml:space="preserve">Life Sciences in Space Research</w:t>
      </w:r>
      <w:r>
        <w:t xml:space="preserve"> </w:t>
      </w:r>
      <w:r>
        <w:t xml:space="preserve">author guidelines. Section, table,</w:t>
      </w:r>
      <w:r>
        <w:t xml:space="preserve"> </w:t>
      </w:r>
      <w:r>
        <w:t xml:space="preserve">and equation numbers here are independent of the main text and prefixed</w:t>
      </w:r>
      <w:r>
        <w:t xml:space="preserve"> </w:t>
      </w:r>
      <w:r>
        <w:t xml:space="preserve">with S.</w:t>
      </w:r>
    </w:p>
    <w:bookmarkStart w:id="30" w:name="supplementary-methods"/>
    <w:p>
      <w:pPr>
        <w:pStyle w:val="Heading1"/>
      </w:pPr>
      <w:r>
        <w:t xml:space="preserve">Supplementary Methods</w:t>
      </w:r>
    </w:p>
    <w:bookmarkStart w:id="9" w:name="mission-trajectory-model"/>
    <w:p>
      <w:pPr>
        <w:pStyle w:val="Heading2"/>
      </w:pPr>
      <w:r>
        <w:t xml:space="preserve">Mission Trajectory Model</w:t>
      </w:r>
    </w:p>
    <w:p>
      <w:pPr>
        <w:pStyle w:val="FirstParagraph"/>
      </w:pPr>
      <w:r>
        <w:t xml:space="preserve">A Hohmann-transfer trajectory from Earth (1.0 AU) to Mars (1.524 AU) is</w:t>
      </w:r>
      <w:r>
        <w:t xml:space="preserve"> </w:t>
      </w:r>
      <w:r>
        <w:t xml:space="preserve">generated by computing heliocentric distance as a function of mission elapsed</w:t>
      </w:r>
      <w:r>
        <w:t xml:space="preserve"> </w:t>
      </w:r>
      <w:r>
        <w:t xml:space="preserve">time,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using Keplerian orbital mechanics: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⊕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1.262</m:t>
        </m:r>
      </m:oMath>
      <w:r>
        <w:t xml:space="preserve"> AU is the semi-major axis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⊕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⊕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0.208</m:t>
        </m:r>
      </m:oMath>
      <w:r>
        <w:t xml:space="preserve"> </w:t>
      </w:r>
      <w:r>
        <w:t xml:space="preserve">is the eccentricity of the transfer ellipse. Transit duration is fixed at</w:t>
      </w:r>
      <w:r>
        <w:t xml:space="preserve"> </w:t>
      </w:r>
      <w:r>
        <w:t xml:space="preserve">259 days (one half-period of the transfer orbit). The heliocentric distance</w:t>
      </w:r>
      <w:r>
        <w:t xml:space="preserve"> </w:t>
      </w:r>
      <w:r>
        <w:t xml:space="preserve">enters the dose rate only through the solar modulation potential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direct geometric flux dilution as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not applied separately because</w:t>
      </w:r>
      <w:r>
        <w:t xml:space="preserve"> </w:t>
      </w:r>
      <w:r>
        <w:t xml:space="preserve">the force-field modulation already encodes the energy dependence of solar</w:t>
      </w:r>
      <w:r>
        <w:t xml:space="preserve"> </w:t>
      </w:r>
      <w:r>
        <w:t xml:space="preserve">wind effects at the relevant energies.</w:t>
      </w:r>
    </w:p>
    <w:bookmarkEnd w:id="9"/>
    <w:bookmarkStart w:id="10" w:name="solar-modulation-potential"/>
    <w:p>
      <w:pPr>
        <w:pStyle w:val="Heading2"/>
      </w:pPr>
      <w:r>
        <w:t xml:space="preserve">Solar Modulation Potential</w:t>
      </w:r>
    </w:p>
    <w:p>
      <w:pPr>
        <w:pStyle w:val="FirstParagraph"/>
      </w:pPr>
      <w:r>
        <w:t xml:space="preserve">The time-resolved solar modulation potential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obtained from the</w:t>
      </w:r>
      <w:r>
        <w:t xml:space="preserve"> </w:t>
      </w:r>
      <w:r>
        <w:t xml:space="preserve">Usoskin et al. (2017) database, which provides monthly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values</w:t>
      </w:r>
      <w:r>
        <w:t xml:space="preserve"> </w:t>
      </w:r>
      <w:r>
        <w:t xml:space="preserve">reconstructed from ground-level neutron monitor count rates back to 1936.</w:t>
      </w:r>
      <w:r>
        <w:t xml:space="preserve"> </w:t>
      </w:r>
      <w:r>
        <w:t xml:space="preserve">For the MSL transit period (2011 November – 2012 July), values cluster</w:t>
      </w:r>
      <w:r>
        <w:t xml:space="preserve"> </w:t>
      </w:r>
      <w:r>
        <w:t xml:space="preserve">around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481</m:t>
        </m:r>
        <m:r>
          <m:rPr>
            <m:sty m:val="p"/>
          </m:rPr>
          <m:t>±</m:t>
        </m:r>
        <m:r>
          <m:t>50</m:t>
        </m:r>
      </m:oMath>
      <w:r>
        <w:t xml:space="preserve"> MV. Systematic offsets between different</w:t>
      </w:r>
      <w:r>
        <w:t xml:space="preserve"> </w:t>
      </w:r>
      <w:r>
        <w:t xml:space="preserve">neutron monitor stations introduce</w:t>
      </w:r>
      <w:r>
        <w:t xml:space="preserve"> </w:t>
      </w:r>
      <m:oMath>
        <m:r>
          <m:rPr>
            <m:sty m:val="p"/>
          </m:rPr>
          <m:t>±</m:t>
        </m:r>
        <m:r>
          <m:t>50</m:t>
        </m:r>
      </m:oMath>
      <w:r>
        <w:t xml:space="preserve">–</w:t>
      </w:r>
      <m:oMath>
        <m:r>
          <m:t>100</m:t>
        </m:r>
      </m:oMath>
      <w:r>
        <w:t xml:space="preserve"> MV uncertainty in the</w:t>
      </w:r>
      <w:r>
        <w:t xml:space="preserve"> </w:t>
      </w:r>
      <w:r>
        <w:t xml:space="preserve">absolute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calibration; this is propagated via the</w:t>
      </w:r>
      <w:r>
        <w:t xml:space="preserve"> </w:t>
      </w:r>
      <w:r>
        <w:rPr>
          <w:rStyle w:val="VerbatimChar"/>
        </w:rPr>
        <w:t xml:space="preserve">phi_scale</w:t>
      </w:r>
      <w:r>
        <w:t xml:space="preserve"> </w:t>
      </w:r>
      <w:r>
        <w:t xml:space="preserve">LHS parameter (Table </w:t>
      </w:r>
      <w:hyperlink w:anchor="tab:uq_params">
        <w:r>
          <w:rPr>
            <w:rStyle w:val="Hyperlink"/>
          </w:rPr>
          <w:t xml:space="preserve">6</w:t>
        </w:r>
      </w:hyperlink>
      <w:r>
        <w:t xml:space="preserve">).</w:t>
      </w:r>
    </w:p>
    <w:bookmarkEnd w:id="10"/>
    <w:bookmarkStart w:id="17" w:name="gcr-spectrum-generation"/>
    <w:p>
      <w:pPr>
        <w:pStyle w:val="Heading2"/>
      </w:pPr>
      <w:r>
        <w:t xml:space="preserve">GCR Spectrum Generation</w:t>
      </w:r>
    </w:p>
    <w:bookmarkStart w:id="11" w:name="force-field-modulation"/>
    <w:p>
      <w:pPr>
        <w:pStyle w:val="Heading3"/>
      </w:pPr>
      <w:r>
        <w:t xml:space="preserve">Force-Field Modulation</w:t>
      </w:r>
    </w:p>
    <w:p>
      <w:pPr>
        <w:pStyle w:val="FirstParagraph"/>
      </w:pPr>
      <w:r>
        <w:t xml:space="preserve">Solar modulation of the GCR flux is computed using the Gleeson–Axford (1968)</w:t>
      </w:r>
      <w:r>
        <w:t xml:space="preserve"> </w:t>
      </w:r>
      <w:r>
        <w:t xml:space="preserve">force-field approximation. For an ion of charge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mass number</w:t>
      </w:r>
      <w:r>
        <w:t xml:space="preserve"> </w:t>
      </w:r>
      <m:oMath>
        <m:r>
          <m:t>A</m:t>
        </m:r>
      </m:oMath>
      <w:r>
        <w:t xml:space="preserve">, the</w:t>
      </w:r>
      <w:r>
        <w:t xml:space="preserve"> </w:t>
      </w:r>
      <w:r>
        <w:t xml:space="preserve">modulated differential flux at kinetic energy per nucleon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+</m:t>
          </m:r>
          <m:r>
            <m:t>δ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938.272</m:t>
        </m:r>
      </m:oMath>
      <w:r>
        <w:t xml:space="preserve"> MeV is the proton rest-mass energy,</w:t>
      </w:r>
      <w:r>
        <w:t xml:space="preserve"> </w:t>
      </w:r>
      <m:oMath>
        <m: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t> </m:t>
        </m:r>
        <m:r>
          <m:t>ϕ</m:t>
        </m:r>
      </m:oMath>
      <w:r>
        <w:t xml:space="preserve"> </w:t>
      </w:r>
      <w:r>
        <w:t xml:space="preserve">(MeV/nucleon), and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is the local</w:t>
      </w:r>
      <w:r>
        <w:t xml:space="preserve"> </w:t>
      </w:r>
      <w:r>
        <w:t xml:space="preserve">interstellar spectrum (below). The ratio in Eq. </w:t>
      </w:r>
      <w:hyperlink w:anchor="eq:ff">
        <w:r>
          <w:rPr>
            <w:rStyle w:val="Hyperlink"/>
          </w:rPr>
          <w:t xml:space="preserve">[eq:ff]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Jacobian of the energy transformation, ensuring flux conservation. The</w:t>
      </w:r>
      <w:r>
        <w:t xml:space="preserve"> </w:t>
      </w:r>
      <w:r>
        <w:t xml:space="preserve">approximation is accurate for rigidities 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</m:t>
        </m:r>
      </m:oMath>
      <w:r>
        <w:t xml:space="preserve"> GV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200</m:t>
        </m:r>
      </m:oMath>
      <w:r>
        <w:t xml:space="preserve">–</w:t>
      </w:r>
      <m:oMath>
        <m:r>
          <m:t>1500</m:t>
        </m:r>
      </m:oMath>
      <w:r>
        <w:t xml:space="preserve"> MV</w:t>
      </w:r>
      <w:r>
        <w:t xml:space="preserve"> </w:t>
      </w:r>
      <w:r>
        <w:t xml:space="preserve">(Potgieter 2013)</w:t>
      </w:r>
      <w:r>
        <w:t xml:space="preserve">; charge-sign-dependent drift (relevant</w:t>
      </w:r>
      <w:r>
        <w:t xml:space="preserve"> </w:t>
      </w:r>
      <w:r>
        <w:t xml:space="preserve">at solar minimum) is not captured, but dose here is dominated by particles</w:t>
      </w:r>
      <w:r>
        <w:t xml:space="preserve"> </w:t>
      </w:r>
      <w:r>
        <w:t xml:space="preserve">above a few hundred MeV/n where this is not expected to matter materially.</w:t>
      </w:r>
    </w:p>
    <w:bookmarkEnd w:id="11"/>
    <w:bookmarkStart w:id="13" w:name="local-interstellar-spectra"/>
    <w:p>
      <w:pPr>
        <w:pStyle w:val="Heading3"/>
      </w:pPr>
      <w:r>
        <w:t xml:space="preserve">Local Interstellar Spectra</w:t>
      </w:r>
    </w:p>
    <w:p>
      <w:pPr>
        <w:pStyle w:val="FirstParagraph"/>
      </w:pPr>
      <w:r>
        <w:t xml:space="preserve">Proton and helium LIS follow Vos &amp; Potgieter</w:t>
      </w:r>
      <w:r>
        <w:t xml:space="preserve"> </w:t>
      </w:r>
      <w:r>
        <w:t xml:space="preserve">(Vos and Potgieter 2015)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J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3.93</m:t>
                  </m:r>
                </m:sup>
              </m:sSup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MeV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sr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Heavy ions (C, O, Si, Fe) follow the per-species HelMod model of Boschini</w:t>
      </w:r>
      <w:r>
        <w:t xml:space="preserve"> </w:t>
      </w:r>
      <w:r>
        <w:t xml:space="preserve">et al. </w:t>
      </w:r>
      <w:r>
        <w:t xml:space="preserve">(</w:t>
      </w:r>
      <w:r>
        <w:t xml:space="preserve">Boschini et al.</w:t>
      </w:r>
      <w:r>
        <w:t xml:space="preserve"> </w:t>
      </w:r>
      <w:r>
        <w:t xml:space="preserve">2020)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J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s</m:t>
                      </m:r>
                    </m:sub>
                  </m:sSub>
                </m:sup>
              </m:sSup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Table </w:t>
      </w:r>
      <w:hyperlink w:anchor="tab:lis_param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lists all adopted parameters. Iron’s flatter</w:t>
      </w:r>
      <w:r>
        <w:t xml:space="preserve"> </w:t>
      </w:r>
      <w:r>
        <w:t xml:space="preserve">index 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2.65</m:t>
        </m:r>
      </m:oMath>
      <w:r>
        <w:t xml:space="preserve">) gives it disproportionate high-energy flux,</w:t>
      </w:r>
      <w:r>
        <w:t xml:space="preserve"> </w:t>
      </w:r>
      <w:r>
        <w:t xml:space="preserve">amplified by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stopping-power scaling.</w:t>
      </w:r>
    </w:p>
    <w:bookmarkStart w:id="12" w:name="tab:lis_params"/>
    <w:p>
      <w:pPr>
        <w:pStyle w:val="TableCaption"/>
      </w:pPr>
      <w:r>
        <w:t xml:space="preserve">LIS spectral parameters used in</w:t>
      </w:r>
      <w:r>
        <w:t xml:space="preserve"> </w:t>
      </w:r>
      <w:r>
        <w:rPr>
          <w:rStyle w:val="VerbatimChar"/>
        </w:rPr>
        <w:t xml:space="preserve">gcr/spectrum.py</w:t>
      </w:r>
      <w:r>
        <w:t xml:space="preserve">.</w:t>
      </w:r>
      <w:r>
        <w:t xml:space="preserve"> </w:t>
      </w:r>
      <w:r>
        <w:t xml:space="preserve">Proton and helium from Vos &amp; Potgieter</w:t>
      </w:r>
      <w:r>
        <w:t xml:space="preserve"> </w:t>
      </w:r>
      <w:r>
        <w:t xml:space="preserve">(Vos and Potgieter 2015)</w:t>
      </w:r>
      <w:r>
        <w:t xml:space="preserve">; heavy ions from</w:t>
      </w:r>
      <w:r>
        <w:t xml:space="preserve"> </w:t>
      </w:r>
      <w:r>
        <w:t xml:space="preserve">Boschini et al. </w:t>
      </w:r>
      <w:r>
        <w:t xml:space="preserve">(</w:t>
      </w:r>
      <w:r>
        <w:t xml:space="preserve">Boschini et al.</w:t>
      </w:r>
      <w:r>
        <w:t xml:space="preserve"> </w:t>
      </w:r>
      <w:r>
        <w:t xml:space="preserve">2020)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S spectral parameters used in gcr/spectrum.py. Proton and helium from Vos &amp; Potgieter (Vos and Potgieter 2015); heavy ions from Boschini et al. (Boschini et al. 2020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(GeV/n)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&amp; Potgieter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&amp; Potgieter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Boschini et al. 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Boschini et al. 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Boschini et al. 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Boschini et al. (2020)</w:t>
            </w:r>
          </w:p>
        </w:tc>
      </w:tr>
    </w:tbl>
    <w:bookmarkEnd w:id="12"/>
    <w:bookmarkEnd w:id="13"/>
    <w:bookmarkStart w:id="16" w:name="sec:calib_supp"/>
    <w:p>
      <w:pPr>
        <w:pStyle w:val="Heading3"/>
      </w:pPr>
      <w:r>
        <w:t xml:space="preserve">Composition-Constrained Normalization</w:t>
      </w:r>
    </w:p>
    <w:p>
      <w:pPr>
        <w:pStyle w:val="FirstParagraph"/>
      </w:pPr>
      <w:r>
        <w:t xml:space="preserve">Calibration is a two-step procedure.</w:t>
      </w:r>
      <w:r>
        <w:t xml:space="preserve"> </w:t>
      </w:r>
      <w:r>
        <w:rPr>
          <w:b/>
          <w:bCs/>
        </w:rPr>
        <w:t xml:space="preserve">Step 1 (composition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constraint)</w:t>
      </w:r>
      <w:r>
        <w:t xml:space="preserve">: for each species</w:t>
      </w:r>
      <w:r>
        <w:t xml:space="preserve"> </w:t>
      </w:r>
      <m:oMath>
        <m:r>
          <m:t>s</m:t>
        </m:r>
      </m:oMath>
      <w:r>
        <w:t xml:space="preserve">, a correction factor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rPr>
                <m:sty m:val="p"/>
              </m:rPr>
              <m:t>H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rPr>
                <m:sty m:val="p"/>
              </m:rPr>
              <m:t>H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is computed so the modulated LIS reproduces the particle-flux ratio measured</w:t>
      </w:r>
      <w:r>
        <w:t xml:space="preserve"> </w:t>
      </w:r>
      <w:r>
        <w:t xml:space="preserve">by ACE/CRIS</w:t>
      </w:r>
      <w:r>
        <w:t xml:space="preserve"> </w:t>
      </w:r>
      <w:r>
        <w:t xml:space="preserve">(</w:t>
      </w:r>
      <w:r>
        <w:t xml:space="preserve">George et al.</w:t>
      </w:r>
      <w:r>
        <w:t xml:space="preserve"> </w:t>
      </w:r>
      <w:r>
        <w:t xml:space="preserve">2009)</w:t>
      </w:r>
      <w:r>
        <w:t xml:space="preserve"> </w:t>
      </w:r>
      <w:r>
        <w:t xml:space="preserve">and PAMELA</w:t>
      </w:r>
      <w:r>
        <w:t xml:space="preserve"> </w:t>
      </w:r>
      <w:r>
        <w:t xml:space="preserve">(</w:t>
      </w:r>
      <w:r>
        <w:t xml:space="preserve">Adriani et al.</w:t>
      </w:r>
      <w:r>
        <w:t xml:space="preserve"> </w:t>
      </w:r>
      <w:r>
        <w:t xml:space="preserve">2014)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 MeV/n,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481</m:t>
        </m:r>
      </m:oMath>
      <w:r>
        <w:t xml:space="preserve"> MV (Table </w:t>
      </w:r>
      <w:hyperlink w:anchor="tab:ace_cris_comp">
        <w:r>
          <w:rPr>
            <w:rStyle w:val="Hyperlink"/>
          </w:rPr>
          <w:t xml:space="preserve">2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Step 2 (global dose scale)</w:t>
      </w:r>
      <w:r>
        <w:t xml:space="preserve">: a single global scale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0.894</m:t>
        </m:r>
      </m:oMath>
      <w:r>
        <w:t xml:space="preserve"> </w:t>
      </w:r>
      <w:r>
        <w:t xml:space="preserve">is then fit so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</m:sub>
        </m:sSub>
        <m:r>
          <m:rPr>
            <m:sty m:val="p"/>
          </m:rPr>
          <m:t>←</m:t>
        </m:r>
        <m:r>
          <m:t>k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sSub>
          <m:e>
            <m:r>
              <m:t>J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reproduces</w:t>
      </w:r>
      <w:r>
        <w:t xml:space="preserve"> </w:t>
      </w:r>
      <m:oMath>
        <m:acc>
          <m:accPr>
            <m:chr m:val="̇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1.84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y</m:t>
        </m:r>
        <m:r>
          <m:rPr>
            <m:sty m:val="p"/>
          </m:rPr>
          <m:t> </m:t>
        </m:r>
        <m:r>
          <m:rPr>
            <m:sty m:val="p"/>
          </m:rPr>
          <m:t>d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481</m:t>
        </m:r>
      </m:oMath>
      <w:r>
        <w:t xml:space="preserve"> MV</w:t>
      </w:r>
      <w:r>
        <w:t xml:space="preserve"> </w:t>
      </w:r>
      <w:r>
        <w:t xml:space="preserve">(</w:t>
      </w:r>
      <w:r>
        <w:t xml:space="preserve">Zeitlin et al.</w:t>
      </w:r>
      <w:r>
        <w:t xml:space="preserve"> </w:t>
      </w:r>
      <w:r>
        <w:t xml:space="preserve">2013)</w:t>
      </w:r>
      <w:r>
        <w:t xml:space="preserve">. This</w:t>
      </w:r>
      <w:r>
        <w:t xml:space="preserve"> </w:t>
      </w:r>
      <w:r>
        <w:t xml:space="preserve">replaces a prior six-free-parameter fit (one factor per species fit</w:t>
      </w:r>
      <w:r>
        <w:t xml:space="preserve"> </w:t>
      </w:r>
      <w:r>
        <w:t xml:space="preserve">independently to the single dose scalar, with no physical composition</w:t>
      </w:r>
      <w:r>
        <w:t xml:space="preserve"> </w:t>
      </w:r>
      <w:r>
        <w:t xml:space="preserve">constraint) with one free parameter whose relative species mix is</w:t>
      </w:r>
      <w:r>
        <w:t xml:space="preserve"> </w:t>
      </w:r>
      <w:r>
        <w:t xml:space="preserve">externally anchored.</w:t>
      </w:r>
    </w:p>
    <w:bookmarkStart w:id="14" w:name="tab:ace_cris_comp"/>
    <w:p>
      <w:pPr>
        <w:pStyle w:val="TableCaption"/>
      </w:pPr>
      <w:r>
        <w:t xml:space="preserve">ACE/CRIS and PAMELA reference particle-flux ratios relative to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200</m:t>
        </m:r>
      </m:oMath>
      <w:r>
        <w:t xml:space="preserve"> MeV/n,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481</m:t>
        </m:r>
      </m:oMath>
      <w:r>
        <w:t xml:space="preserve"> MV</w:t>
      </w:r>
      <w:r>
        <w:t xml:space="preserve"> </w:t>
      </w:r>
      <w:r>
        <w:t xml:space="preserve">(2011–2012 MSL epoch).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E/CRIS and PAMELA reference particle-flux ratios relative to J_\mathrm{H}=1.0, E_n \approx 200 MeV/n, \phi \approx 481 MV (2011–2012 MSL epoch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Adriani et al. 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et al. 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et al. 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et al. 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et al. (2009)</w:t>
            </w:r>
          </w:p>
        </w:tc>
      </w:tr>
    </w:tbl>
    <w:bookmarkEnd w:id="14"/>
    <w:p>
      <w:pPr>
        <w:pStyle w:val="BodyText"/>
      </w:pPr>
      <w:r>
        <w:t xml:space="preserve">Table </w:t>
      </w:r>
      <w:hyperlink w:anchor="tab:species_compar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compares the resulting composition against</w:t>
      </w:r>
      <w:r>
        <w:t xml:space="preserve"> </w:t>
      </w:r>
      <w:r>
        <w:t xml:space="preserve">the NASA Space Radiation Laboratory (NSRL) GCR simulator reference field</w:t>
      </w:r>
      <w:r>
        <w:t xml:space="preserve"> </w:t>
      </w:r>
      <w:r>
        <w:t xml:space="preserve">(Slaba et al. 2016)</w:t>
      </w:r>
      <w:r>
        <w:t xml:space="preserve">. The proton fraction is within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</m:t>
        </m:r>
      </m:oMath>
      <w:r>
        <w:t xml:space="preserve"> </w:t>
      </w:r>
      <w:r>
        <w:t xml:space="preserve">points of NSRL;</w:t>
      </w:r>
      <w:r>
        <w:t xml:space="preserve"> </w:t>
      </w:r>
      <w:r>
        <w:t xml:space="preserve">the HZE fraction is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1.7</m:t>
        </m:r>
        <m:r>
          <m:rPr>
            <m:sty m:val="p"/>
          </m:rPr>
          <m:t>×</m:t>
        </m:r>
      </m:oMath>
      <w:r>
        <w:t xml:space="preserve"> </w:t>
      </w:r>
      <w:r>
        <w:t xml:space="preserve">the NSRL reference (down from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under the prior calibration), attributed to CSDA transport</w:t>
      </w:r>
      <w:r>
        <w:t xml:space="preserve"> </w:t>
      </w:r>
      <w:r>
        <w:t xml:space="preserve">not modeling nuclear fragmentation (which converts high-LET heavy ions into</w:t>
      </w:r>
      <w:r>
        <w:t xml:space="preserve"> </w:t>
      </w:r>
      <w:r>
        <w:t xml:space="preserve">lower-LET secondaries in NSRL/HZETRN but not here). The helium fraction is</w:t>
      </w:r>
      <w:r>
        <w:t xml:space="preserve"> </w:t>
      </w:r>
      <w:r>
        <w:t xml:space="preserve">below NSRL, reflecting the measured ACE/CRIS He/H ratio at</w:t>
      </w:r>
      <w:r>
        <w:t xml:space="preserve"> </w:t>
      </w:r>
      <m:oMath>
        <m:r>
          <m:t>200</m:t>
        </m:r>
      </m:oMath>
      <w:r>
        <w:t xml:space="preserve"> MeV/n being</w:t>
      </w:r>
      <w:r>
        <w:t xml:space="preserve"> </w:t>
      </w:r>
      <w:r>
        <w:t xml:space="preserve">lower than the LIS model’s He/H at the higher energies that set the</w:t>
      </w:r>
      <w:r>
        <w:t xml:space="preserve"> </w:t>
      </w:r>
      <w:r>
        <w:t xml:space="preserve">unmodulated normalization.</w:t>
      </w:r>
    </w:p>
    <w:bookmarkStart w:id="15" w:name="tab:species_compare"/>
    <w:p>
      <w:pPr>
        <w:pStyle w:val="TableCaption"/>
      </w:pPr>
      <w:r>
        <w:t xml:space="preserve">Per-charge-group absorbed dose fractions: composition-constrained</w:t>
      </w:r>
      <w:r>
        <w:t xml:space="preserve"> </w:t>
      </w:r>
      <w:r>
        <w:t xml:space="preserve">pipeline vs. NSRL reference</w:t>
      </w:r>
      <w:r>
        <w:t xml:space="preserve"> </w:t>
      </w:r>
      <w:r>
        <w:t xml:space="preserve">(Slaba et al. 2016)</w:t>
      </w:r>
      <w:r>
        <w:t xml:space="preserve">. Geometries differ</w:t>
      </w:r>
      <w:r>
        <w:t xml:space="preserve"> </w:t>
      </w:r>
      <w:r>
        <w:t xml:space="preserve">by</w:t>
      </w:r>
      <w:r>
        <w:t xml:space="preserve"> </w:t>
      </w:r>
      <m:oMath>
        <m:r>
          <m:t>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 and solar phase; evaluating the pipeline at NSRL</w:t>
      </w:r>
      <w:r>
        <w:t xml:space="preserve"> </w:t>
      </w:r>
      <w:r>
        <w:t xml:space="preserve">conditions (</w:t>
      </w:r>
      <m:oMath>
        <m:r>
          <m:t>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Al,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300</m:t>
        </m:r>
      </m:oMath>
      <w:r>
        <w:t xml:space="preserve"> MV) 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12.6</m:t>
        </m:r>
        <m:r>
          <m:rPr>
            <m:sty m:val="p"/>
          </m:rPr>
          <m:t>%</m:t>
        </m:r>
      </m:oMath>
      <w:r>
        <w:t xml:space="preserve"> </w:t>
      </w:r>
      <w:r>
        <w:t xml:space="preserve">vs. NSRL’s</w:t>
      </w:r>
      <w:r>
        <w:t xml:space="preserve"> </w:t>
      </w:r>
      <m:oMath>
        <m:r>
          <m:t>7.6</m:t>
        </m:r>
        <m:r>
          <m:rPr>
            <m:sty m:val="p"/>
          </m:rPr>
          <m:t>%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charge-group absorbed dose fractions: composition-constrained pipeline vs. NSRL reference (Slaba et al. 2016). Geometries differ by 4\,\mathrm{g\,cm^{-2}} Al and solar phase; evaluating the pipeline at NSRL conditions (20\,\mathrm{g\,cm^{-2}} Al, \phi\approx300 MV) gives \mathrm{HZE}=12.6\% vs. NSRL’s 7.6\%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Particle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Pipeline (</w:t>
            </w:r>
            <m:oMath>
              <m:r>
                <m:t>16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 </w:t>
            </w:r>
            <w:r>
              <w:t xml:space="preserve">Al,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481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NSRL (</w:t>
            </w:r>
            <m:oMath>
              <m:r>
                <m:t>20</m:t>
              </m:r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t xml:space="preserve"> </w:t>
            </w:r>
            <w:r>
              <w:t xml:space="preserve">Al, solar min)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(protons)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73.3%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(helium)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19.2%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(HZE)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7.6%</w:t>
            </w:r>
          </w:p>
        </w:tc>
      </w:tr>
    </w:tbl>
    <w:bookmarkEnd w:id="15"/>
    <w:p>
      <w:pPr>
        <w:pStyle w:val="BodyText"/>
      </w:pPr>
      <w:r>
        <w:t xml:space="preserve">With this composition, the pipeline gives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6.09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d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3.32</m:t>
        </m:r>
      </m:oMath>
      <w:r>
        <w:t xml:space="preserve"> </w:t>
      </w:r>
      <w:r>
        <w:t xml:space="preserve">at the calibration geometry, vs. RAD’s</w:t>
      </w:r>
      <w:r>
        <w:t xml:space="preserve"> </w:t>
      </w:r>
      <m:oMath>
        <m:r>
          <m:t>4.81</m:t>
        </m:r>
        <m:r>
          <m:rPr>
            <m:sty m:val="p"/>
          </m:rPr>
          <m:t>±</m:t>
        </m:r>
        <m:r>
          <m:t>0.97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d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2.62</m:t>
        </m:r>
        <m:r>
          <m:rPr>
            <m:sty m:val="p"/>
          </m:rPr>
          <m:t>±</m:t>
        </m:r>
        <m:r>
          <m:t>0.14</m:t>
        </m:r>
      </m:oMath>
      <w:r>
        <w:t xml:space="preserve"> </w:t>
      </w:r>
      <w:r>
        <w:t xml:space="preserve">(a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excess). This is attributed to the same CSDA</w:t>
      </w:r>
      <w:r>
        <w:t xml:space="preserve"> </w:t>
      </w:r>
      <w:r>
        <w:t xml:space="preserve">fragmentation gap: without converting high-LET HZE dose into lower-LET</w:t>
      </w:r>
      <w:r>
        <w:t xml:space="preserve"> </w:t>
      </w:r>
      <w:r>
        <w:t xml:space="preserve">secondaries, the dose-weighted quality factor is inflated.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r>
        <w:t xml:space="preserve">REID from this pipeline should be read as conservative upper estimates.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hze_norm_scale</w:t>
      </w:r>
      <w:r>
        <w:t xml:space="preserve"> </w:t>
      </w:r>
      <w:r>
        <w:t xml:space="preserve">LHS parameter (LogNormal,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0.20</m:t>
        </m:r>
      </m:oMath>
      <w:r>
        <w:t xml:space="preserve">)</w:t>
      </w:r>
      <w:r>
        <w:t xml:space="preserve"> </w:t>
      </w:r>
      <w:r>
        <w:t xml:space="preserve">propagates the residual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ACE/CRIS inter-instrument composition</w:t>
      </w:r>
      <w:r>
        <w:t xml:space="preserve"> </w:t>
      </w:r>
      <w:r>
        <w:t xml:space="preserve">uncertainty</w:t>
      </w:r>
      <w:r>
        <w:t xml:space="preserve"> </w:t>
      </w:r>
      <w:r>
        <w:t xml:space="preserve">(</w:t>
      </w:r>
      <w:r>
        <w:t xml:space="preserve">George et al.</w:t>
      </w:r>
      <w:r>
        <w:t xml:space="preserve"> </w:t>
      </w:r>
      <w:r>
        <w:t xml:space="preserve">2009;</w:t>
      </w:r>
      <w:r>
        <w:t xml:space="preserve"> </w:t>
      </w:r>
      <w:r>
        <w:t xml:space="preserve">Boschini et al.</w:t>
      </w:r>
      <w:r>
        <w:t xml:space="preserve"> </w:t>
      </w:r>
      <w:r>
        <w:t xml:space="preserve">2020)</w:t>
      </w:r>
      <w:r>
        <w:t xml:space="preserve">.</w:t>
      </w:r>
    </w:p>
    <w:bookmarkEnd w:id="16"/>
    <w:bookmarkEnd w:id="17"/>
    <w:bookmarkStart w:id="21" w:name="charged-particle-transport"/>
    <w:p>
      <w:pPr>
        <w:pStyle w:val="Heading2"/>
      </w:pPr>
      <w:r>
        <w:t xml:space="preserve">Charged Particle Transport</w:t>
      </w:r>
    </w:p>
    <w:bookmarkStart w:id="18" w:name="stopping-power-and-csda-range"/>
    <w:p>
      <w:pPr>
        <w:pStyle w:val="Heading3"/>
      </w:pPr>
      <w:r>
        <w:t xml:space="preserve">Stopping Power and CSDA Range</w:t>
      </w:r>
    </w:p>
    <w:p>
      <w:pPr>
        <w:pStyle w:val="FirstParagraph"/>
      </w:pPr>
      <w:r>
        <w:t xml:space="preserve">Energy loss is computed via CSDA. Stopping power for charge</w:t>
      </w:r>
      <w:r>
        <w:t xml:space="preserve"> </w:t>
      </w:r>
      <m:oMath>
        <m:r>
          <m:t>Z</m:t>
        </m:r>
      </m:oMath>
      <w:r>
        <w:t xml:space="preserve">, velocity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/</m:t>
          </m:r>
          <m:r>
            <m:t>A</m:t>
          </m:r>
          <m:r>
            <m:rPr>
              <m:sty m:val="p"/>
            </m:rPr>
            <m:t>,</m:t>
          </m:r>
          <m:r>
            <m:t> 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/</m:t>
          </m:r>
          <m:r>
            <m:t>A</m:t>
          </m:r>
          <m:r>
            <m:rPr>
              <m:sty m:val="p"/>
            </m:rPr>
            <m:t>,</m:t>
          </m:r>
          <m:r>
            <m:t> 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/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Barkas effective charge</w:t>
      </w:r>
      <w:r>
        <w:t xml:space="preserve"> </w:t>
      </w:r>
      <w:r>
        <w:t xml:space="preserve">(Barkas 1963)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Z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125</m:t>
        </m:r>
        <m:r>
          <m:t>β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(reducing to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scaling</w:t>
      </w:r>
      <w:r>
        <w:t xml:space="preserve"> </w:t>
      </w:r>
      <w:r>
        <w:t xml:space="preserve">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</m:t>
        </m:r>
      </m:oMath>
      <w:r>
        <w:t xml:space="preserve"> GeV/n). Proton stopping powers (Al, PE, water, tissue) are</w:t>
      </w:r>
      <w:r>
        <w:t xml:space="preserve"> </w:t>
      </w:r>
      <w:r>
        <w:t xml:space="preserve">tabulated from NIST PSTAR/ASTAR (500 log-spaced points, 1 MeV–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MeV,</w:t>
      </w:r>
      <w:r>
        <w:t xml:space="preserve"> </w:t>
      </w:r>
      <w:r>
        <w:t xml:space="preserve">cubic-spline interpolated). CSDA range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E</m:t>
            </m:r>
          </m:sup>
          <m:e>
            <m:r>
              <m:t>d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S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; exit</w:t>
      </w:r>
      <w:r>
        <w:t xml:space="preserve"> </w:t>
      </w:r>
      <w:r>
        <w:t xml:space="preserve">energy after slab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A</m:t>
        </m:r>
      </m:oMath>
      <w:r>
        <w:t xml:space="preserve">; particles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stop.</w:t>
      </w:r>
    </w:p>
    <w:bookmarkEnd w:id="18"/>
    <w:bookmarkStart w:id="19" w:name="nuclear-interaction-attenuation"/>
    <w:p>
      <w:pPr>
        <w:pStyle w:val="Heading3"/>
      </w:pPr>
      <w:r>
        <w:t xml:space="preserve">Nuclear Interaction Attenuation</w:t>
      </w:r>
    </w:p>
    <w:p>
      <w:pPr>
        <w:pStyle w:val="FirstParagraph"/>
      </w:pPr>
      <w:r>
        <w:t xml:space="preserve">Inelastic nuclear interactions are modeled as exponential fluence</w:t>
      </w:r>
      <w:r>
        <w:t xml:space="preserve"> </w:t>
      </w:r>
      <w:r>
        <w:t xml:space="preserve">attenuation,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Φ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w:r>
        <w:t xml:space="preserve">free path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from the Bradt-Peters geometric cross-section</w:t>
      </w:r>
      <w:r>
        <w:t xml:space="preserve"> </w:t>
      </w:r>
      <w:r>
        <w:t xml:space="preserve">(Bradt and Peters 1950)</w:t>
      </w:r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π</m:t>
        </m:r>
        <m:sSubSup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p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  <m:r>
          <m:rPr>
            <m:sty m:val="p"/>
          </m:rPr>
          <m:t>−</m:t>
        </m:r>
        <m: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1.35</m:t>
        </m:r>
      </m:oMath>
      <w:r>
        <w:t xml:space="preserve"> fm,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0.83</m:t>
        </m:r>
      </m:oMath>
      <w:r>
        <w:t xml:space="preserve">) — the same geometric form used to build</w:t>
      </w:r>
      <w:r>
        <w:t xml:space="preserve"> </w:t>
      </w:r>
      <w:r>
        <w:t xml:space="preserve">HZETRN’s tabulated mean free paths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1991)</w:t>
      </w:r>
      <w:r>
        <w:t xml:space="preserve">. This does not model</w:t>
      </w:r>
      <w:r>
        <w:t xml:space="preserve"> </w:t>
      </w:r>
      <w:r>
        <w:t xml:space="preserve">the secondary fragment spectrum; above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for Fe/Si this</w:t>
      </w:r>
      <w:r>
        <w:t xml:space="preserve"> </w:t>
      </w:r>
      <w:r>
        <w:t xml:space="preserve">approximation becomes increasingly crude as fragmentation produces</w:t>
      </w:r>
      <w:r>
        <w:t xml:space="preserve"> </w:t>
      </w:r>
      <w:r>
        <w:t xml:space="preserve">biologically-relevant lighter secondaries (C, O). A full nuclear reaction</w:t>
      </w:r>
      <w:r>
        <w:t xml:space="preserve"> </w:t>
      </w:r>
      <w:r>
        <w:t xml:space="preserve">network (HZETRN, Geant4/TOPAS) would be needed to close this gap — the</w:t>
      </w:r>
      <w:r>
        <w:t xml:space="preserve"> </w:t>
      </w:r>
      <w:r>
        <w:t xml:space="preserve">primary physical limitation of this transport model.</w:t>
      </w:r>
    </w:p>
    <w:bookmarkEnd w:id="19"/>
    <w:bookmarkStart w:id="20" w:name="secondary-neutron-production"/>
    <w:p>
      <w:pPr>
        <w:pStyle w:val="Heading3"/>
      </w:pPr>
      <w:r>
        <w:t xml:space="preserve">Secondary Neutron Production</w:t>
      </w:r>
    </w:p>
    <w:p>
      <w:pPr>
        <w:pStyle w:val="FirstParagraph"/>
      </w:pPr>
      <w:r>
        <w:t xml:space="preserve">Rather than tracking individual neutron histories, neutron dose equivalent</w:t>
      </w:r>
      <w:r>
        <w:t xml:space="preserve"> </w:t>
      </w:r>
      <w:r>
        <w:t xml:space="preserve">uses a pre-computed lookup,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⋅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with material</w:t>
      </w:r>
      <w:r>
        <w:t xml:space="preserve"> </w:t>
      </w:r>
      <w:r>
        <w:t xml:space="preserve">yield factor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(PE</w:t>
      </w:r>
      <w:r>
        <w:t xml:space="preserve"> </w:t>
      </w:r>
      <m:oMath>
        <m:r>
          <m:rPr>
            <m:sty m:val="p"/>
          </m:rPr>
          <m:t>≈</m:t>
        </m:r>
        <m:r>
          <m:t>0.72</m:t>
        </m:r>
        <m:r>
          <m:rPr>
            <m:sty m:val="p"/>
          </m:rPr>
          <m:t>×</m:t>
        </m:r>
      </m:oMath>
      <w:r>
        <w:t xml:space="preserve"> </w:t>
      </w:r>
      <w:r>
        <w:t xml:space="preserve">Al) and depth</w:t>
      </w:r>
      <w:r>
        <w:t xml:space="preserve"> </w:t>
      </w:r>
      <w:r>
        <w:t xml:space="preserve">dependence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interpolated from the HZETRN benchmark of Slaba et al. </w:t>
      </w:r>
      <w:r>
        <w:t xml:space="preserve">(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; neutron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(ICRP-60). This introduces</w:t>
      </w:r>
      <w:r>
        <w:t xml:space="preserve"> </w:t>
      </w:r>
      <m:oMath>
        <m:r>
          <m:rPr>
            <m:sty m:val="p"/>
          </m:rPr>
          <m:t>±</m:t>
        </m:r>
        <m:r>
          <m:t>25</m:t>
        </m:r>
      </m:oMath>
      <w:r>
        <w:t xml:space="preserve">–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uncertainty, propagated via the</w:t>
      </w:r>
      <w:r>
        <w:t xml:space="preserve"> </w:t>
      </w:r>
      <w:r>
        <w:rPr>
          <w:rStyle w:val="VerbatimChar"/>
        </w:rPr>
        <w:t xml:space="preserve">neutron_H</w:t>
      </w:r>
      <w:r>
        <w:t xml:space="preserve"> </w:t>
      </w:r>
      <w:r>
        <w:t xml:space="preserve">LHS</w:t>
      </w:r>
      <w:r>
        <w:t xml:space="preserve"> </w:t>
      </w:r>
      <w:r>
        <w:t xml:space="preserve">parameter.</w:t>
      </w:r>
    </w:p>
    <w:bookmarkEnd w:id="20"/>
    <w:bookmarkEnd w:id="21"/>
    <w:bookmarkStart w:id="23" w:name="organ-dose-model"/>
    <w:p>
      <w:pPr>
        <w:pStyle w:val="Heading2"/>
      </w:pPr>
      <w:r>
        <w:t xml:space="preserve">Organ Dose Model</w:t>
      </w:r>
    </w:p>
    <w:p>
      <w:pPr>
        <w:pStyle w:val="FirstParagraph"/>
      </w:pPr>
      <w:r>
        <w:t xml:space="preserve">Organ dose is computed by transporting shielded flux through an additional</w:t>
      </w:r>
      <w:r>
        <w:t xml:space="preserve"> </w:t>
      </w:r>
      <w:r>
        <w:t xml:space="preserve">tissue layer at each organ’s ICRP Publication 89 depth</w:t>
      </w:r>
      <w:r>
        <w:t xml:space="preserve"> </w:t>
      </w:r>
      <w:r>
        <w:t xml:space="preserve">(ICRP 2002)</w:t>
      </w:r>
      <w:r>
        <w:t xml:space="preserve"> </w:t>
      </w:r>
      <w:r>
        <w:t xml:space="preserve">(Table </w:t>
      </w:r>
      <w:hyperlink w:anchor="tab:organ_depths">
        <w:r>
          <w:rPr>
            <w:rStyle w:val="Hyperlink"/>
          </w:rPr>
          <w:t xml:space="preserve">4</w:t>
        </w:r>
      </w:hyperlink>
      <w:r>
        <w:t xml:space="preserve">); total areal density at organ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 Absorbed dose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sSub>
            <m:e>
              <m:r>
                <m:rPr>
                  <m:sty m:val="p"/>
                </m:rPr>
                <m:t>Φ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;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t> </m:t>
          </m:r>
          <m:r>
            <m:t>d</m:t>
          </m:r>
          <m:r>
            <m:t>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4</m:t>
        </m:r>
        <m:r>
          <m:t>π</m:t>
        </m:r>
      </m:oMath>
      <w:r>
        <w:t xml:space="preserve"> </w:t>
      </w:r>
      <w:r>
        <w:t xml:space="preserve">isotropic-flux factor absorbed into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 Gy</w:t>
      </w:r>
      <w:r>
        <w:t xml:space="preserve"> </w:t>
      </w:r>
      <w:r>
        <w:t xml:space="preserve">per (MeV 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); energy grid is 200 log-spaced points,</w:t>
      </w:r>
      <w:r>
        <w:t xml:space="preserve"> </w:t>
      </w:r>
      <m:oMath>
        <m:r>
          <m:t>10</m:t>
        </m:r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MeV/n (</w:t>
      </w:r>
      <m:oMath>
        <m:r>
          <m:rPr>
            <m:sty m:val="p"/>
          </m:rPr>
          <m:t>&lt;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convergence).</w:t>
      </w:r>
    </w:p>
    <w:bookmarkStart w:id="22" w:name="tab:organ_depths"/>
    <w:p>
      <w:pPr>
        <w:pStyle w:val="TableCaption"/>
      </w:pPr>
      <w:r>
        <w:t xml:space="preserve">Organ tissue depths and ICRP-60 tissue weighting factors.</w:t>
      </w:r>
      <w:r>
        <w:t xml:space="preserve"> </w:t>
      </w:r>
      <w:r>
        <w:t xml:space="preserve">Depths from ICRP Publication 89</w:t>
      </w:r>
      <w:r>
        <w:t xml:space="preserve"> </w:t>
      </w:r>
      <w:r>
        <w:t xml:space="preserve">(ICRP 2002)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gan tissue depths and ICRP-60 tissue weighting factors. Depths from ICRP Publication 89 (ICRP 2002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Depth (g/cm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(ICRP-60)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Cancer type modeled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Gastric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Colorectal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Lung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Leukemia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Myeloid leukemia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Esophagus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Esophageal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Hepatocellular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Transitional cell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Thyroid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Breast adenocarcinoma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Ovarian carcinoma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Composite remainder</w:t>
            </w:r>
          </w:p>
        </w:tc>
      </w:tr>
    </w:tbl>
    <w:bookmarkEnd w:id="22"/>
    <w:p>
      <w:pPr>
        <w:pStyle w:val="BodyText"/>
      </w:pPr>
      <w:r>
        <w:t xml:space="preserve">Dose equivalent: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acc>
              <m:accPr>
                <m:chr m:val="̇"/>
              </m:accPr>
              <m:e>
                <m:r>
                  <m:t>D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, with ICRP-60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(ICRP 1991)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L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0.32</m:t>
                    </m:r>
                    <m:r>
                      <m:t> 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2.2</m:t>
                    </m:r>
                  </m:e>
                  <m:e>
                    <m:r>
                      <m:t>10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300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L</m:t>
                        </m:r>
                      </m:e>
                    </m:rad>
                  </m:e>
                  <m:e>
                    <m:r>
                      <m:t>L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applied per species at the dose-averaged LET,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mean-LET approximation (vs. integrating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over each species’ full</w:t>
      </w:r>
      <w:r>
        <w:t xml:space="preserve"> </w:t>
      </w:r>
      <w:r>
        <w:t xml:space="preserve">LET spectrum) underestimates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carbon by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16</m:t>
        </m:r>
        <m:r>
          <m:rPr>
            <m:sty m:val="p"/>
          </m:rPr>
          <m:t>%</m:t>
        </m:r>
      </m:oMath>
      <w:r>
        <w:t xml:space="preserve"> </w:t>
      </w:r>
      <w:r>
        <w:t xml:space="preserve">and overestimates</w:t>
      </w:r>
      <w:r>
        <w:t xml:space="preserve"> </w:t>
      </w:r>
      <w:r>
        <w:t xml:space="preserve">it for oxygen by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24</m:t>
        </m:r>
        <m:r>
          <m:rPr>
            <m:sty m:val="p"/>
          </m:rPr>
          <m:t>%</m:t>
        </m:r>
      </m:oMath>
      <w:r>
        <w:t xml:space="preserve"> </w:t>
      </w:r>
      <w:r>
        <w:t xml:space="preserve">(both straddle the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kink), with</w:t>
      </w:r>
      <w:r>
        <w:t xml:space="preserve"> </w:t>
      </w:r>
      <m:oMath>
        <m:r>
          <m:rPr>
            <m:sty m:val="p"/>
          </m:rPr>
          <m:t>≲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bias for H, He, Si, Fe; the opposite-signed C/O biases</w:t>
      </w:r>
      <w:r>
        <w:t xml:space="preserve"> </w:t>
      </w:r>
      <w:r>
        <w:t xml:space="preserve">partially cancel in the field-averaged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H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2.60</m:t>
        </m:r>
      </m:oMath>
      <w:r>
        <w:t xml:space="preserve"> </w:t>
      </w:r>
      <w:r>
        <w:t xml:space="preserve">at the calibration geometry (before the neutron</w:t>
      </w:r>
      <w:r>
        <w:t xml:space="preserve"> </w:t>
      </w:r>
      <w:r>
        <w:t xml:space="preserve">contribution raises the total apparent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3.32</m:t>
        </m:r>
      </m:oMath>
      <w:r>
        <w:t xml:space="preserve">), within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RAD ion-only estimate — a consequence of the calibration procedure,</w:t>
      </w:r>
      <w:r>
        <w:t xml:space="preserve"> </w:t>
      </w:r>
      <w:r>
        <w:t xml:space="preserve">not an independent check.</w:t>
      </w:r>
    </w:p>
    <w:bookmarkEnd w:id="23"/>
    <w:bookmarkStart w:id="24" w:name="cancer-risk-model-reid-full-formulation"/>
    <w:p>
      <w:pPr>
        <w:pStyle w:val="Heading2"/>
      </w:pPr>
      <w:r>
        <w:t xml:space="preserve">Cancer Risk Model (REID) — Full Formulation</w:t>
      </w:r>
    </w:p>
    <w:p>
      <w:pPr>
        <w:pStyle w:val="FirstParagraph"/>
      </w:pPr>
      <w:r>
        <w:t xml:space="preserve">REID integral: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L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T</m:t>
                  </m:r>
                </m:sub>
              </m:sSub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e</m:t>
            </m:r>
          </m:sub>
        </m:sSub>
      </m:oMath>
      <w:r>
        <w:t xml:space="preserve">=age at exposure,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 yr minimum latency,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=conditional</w:t>
      </w:r>
      <w:r>
        <w:t xml:space="preserve"> </w:t>
      </w:r>
      <w:r>
        <w:t xml:space="preserve">survival. Excess mortality combines EAR and ERR: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EAR/ERR organ-specific functions of dose, age at exposure, and attained</w:t>
      </w:r>
      <w:r>
        <w:t xml:space="preserve"> </w:t>
      </w:r>
      <w:r>
        <w:t xml:space="preserve">age from Tables 2–3 of Cucinotta et al. </w:t>
      </w:r>
      <w:r>
        <w:t xml:space="preserve">(Cucinotta et al. 2013)</w:t>
      </w:r>
      <w:r>
        <w:t xml:space="preserve">. DDREF reduces</w:t>
      </w:r>
      <w:r>
        <w:t xml:space="preserve"> </w:t>
      </w:r>
      <w:r>
        <w:t xml:space="preserve">low-dose-rate risk,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F</m:t>
        </m:r>
      </m:oMath>
      <w:r>
        <w:t xml:space="preserve">: point estimates use a</w:t>
      </w:r>
      <w:r>
        <w:t xml:space="preserve"> </w:t>
      </w:r>
      <w:r>
        <w:t xml:space="preserve">fixed DDREF of</w:t>
      </w:r>
      <w:r>
        <w:t xml:space="preserve"> </w:t>
      </w:r>
      <m:oMath>
        <m:r>
          <m:t>1.75</m:t>
        </m:r>
      </m:oMath>
      <w:r>
        <w:t xml:space="preserve">; the uncertainty ensemble instead samples</w:t>
      </w:r>
      <w:r>
        <w:t xml:space="preserve"> </w:t>
      </w:r>
      <w:r>
        <w:t xml:space="preserve">DDREF </w:t>
      </w:r>
      <m:oMath>
        <m:r>
          <m:rPr>
            <m:sty m:val="p"/>
          </m:rPr>
          <m:t>∼</m:t>
        </m:r>
      </m:oMath>
      <w:r>
        <w:t xml:space="preserve"> Uniform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Conditional survival and baseline cancer</w:t>
      </w:r>
      <w:r>
        <w:t xml:space="preserve"> </w:t>
      </w:r>
      <w:r>
        <w:t xml:space="preserve">mortality use interpolated US sex-specific lookup tables in</w:t>
      </w:r>
      <w:r>
        <w:t xml:space="preserve"> </w:t>
      </w:r>
      <w:r>
        <w:rPr>
          <w:rStyle w:val="VerbatimChar"/>
        </w:rPr>
        <w:t xml:space="preserve">gcr/reid.py</w:t>
      </w:r>
      <w:r>
        <w:t xml:space="preserve"> </w:t>
      </w:r>
      <w:r>
        <w:t xml:space="preserve">— a practical approximation to the NASA/Cucinotta</w:t>
      </w:r>
      <w:r>
        <w:t xml:space="preserve"> </w:t>
      </w:r>
      <w:r>
        <w:t xml:space="preserve">framework, not a full reproduction of underlying epidemiologic life tables.</w:t>
      </w:r>
    </w:p>
    <w:p>
      <w:pPr>
        <w:pStyle w:val="BodyText"/>
      </w:pPr>
      <w:r>
        <w:t xml:space="preserve">The REID distribution is right-skewed (REID enters an exponential,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</m:oMath>
      <w:r>
        <w:t xml:space="preserve">). The single largest tail contributor is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:</w:t>
      </w:r>
      <w:r>
        <w:t xml:space="preserve"> </w:t>
      </w:r>
      <w:r>
        <w:t xml:space="preserve">its LogNormal[1.0,</w:t>
      </w:r>
      <m:oMath>
        <m:r>
          <m:rPr>
            <m:sty m:val="p"/>
          </m:rPr>
          <m:t>ln</m:t>
        </m:r>
        <m:r>
          <m:t>2</m:t>
        </m:r>
      </m:oMath>
      <w:r>
        <w:t xml:space="preserve">] draws reach a sampled maximum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8.2</m:t>
        </m:r>
        <m:r>
          <m:rPr>
            <m:sty m:val="p"/>
          </m:rPr>
          <m:t>×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ensemble, corresponding to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27</m:t>
        </m:r>
      </m:oMath>
      <w:r>
        <w:t xml:space="preserve"> </w:t>
      </w:r>
      <w:r>
        <w:t xml:space="preserve">at the</w:t>
      </w:r>
      <w:r>
        <w:t xml:space="preserve"> </w:t>
      </w:r>
      <w:r>
        <w:t xml:space="preserve">calibration point — approaching but not exceeding the ICRP-60 physical</w:t>
      </w:r>
      <w:r>
        <w:t xml:space="preserve"> </w:t>
      </w:r>
      <w:r>
        <w:t xml:space="preserve">maximum of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 </m:t>
        </m:r>
        <m:r>
          <m:rPr>
            <m:sty m:val="p"/>
          </m:rP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). Every LHS sample’s</w:t>
      </w:r>
      <w:r>
        <w:t xml:space="preserve"> </w:t>
      </w:r>
      <w:r>
        <w:rPr>
          <w:rStyle w:val="VerbatimChar"/>
        </w:rPr>
        <w:t xml:space="preserve">Q_factor</w:t>
      </w:r>
      <w:r>
        <w:t xml:space="preserve"> </w:t>
      </w:r>
      <w:r>
        <w:t xml:space="preserve">is</w:t>
      </w:r>
      <w:r>
        <w:t xml:space="preserve"> </w:t>
      </w:r>
      <w:r>
        <w:t xml:space="preserve">therefore clipped so effective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cannot exceed</w:t>
      </w:r>
      <w:r>
        <w:t xml:space="preserve"> </w:t>
      </w:r>
      <m:oMath>
        <m:r>
          <m:t>30</m:t>
        </m:r>
      </m:oMath>
      <w:r>
        <w:t xml:space="preserve">; for the reported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 this clip does not bind, so reported percentiles are</w:t>
      </w:r>
      <w:r>
        <w:t xml:space="preserve"> </w:t>
      </w:r>
      <w:r>
        <w:t xml:space="preserve">unchanged, but it removes any possibility of an unphysical excursion at</w:t>
      </w:r>
      <w:r>
        <w:t xml:space="preserve"> </w:t>
      </w:r>
      <w:r>
        <w:t xml:space="preserve">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 different seeds.</w:t>
      </w:r>
    </w:p>
    <w:bookmarkEnd w:id="24"/>
    <w:bookmarkStart w:id="26" w:name="solar-energetic-particle-acute-risk"/>
    <w:p>
      <w:pPr>
        <w:pStyle w:val="Heading2"/>
      </w:pPr>
      <w:r>
        <w:t xml:space="preserve">Solar Energetic Particle Acute Risk</w:t>
      </w:r>
    </w:p>
    <w:p>
      <w:pPr>
        <w:pStyle w:val="FirstParagraph"/>
      </w:pPr>
      <w:r>
        <w:t xml:space="preserve">SEP fluence spectra use the Band function</w:t>
      </w:r>
      <w:r>
        <w:t xml:space="preserve"> </w:t>
      </w:r>
      <w:r>
        <w:t xml:space="preserve">(Tylka and Lee 2006)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ℓ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γ</m:t>
                                </m:r>
                              </m:e>
                              <m:sub>
                                <m:r>
                                  <m:t>ℓ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γ</m:t>
                                </m:r>
                              </m:e>
                              <m:sub>
                                <m:r>
                                  <m:t>h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e>
                        </m:d>
                      </m:e>
                      <m:sup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ℓ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ℓ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</m:sup>
                    </m:sSup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ℓ</m:t>
            </m:r>
          </m:sub>
        </m:sSub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. Three canonical events</w:t>
      </w:r>
      <w:r>
        <w:t xml:space="preserve"> </w:t>
      </w:r>
      <w:r>
        <w:t xml:space="preserve">(Table </w:t>
      </w:r>
      <w:hyperlink w:anchor="tab:sep_events">
        <w:r>
          <w:rPr>
            <w:rStyle w:val="Hyperlink"/>
          </w:rPr>
          <w:t xml:space="preserve">5</w:t>
        </w:r>
      </w:hyperlink>
      <w:r>
        <w:t xml:space="preserve">) use parameters from Tylka &amp; Dietrich</w:t>
      </w:r>
      <w:r>
        <w:t xml:space="preserve"> </w:t>
      </w:r>
      <w:r>
        <w:t xml:space="preserve">(Tylka and Lee 2006)</w:t>
      </w:r>
      <w:r>
        <w:t xml:space="preserve">; Aug 1972 predates space-borne dosimetry and is</w:t>
      </w:r>
      <w:r>
        <w:t xml:space="preserve"> </w:t>
      </w:r>
      <w:r>
        <w:t xml:space="preserve">reconstructed from ground-level neutron monitor/riometry data, carrying</w:t>
      </w:r>
      <w:r>
        <w:t xml:space="preserve"> </w:t>
      </w:r>
      <w:r>
        <w:t xml:space="preserve">larger uncertainty (</w:t>
      </w:r>
      <m:oMath>
        <m:r>
          <m:rPr>
            <m:sty m:val="p"/>
          </m:rPr>
          <m:t>∼</m:t>
        </m:r>
        <m:r>
          <m:rPr>
            <m:sty m:val="p"/>
          </m:rPr>
          <m:t>±</m:t>
        </m:r>
        <m:r>
          <m:t>50</m:t>
        </m:r>
        <m:r>
          <m:rPr>
            <m:sty m:val="p"/>
          </m:rPr>
          <m:t>%</m:t>
        </m:r>
      </m:oMath>
      <w:r>
        <w:t xml:space="preserve">) than the 2003/2005 events.</w:t>
      </w:r>
    </w:p>
    <w:bookmarkStart w:id="25" w:name="tab:sep_events"/>
    <w:p>
      <w:pPr>
        <w:pStyle w:val="TableCaption"/>
      </w:pPr>
      <w:r>
        <w:t xml:space="preserve">Band-function spectral parameters for three canonical SEP events.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nd-function spectral parameters for three canonical SEP even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γ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(MeV)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 1972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1.78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 2003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2005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0.90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  <w:r>
        <w:t xml:space="preserve">BFO absorbed dose transports event-integrated proton fluence through wall +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tissue via CSDA; only protons are tracked (heavy-ion SEP fluence is</w:t>
      </w:r>
      <w:r>
        <w:t xml:space="preserve"> </w:t>
      </w:r>
      <w:r>
        <w:t xml:space="preserve">generally dose-negligible at these energies). Results compare to the NASA</w:t>
      </w:r>
      <w:r>
        <w:t xml:space="preserve"> </w:t>
      </w:r>
      <w:r>
        <w:t xml:space="preserve">30-day BFO limit of</w:t>
      </w:r>
      <w:r>
        <w:t xml:space="preserve"> </w:t>
      </w:r>
      <m:oMath>
        <m:r>
          <m:t>250</m:t>
        </m:r>
      </m:oMath>
      <w:r>
        <w:t xml:space="preserve"> mGy</w:t>
      </w:r>
      <w:r>
        <w:t xml:space="preserve"> </w:t>
      </w:r>
      <w:r>
        <w:t xml:space="preserve">(Cucinotta and Durante 2010)</w:t>
      </w:r>
      <w:r>
        <w:t xml:space="preserve">. Mission encounter</w:t>
      </w:r>
      <w:r>
        <w:t xml:space="preserve"> </w:t>
      </w:r>
      <w:r>
        <w:t xml:space="preserve">probability is Poisson,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λ</m:t>
        </m:r>
        <m:r>
          <m:t>T</m:t>
        </m:r>
        <m:r>
          <m:rPr>
            <m:sty m:val="p"/>
          </m:rPr>
          <m:t>/</m:t>
        </m:r>
        <m:r>
          <m:t>365.25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0.8</m:t>
        </m:r>
      </m:oMath>
      <w:r>
        <w:t xml:space="preserve"> events/yr at solar maximum, dropping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at solar</w:t>
      </w:r>
      <w:r>
        <w:t xml:space="preserve"> </w:t>
      </w:r>
      <w:r>
        <w:t xml:space="preserve">minimum</w:t>
      </w:r>
      <w:r>
        <w:t xml:space="preserve"> </w:t>
      </w:r>
      <w:r>
        <w:t xml:space="preserve">(Feynman et al. 1993)</w:t>
      </w:r>
      <w:r>
        <w:t xml:space="preserve">.</w:t>
      </w:r>
    </w:p>
    <w:bookmarkEnd w:id="26"/>
    <w:bookmarkStart w:id="28" w:name="X1c066c90b5a8e0f118cc902007c337ffe7cd0b3"/>
    <w:p>
      <w:pPr>
        <w:pStyle w:val="Heading2"/>
      </w:pPr>
      <w:r>
        <w:t xml:space="preserve">Uncertainty Quantification via Latin Hypercube Sampling</w:t>
      </w:r>
    </w:p>
    <w:p>
      <w:pPr>
        <w:pStyle w:val="FirstParagraph"/>
      </w:pPr>
      <w:r>
        <w:t xml:space="preserve">Nine parameters are varied via Latin Hypercube Sampling (Table </w:t>
      </w:r>
      <w:hyperlink w:anchor="tab:uq_params">
        <w:r>
          <w:rPr>
            <w:rStyle w:val="Hyperlink"/>
          </w:rPr>
          <w:t xml:space="preserve">6</w:t>
        </w:r>
      </w:hyperlink>
      <w:r>
        <w:t xml:space="preserve">):</w:t>
      </w:r>
      <w:r>
        <w:t xml:space="preserve"> </w:t>
      </w:r>
      <w:r>
        <w:t xml:space="preserve">five physics (solar modulation, LIS normalization, nuclear cross-sections,</w:t>
      </w:r>
      <w:r>
        <w:t xml:space="preserve"> </w:t>
      </w:r>
      <w:r>
        <w:t xml:space="preserve">neutron yield, HZE composition) and four biology (quality factor, DDREF,</w:t>
      </w:r>
      <w:r>
        <w:t xml:space="preserve"> </w:t>
      </w:r>
      <w:r>
        <w:t xml:space="preserve">ERR scale, EAR scale).</w:t>
      </w:r>
    </w:p>
    <w:bookmarkStart w:id="27" w:name="tab:uq_params"/>
    <w:p>
      <w:pPr>
        <w:pStyle w:val="TableCaption"/>
      </w:pPr>
      <w:r>
        <w:t xml:space="preserve">Latin Hypercube Sampling parameters, distributions, and physical</w:t>
      </w:r>
      <w:r>
        <w:t xml:space="preserve"> </w:t>
      </w:r>
      <w:r>
        <w:t xml:space="preserve">justifications. LogNormal[</w:t>
      </w:r>
      <m:oMath>
        <m:r>
          <m:t>1.0</m:t>
        </m:r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] denotes a multiplicative</w:t>
      </w:r>
      <w:r>
        <w:t xml:space="preserve"> </w:t>
      </w:r>
      <w:r>
        <w:t xml:space="preserve">factor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median</w:t>
      </w:r>
      <w:r>
        <w:t xml:space="preserve"> </w:t>
      </w:r>
      <m:oMath>
        <m:r>
          <m:t>1.0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tin Hypercube Sampling parameters, distributions, and physical justifications. LogNormal[1.0, \sigma] denotes a multiplicative factor \exp(\mathcal{N}(0,\sigma)) with median 1.0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 0.15]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Usoskin NM inter-station spread (</w:t>
            </w: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 0.12]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Voyager/AMS-02 calibration spread (</w:t>
            </w: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12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 0.20]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tables: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neutron_H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 0.25]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HZETRN neutron table: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</w:t>
            </w:r>
            <w:r>
              <w:t xml:space="preserve">Slaba et al.</w:t>
            </w:r>
            <w:r>
              <w:t xml:space="preserve"> </w:t>
            </w:r>
            <w:r>
              <w:t xml:space="preserve">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hze_norm_scale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 0.20]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ACE/CRIS inter-instrument spread</w:t>
            </w:r>
            <w:r>
              <w:t xml:space="preserve"> </w:t>
            </w:r>
            <w:r>
              <w:t xml:space="preserve">(</w:t>
            </w:r>
            <w:r>
              <w:t xml:space="preserve">George et al.</w:t>
            </w:r>
            <w:r>
              <w:t xml:space="preserve"> </w:t>
            </w:r>
            <w:r>
              <w:t xml:space="preserve">2009;</w:t>
            </w:r>
            <w:r>
              <w:t xml:space="preserve"> </w:t>
            </w:r>
            <w:r>
              <w:t xml:space="preserve">Boschini et al.</w:t>
            </w:r>
            <w:r>
              <w:t xml:space="preserve"> </w:t>
            </w:r>
            <w:r>
              <w:t xml:space="preserve">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LogNormal[1.0,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ICRP-60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form uncertainty: factor-of-2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Uniform[1.0, 2.0]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 VII / ICRP-103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Normal[1.0, 0.30], clipped at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Cucinotta (2013) ERR fit residuals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Normal[1.0, 0.35], clipped at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Cucinotta (2013) EAR fit residuals</w:t>
            </w:r>
          </w:p>
        </w:tc>
      </w:tr>
    </w:tbl>
    <w:bookmarkEnd w:id="27"/>
    <w:p>
      <w:pPr>
        <w:pStyle w:val="BodyText"/>
      </w:pPr>
      <w:r>
        <w:t xml:space="preserve">Lognormal parameters cannot drive their model input negative;</w:t>
      </w:r>
      <w:r>
        <w:t xml:space="preserve"> </w:t>
      </w:r>
      <w:r>
        <w:rPr>
          <w:rStyle w:val="VerbatimChar"/>
        </w:rPr>
        <w:t xml:space="preserve">ERR_scale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EAR_scale</w:t>
      </w:r>
      <w:r>
        <w:t xml:space="preserve"> </w:t>
      </w:r>
      <w:r>
        <w:t xml:space="preserve">are clipped at zero (affects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of draws, no</w:t>
      </w:r>
      <w:r>
        <w:t xml:space="preserve"> </w:t>
      </w:r>
      <w:r>
        <w:t xml:space="preserve">visible effect on percentiles). For each LHS sample, a full mission dose</w:t>
      </w:r>
      <w:r>
        <w:t xml:space="preserve"> </w:t>
      </w:r>
      <w:r>
        <w:t xml:space="preserve">integration is performed (spectrum, transport, organ dose, quality factor,</w:t>
      </w:r>
      <w:r>
        <w:t xml:space="preserve"> </w:t>
      </w:r>
      <w:r>
        <w:t xml:space="preserve">REID). Publication results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t>90</m:t>
        </m:r>
      </m:oMath>
      <w:r>
        <w:t xml:space="preserve"> </w:t>
      </w:r>
      <w:r>
        <w:t xml:space="preserve">min, single core,</w:t>
      </w:r>
      <w:r>
        <w:t xml:space="preserve"> </w:t>
      </w:r>
      <w:r>
        <w:t xml:space="preserve">unparallelized); automated tests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UNCERTAINTY_SAMPLES</w:t>
      </w:r>
      <w:r>
        <w:t xml:space="preserve"> </w:t>
      </w:r>
      <w:r>
        <w:t xml:space="preserve">env var).</w:t>
      </w:r>
    </w:p>
    <w:p>
      <w:pPr>
        <w:pStyle w:val="BodyText"/>
      </w:pPr>
      <w:r>
        <w:t xml:space="preserve">Sensitivity is estimated via normalized Spearman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ρ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ρ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— an approximation to first-order Sobol</w:t>
      </w:r>
      <w:r>
        <w:t xml:space="preserve"> </w:t>
      </w:r>
      <w:r>
        <w:t xml:space="preserve">indices that underestimates interaction effects but is tractable at modest</w:t>
      </w:r>
      <w:r>
        <w:t xml:space="preserve"> </w:t>
      </w:r>
      <w:r>
        <w:t xml:space="preserve">sample counts; a proper Sobol analysis would need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samples</w:t>
      </w:r>
      <w:r>
        <w:t xml:space="preserve"> </w:t>
      </w:r>
      <w:r>
        <w:t xml:space="preserve">(Saltelli et al. 2010)</w:t>
      </w:r>
      <w:r>
        <w:t xml:space="preserve">.</w:t>
      </w:r>
    </w:p>
    <w:p>
      <w:pPr>
        <w:pStyle w:val="BodyText"/>
      </w:pPr>
      <w:r>
        <w:t xml:space="preserve">The value-of-information sweep re-runs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ensemble once per</w:t>
      </w:r>
      <w:r>
        <w:t xml:space="preserve"> </w:t>
      </w:r>
      <w:r>
        <w:t xml:space="preserve">parameter, halving that parameter’s spread (sigma, or DDREF’s range width</w:t>
      </w:r>
      <w:r>
        <w:t xml:space="preserve"> </w:t>
      </w:r>
      <w:r>
        <w:t xml:space="preserve">centered on the same mean) while holding all others at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narrow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gcr.uncertainty.lhs_samples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scripts/sensitivity_narrowing_sweep.py</w:t>
      </w:r>
      <w:r>
        <w:t xml:space="preserve">), recording the resulting</w:t>
      </w:r>
      <w:r>
        <w:t xml:space="preserve"> </w:t>
      </w:r>
      <w:r>
        <w:t xml:space="preserve">change in p95 REID.</w:t>
      </w:r>
    </w:p>
    <w:bookmarkEnd w:id="28"/>
    <w:bookmarkStart w:id="29" w:name="Xc018a3f3644b5f9e9ca28b72cc60f423190d1ac"/>
    <w:p>
      <w:pPr>
        <w:pStyle w:val="Heading2"/>
      </w:pPr>
      <w:r>
        <w:t xml:space="preserve">Dose-Averaged LET and Proton RBE Self-Consistency Check</w:t>
      </w:r>
    </w:p>
    <w:p>
      <w:pPr>
        <w:pStyle w:val="FirstParagraph"/>
      </w:pPr>
      <w:r>
        <w:t xml:space="preserve">Dose-averaged LET per species: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b>
          <m:e>
            <m:r>
              <m:rPr>
                <m:sty m:val="p"/>
              </m:rPr>
              <m:t>Φ</m:t>
            </m:r>
          </m:e>
          <m:sub>
            <m:r>
              <m:t>s</m:t>
            </m:r>
          </m:sub>
        </m:sSub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t> </m:t>
        </m:r>
        <m: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∫</m:t>
        </m:r>
        <m:sSub>
          <m:e>
            <m:r>
              <m:rPr>
                <m:sty m:val="p"/>
              </m:rPr>
              <m:t>Φ</m:t>
            </m:r>
          </m:e>
          <m:sub>
            <m:r>
              <m:t>s</m:t>
            </m:r>
          </m:sub>
        </m:sSub>
        <m:sSub>
          <m:e>
            <m:r>
              <m:t>S</m:t>
            </m:r>
          </m:e>
          <m:sub>
            <m:r>
              <m:t>s</m:t>
            </m:r>
          </m:sub>
        </m:sSub>
        <m:r>
          <m:t> </m:t>
        </m:r>
        <m:r>
          <m:t>d</m:t>
        </m:r>
        <m:r>
          <m:t>E</m:t>
        </m:r>
      </m:oMath>
      <w:r>
        <w:t xml:space="preserve">; field value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</m:e>
        </m:nary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sSup>
                  <m:e>
                    <m:r>
                      <m:t>s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The repository also contains a proton RBE self-consistency layer using this</w:t>
      </w:r>
      <w:r>
        <w:t xml:space="preserve"> </w:t>
      </w:r>
      <w:r>
        <w:t xml:space="preserve">same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L</m:t>
                </m:r>
              </m:e>
            </m:bar>
          </m:e>
          <m:sub>
            <m:r>
              <m:t>D</m:t>
            </m:r>
          </m:sub>
        </m:sSub>
      </m:oMath>
      <w:r>
        <w:t xml:space="preserve"> </w:t>
      </w:r>
      <w:r>
        <w:t xml:space="preserve">infrastructure: Wedenberg et al. (2013)</w:t>
      </w:r>
      <w:r>
        <w:t xml:space="preserve"> </w:t>
      </w:r>
      <w:r>
        <w:t xml:space="preserve">(Wedenberg et al. 2013)</w:t>
      </w:r>
      <w:r>
        <w:t xml:space="preserve"> </w:t>
      </w:r>
      <w:r>
        <w:t xml:space="preserve">and McNamara et al. (2015)</w:t>
      </w:r>
      <w:r>
        <w:t xml:space="preserve"> </w:t>
      </w:r>
      <w:r>
        <w:t xml:space="preserve">(McNamara et al. 2015)</w:t>
      </w:r>
      <w:r>
        <w:t xml:space="preserve">,</w:t>
      </w:r>
      <w:r>
        <w:t xml:space="preserve"> </w:t>
      </w:r>
      <w:r>
        <w:t xml:space="preserve">matched to OpenTOPAS-RBE scorer conventions and checked against</w:t>
      </w:r>
      <w:r>
        <w:t xml:space="preserve"> </w:t>
      </w:r>
      <w:r>
        <w:t xml:space="preserve">OpenTOPAS-RBE reference values for a</w:t>
      </w:r>
      <w:r>
        <w:t xml:space="preserve"> </w:t>
      </w:r>
      <m:oMath>
        <m:r>
          <m:t>100</m:t>
        </m:r>
      </m:oMath>
      <w:r>
        <w:t xml:space="preserve"> MeV proton beam in water (V79,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=</m:t>
        </m:r>
        <m:r>
          <m:t>1.41</m:t>
        </m:r>
      </m:oMath>
      <w:r>
        <w:t xml:space="preserve"> Gy) — an implementation self-consistency check, not</w:t>
      </w:r>
      <w:r>
        <w:t xml:space="preserve"> </w:t>
      </w:r>
      <w:r>
        <w:t xml:space="preserve">independent experimental validation. This layer is the foundation for a</w:t>
      </w:r>
      <w:r>
        <w:t xml:space="preserve"> </w:t>
      </w:r>
      <w:r>
        <w:t xml:space="preserve">planned separate proton-therapy crossover study and is not a central</w:t>
      </w:r>
      <w:r>
        <w:t xml:space="preserve"> </w:t>
      </w:r>
      <w:r>
        <w:t xml:space="preserve">contribution of the present paper.</w:t>
      </w:r>
    </w:p>
    <w:bookmarkEnd w:id="29"/>
    <w:bookmarkEnd w:id="30"/>
    <w:bookmarkStart w:id="34" w:name="X066305851eb925044991743ab6defa69d855e43"/>
    <w:p>
      <w:pPr>
        <w:pStyle w:val="Heading1"/>
      </w:pPr>
      <w:r>
        <w:t xml:space="preserve">Supplementary Discussion: Full Limitations</w:t>
      </w:r>
    </w:p>
    <w:bookmarkStart w:id="31" w:name="transport-model-approximations"/>
    <w:p>
      <w:pPr>
        <w:pStyle w:val="Heading2"/>
      </w:pPr>
      <w:r>
        <w:t xml:space="preserve">Transport Model Approximations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Nuclear fragmentation secondaries.</w:t>
      </w:r>
      <w:r>
        <w:t xml:space="preserve"> </w:t>
      </w:r>
      <w:r>
        <w:t xml:space="preserve">Heavy-ion nuclear</w:t>
      </w:r>
      <w:r>
        <w:t xml:space="preserve"> </w:t>
      </w:r>
      <w:r>
        <w:t xml:space="preserve">interactions are treated as simple fluence removal, not as a source</w:t>
      </w:r>
      <w:r>
        <w:t xml:space="preserve"> </w:t>
      </w:r>
      <w:r>
        <w:t xml:space="preserve">of lighter-ion secondaries. This underestimates secondary</w:t>
      </w:r>
      <w:r>
        <w:t xml:space="preserve"> </w:t>
      </w:r>
      <w:r>
        <w:t xml:space="preserve">proton/helium flux at depth and overestimates iron attenuation,</w:t>
      </w:r>
      <w:r>
        <w:t xml:space="preserve"> </w:t>
      </w:r>
      <w:r>
        <w:t xml:space="preserve">largest above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. Based on the general direction/magnitude of</w:t>
      </w:r>
      <w:r>
        <w:t xml:space="preserve"> </w:t>
      </w:r>
      <w:r>
        <w:t xml:space="preserve">differences between simplified transport and full fragmentation</w:t>
      </w:r>
      <w:r>
        <w:t xml:space="preserve"> </w:t>
      </w:r>
      <w:r>
        <w:t xml:space="preserve">codes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1991;</w:t>
      </w:r>
      <w:r>
        <w:t xml:space="preserve"> </w:t>
      </w:r>
      <w:r>
        <w:t xml:space="preserve">Slaba et al.</w:t>
      </w:r>
      <w:r>
        <w:t xml:space="preserve"> </w:t>
      </w:r>
      <w:r>
        <w:t xml:space="preserve">2014)</w:t>
      </w:r>
      <w:r>
        <w:t xml:space="preserve">, our order-of-magnitude estimate</w:t>
      </w:r>
      <w:r>
        <w:t xml:space="preserve"> </w:t>
      </w:r>
      <w:r>
        <w:t xml:space="preserve">is that omitting secondary production overestimates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by roughly</w:t>
      </w:r>
      <w:r>
        <w:t xml:space="preserve"> </w:t>
      </w:r>
      <m:oMath>
        <m:r>
          <m:t>15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(an extrapolation by the authors,</w:t>
      </w:r>
      <w:r>
        <w:t xml:space="preserve"> </w:t>
      </w:r>
      <w:r>
        <w:t xml:space="preserve">not a value reported by either source — a rough plausibility bound).</w:t>
      </w:r>
      <w:r>
        <w:t xml:space="preserve"> </w:t>
      </w:r>
      <w:r>
        <w:t xml:space="preserve">The resulting REID overestimate is likely similar in fractional</w:t>
      </w:r>
      <w:r>
        <w:t xml:space="preserve"> </w:t>
      </w:r>
      <w:r>
        <w:t xml:space="preserve">magnitude, well within the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</m:oMath>
      <w:r>
        <w:t xml:space="preserve"> </w:t>
      </w:r>
      <w:r>
        <w:t xml:space="preserve">p5–p95 band but not</w:t>
      </w:r>
      <w:r>
        <w:t xml:space="preserve"> </w:t>
      </w:r>
      <w:r>
        <w:t xml:space="preserve">negligible relative to the median.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Delta-ray production.</w:t>
      </w:r>
      <w:r>
        <w:t xml:space="preserve"> </w:t>
      </w:r>
      <w:r>
        <w:t xml:space="preserve">Secondary electrons from ion tracks</w:t>
      </w:r>
      <w:r>
        <w:t xml:space="preserve"> </w:t>
      </w:r>
      <w:r>
        <w:t xml:space="preserve">are not tracked; small correction for macroscopic dose, would matter</w:t>
      </w:r>
      <w:r>
        <w:t xml:space="preserve"> </w:t>
      </w:r>
      <w:r>
        <w:t xml:space="preserve">for microscopic track-structure DNA-damage models.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Geometry simplification.</w:t>
      </w:r>
      <w:r>
        <w:t xml:space="preserve"> </w:t>
      </w:r>
      <w:r>
        <w:t xml:space="preserve">Spacecraft modeled as a uniform</w:t>
      </w:r>
      <w:r>
        <w:t xml:space="preserve"> </w:t>
      </w:r>
      <w:r>
        <w:t xml:space="preserve">aluminum slab; real geometries need ray-tracing (OLTARIS, Geant4).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Stopping power uncertainties.</w:t>
      </w:r>
      <w:r>
        <w:t xml:space="preserve"> </w:t>
      </w:r>
      <w:r>
        <w:t xml:space="preserve">NIST PSTAR/ASTAR accurate 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</m:t>
        </m:r>
      </m:oMath>
      <w:r>
        <w:t xml:space="preserve">–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above 1 MeV/n, less certain at lower energies</w:t>
      </w:r>
      <w:r>
        <w:t xml:space="preserve"> </w:t>
      </w:r>
      <w:r>
        <w:t xml:space="preserve">(shell corrections).</w:t>
      </w:r>
    </w:p>
    <w:bookmarkEnd w:id="31"/>
    <w:bookmarkStart w:id="32" w:name="spectrum-and-modulation"/>
    <w:p>
      <w:pPr>
        <w:pStyle w:val="Heading2"/>
      </w:pPr>
      <w:r>
        <w:t xml:space="preserve">Spectrum and Modulation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Monthly-resolution modulation cannot resolve daily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variability.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monthly-resolution only, so the pipeline’s</w:t>
      </w:r>
      <w:r>
        <w:t xml:space="preserve"> </w:t>
      </w:r>
      <w:r>
        <w:t xml:space="preserve">prediction varies smoothly within a month. Real MSL/RAD telemetry</w:t>
      </w:r>
      <w:r>
        <w:t xml:space="preserve"> </w:t>
      </w:r>
      <w:r>
        <w:t xml:space="preserve">shows sub-monthly structure (counting noise, Forbush decreases,</w:t>
      </w:r>
      <w:r>
        <w:t xml:space="preserve"> </w:t>
      </w:r>
      <w:r>
        <w:t xml:space="preserve">minor SEP events) the model cannot track; daily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0.127</m:t>
        </m:r>
      </m:oMath>
      <w:r>
        <w:t xml:space="preserve"> </w:t>
      </w:r>
      <w:r>
        <w:t xml:space="preserve">(not</w:t>
      </w:r>
      <w:r>
        <w:t xml:space="preserve"> </w:t>
      </w:r>
      <w:r>
        <w:t xml:space="preserve">significant,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218</m:t>
        </m:r>
      </m:oMath>
      <w:r>
        <w:t xml:space="preserve">) even though the multi-month trend the model</w:t>
      </w:r>
      <w:r>
        <w:t xml:space="preserve"> </w:t>
      </w:r>
      <w:r>
        <w:t xml:space="preserve">targets is directionally/quantitatively consistent. Daily-resolution</w:t>
      </w:r>
      <w:r>
        <w:t xml:space="preserve"> </w:t>
      </w:r>
      <w:r>
        <w:t xml:space="preserve">claims should be read as reflecting the monthly trend only.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ISS cross-check tests modulation shape only.</w:t>
      </w:r>
      <w:r>
        <w:t xml:space="preserve"> </w:t>
      </w:r>
      <w:r>
        <w:t xml:space="preserve">The ISS orbits</w:t>
      </w:r>
      <w:r>
        <w:t xml:space="preserve"> </w:t>
      </w:r>
      <w:r>
        <w:t xml:space="preserve">inside Earth’s magnetosphere, attenuating GCR flux by an amount not</w:t>
      </w:r>
      <w:r>
        <w:t xml:space="preserve"> </w:t>
      </w:r>
      <w:r>
        <w:t xml:space="preserve">modeled here (no geomagnetic cutoff/trapped-radiation transport).</w:t>
      </w:r>
      <w:r>
        <w:t xml:space="preserve"> </w:t>
      </w:r>
      <w:r>
        <w:t xml:space="preserve">The multi-year cross-check is restricted to trend correlation, not</w:t>
      </w:r>
      <w:r>
        <w:t xml:space="preserve"> </w:t>
      </w:r>
      <w:r>
        <w:t xml:space="preserve">absolute dose, and does not validate the pipeline for near-Earth or</w:t>
      </w:r>
      <w:r>
        <w:t xml:space="preserve"> </w:t>
      </w:r>
      <w:r>
        <w:t xml:space="preserve">trapped-radiation environments.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Force-field approximation.</w:t>
      </w:r>
      <w:r>
        <w:t xml:space="preserve"> </w:t>
      </w:r>
      <w:r>
        <w:t xml:space="preserve">Ignores charge-sign-dependent</w:t>
      </w:r>
      <w:r>
        <w:t xml:space="preserve"> </w:t>
      </w:r>
      <w:r>
        <w:t xml:space="preserve">drift/diffusion anisotropy; during solar minimum can modify the GCR</w:t>
      </w:r>
      <w:r>
        <w:t xml:space="preserve"> </w:t>
      </w:r>
      <w:r>
        <w:t xml:space="preserve">spectrum below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500</m:t>
        </m:r>
      </m:oMath>
      <w:r>
        <w:t xml:space="preserve"> MeV/n by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(Potgieter 2013)</w:t>
      </w:r>
      <w:r>
        <w:t xml:space="preserve"> </w:t>
      </w:r>
      <w:r>
        <w:t xml:space="preserve">— within the propagated LIS-normalization uncertainty but not</w:t>
      </w:r>
      <w:r>
        <w:t xml:space="preserve"> </w:t>
      </w:r>
      <w:r>
        <w:t xml:space="preserve">explicitly modeled.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Missing species.</w:t>
      </w:r>
      <w:r>
        <w:t xml:space="preserve"> </w:t>
      </w:r>
      <w:r>
        <w:t xml:space="preserve">Only H, He, C, O, Si, Fe are modeled.</w:t>
      </w:r>
      <w:r>
        <w:t xml:space="preserve"> </w:t>
      </w:r>
      <w:r>
        <w:t xml:space="preserve">Magnesium’s contribution is estimated at</w:t>
      </w:r>
      <w:r>
        <w:t xml:space="preserve"> </w:t>
      </w:r>
      <m:oMath>
        <m:r>
          <m:rPr>
            <m:sty m:val="p"/>
          </m:rPr>
          <m:t>&lt;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of total dose (scaled</w:t>
      </w:r>
      <w:r>
        <w:t xml:space="preserve"> </w:t>
      </w:r>
      <w:r>
        <w:t xml:space="preserve">from Boschini 2020 Mg LIS normalization); all unmodeled species</w:t>
      </w:r>
      <w:r>
        <w:t xml:space="preserve"> </w:t>
      </w:r>
      <w:r>
        <w:t xml:space="preserve">(Mg, N, Ne, S, Ca, ...) combined are estimated at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Anomalous cosmic rays.</w:t>
      </w:r>
      <w:r>
        <w:t xml:space="preserve"> </w:t>
      </w:r>
      <w:r>
        <w:t xml:space="preserve">Not modeled; can contribute below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100</m:t>
        </m:r>
      </m:oMath>
      <w:r>
        <w:t xml:space="preserve"> MeV/n during solar minimum.</w:t>
      </w:r>
    </w:p>
    <w:bookmarkEnd w:id="32"/>
    <w:bookmarkStart w:id="33" w:name="biological-and-risk-model"/>
    <w:p>
      <w:pPr>
        <w:pStyle w:val="Heading2"/>
      </w:pPr>
      <w:r>
        <w:t xml:space="preserve">Biological and Risk Model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NASA 2023 risk framework.</w:t>
      </w:r>
      <w:r>
        <w:t xml:space="preserve"> </w:t>
      </w:r>
      <w:r>
        <w:t xml:space="preserve">This pipeline implements</w:t>
      </w:r>
      <w:r>
        <w:t xml:space="preserve"> </w:t>
      </w:r>
      <w:r>
        <w:t xml:space="preserve">Cucinotta (2013); NASA’s 2023 update introduces age/sex-dependent</w:t>
      </w:r>
      <w:r>
        <w:t xml:space="preserve"> </w:t>
      </w:r>
      <w:r>
        <w:t xml:space="preserve">career limits and revised tissue weighting factors not yet</w:t>
      </w:r>
      <w:r>
        <w:t xml:space="preserve"> </w:t>
      </w:r>
      <w:r>
        <w:t xml:space="preserve">implemented here.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High-LET extrapolation uncertainty.</w:t>
      </w:r>
      <w:r>
        <w:t xml:space="preserve"> </w:t>
      </w:r>
      <w:r>
        <w:t xml:space="preserve">EAR/ERR were fit</w:t>
      </w:r>
      <w:r>
        <w:t xml:space="preserve"> </w:t>
      </w:r>
      <w:r>
        <w:t xml:space="preserve">primarily to low-LET atomic-bomb-survivor data with high-LET scaling</w:t>
      </w:r>
      <w:r>
        <w:t xml:space="preserve"> </w:t>
      </w:r>
      <w:r>
        <w:t xml:space="preserve">from rodent experiments; no direct human epidemiological data exist</w:t>
      </w:r>
      <w:r>
        <w:t xml:space="preserve"> </w:t>
      </w:r>
      <w:r>
        <w:t xml:space="preserve">for the HZE component of GCR. DDREF, bridging low-dose-rate space</w:t>
      </w:r>
      <w:r>
        <w:t xml:space="preserve"> </w:t>
      </w:r>
      <w:r>
        <w:t xml:space="preserve">exposure and the acute exposures in the underlying datasets, is</w:t>
      </w:r>
      <w:r>
        <w:t xml:space="preserve"> </w:t>
      </w:r>
      <w:r>
        <w:t xml:space="preserve">among the most debated parameters in space radiation risk assessment</w:t>
      </w:r>
      <w:r>
        <w:t xml:space="preserve"> </w:t>
      </w:r>
      <w:r>
        <w:t xml:space="preserve">(Durante and Cucinotta 2011)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Non-cancer risks.</w:t>
      </w:r>
      <w:r>
        <w:t xml:space="preserve"> </w:t>
      </w:r>
      <w:r>
        <w:t xml:space="preserve">Only cancer mortality is modeled; CNS</w:t>
      </w:r>
      <w:r>
        <w:t xml:space="preserve"> </w:t>
      </w:r>
      <w:r>
        <w:t xml:space="preserve">effects, cataracts, cardiovascular risk, and heritable effects are</w:t>
      </w:r>
      <w:r>
        <w:t xml:space="preserve"> </w:t>
      </w:r>
      <w:r>
        <w:t xml:space="preserve">not quantified (CNS effects have drawn attention from rodent studies</w:t>
      </w:r>
      <w:r>
        <w:t xml:space="preserve"> </w:t>
      </w:r>
      <w:r>
        <w:t xml:space="preserve">showing cognitive impairment below the cancer threshold</w:t>
      </w:r>
      <w:r>
        <w:t xml:space="preserve"> </w:t>
      </w:r>
      <w:r>
        <w:t xml:space="preserve">(Cucinotta et al. 2014)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Sex and age scope.</w:t>
      </w:r>
      <w:r>
        <w:t xml:space="preserve"> </w:t>
      </w:r>
      <w:r>
        <w:t xml:space="preserve">Results shown for 35-year-old male/female;</w:t>
      </w:r>
      <w:r>
        <w:t xml:space="preserve"> </w:t>
      </w:r>
      <w:r>
        <w:t xml:space="preserve">a 25-year-old female has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1.5</m:t>
        </m:r>
      </m:oMath>
      <w:r>
        <w:t xml:space="preserve">–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higher REID than a</w:t>
      </w:r>
      <w:r>
        <w:t xml:space="preserve"> </w:t>
      </w:r>
      <w:r>
        <w:t xml:space="preserve">45-year-old male for the same exposure (more remaining life-years,</w:t>
      </w:r>
      <w:r>
        <w:t xml:space="preserve"> </w:t>
      </w:r>
      <w:r>
        <w:t xml:space="preserve">high breast/ovarian tissue weighting). The pipeline supports</w:t>
      </w:r>
      <w:r>
        <w:t xml:space="preserve"> </w:t>
      </w:r>
      <w:r>
        <w:t xml:space="preserve">arbitrary age/sex; broader demographic analysis is future work.</w:t>
      </w:r>
    </w:p>
    <w:bookmarkEnd w:id="33"/>
    <w:bookmarkEnd w:id="34"/>
    <w:bookmarkStart w:id="67" w:name="supplementary-tables"/>
    <w:p>
      <w:pPr>
        <w:pStyle w:val="Heading1"/>
      </w:pPr>
      <w:r>
        <w:t xml:space="preserve">Supplementary Tables</w:t>
      </w:r>
    </w:p>
    <w:bookmarkStart w:id="35" w:name="tab:sensitivity"/>
    <w:p>
      <w:pPr>
        <w:pStyle w:val="TableCaption"/>
      </w:pPr>
      <w:r>
        <w:t xml:space="preserve">Normalized Spearman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sensitivity indices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w:r>
        <w:t xml:space="preserve">35-year-old male, 259-day transit,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Al). Values sum to 1</w:t>
      </w:r>
      <w:r>
        <w:t xml:space="preserve"> </w:t>
      </w:r>
      <w:r>
        <w:t xml:space="preserve">within each column by construction. Radiobiological parameters</w:t>
      </w:r>
      <w:r>
        <w:t xml:space="preserve"> </w:t>
      </w:r>
      <w:r>
        <w:t xml:space="preserve">dominate REID variance; physics parameters dominate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variance.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lized Spearman \rho^2 sensitivity indices (N=500, 35-year-old male, 259-day transit, 16\,\mathrm{g\,cm^{-2}} Al). Values sum to 1 within each column by construction. Radiobiological parameters dominate REID variance; physics parameters dominate D and H varianc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REID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cross_sec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neutron_H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hze_norm_scale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</w:tr>
    </w:tbl>
    <w:bookmarkEnd w:id="35"/>
    <w:p/>
    <w:bookmarkStart w:id="36" w:name="tab:vov"/>
    <w:p>
      <w:pPr>
        <w:pStyle w:val="TableCaption"/>
      </w:pPr>
      <w:r>
        <w:t xml:space="preserve">Value-of-information sweep: reduction in p95 REID from halving</w:t>
      </w:r>
      <w:r>
        <w:t xml:space="preserve"> </w:t>
      </w:r>
      <w:r>
        <w:t xml:space="preserve">one parameter’s uncertainty at a time (baseline p95</w:t>
      </w:r>
      <w:r>
        <w:t xml:space="preserve"> </w:t>
      </w:r>
      <m:oMath>
        <m:r>
          <m:rPr>
            <m:sty m:val="p"/>
          </m:rPr>
          <m:t>=</m:t>
        </m:r>
        <m:r>
          <m:t>20.0</m:t>
        </m:r>
        <m:r>
          <m:rPr>
            <m:sty m:val="p"/>
          </m:rPr>
          <m:t>%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ue-of-information sweep: reduction in p95 REID from halving one parameter’s uncertainty at a time (baseline p95 =20.0\%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Narrowed p95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p95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baseline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6.7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0.9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hze_norm_scale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neutron_H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EAR_scale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 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cross_sec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</m:oMath>
            <w:r>
              <w:t xml:space="preserve"> </w:t>
            </w:r>
            <w:r>
              <w:t xml:space="preserve">pts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36"/>
    <w:p/>
    <w:bookmarkStart w:id="37" w:name="tab:tool_comparison"/>
    <w:p>
      <w:pPr>
        <w:pStyle w:val="TableCaption"/>
      </w:pPr>
      <w:r>
        <w:t xml:space="preserve">Comparison of GCR dosimetry tools.  = present,</w:t>
      </w:r>
      <w:r>
        <w:t xml:space="preserve"> </w:t>
      </w:r>
      <m:oMath>
        <m:r>
          <m:rPr>
            <m:sty m:val="p"/>
          </m:rPr>
          <m:t>△</m:t>
        </m:r>
      </m:oMath>
      <w:r>
        <w:t xml:space="preserve"> </w:t>
      </w:r>
      <w:r>
        <w:t xml:space="preserve">= partial,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= absent.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GCR dosimetry tools.  = present, \triangle = partial, \times = abse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HZETRN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OLTARIS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Geant4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/ pip-install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 REID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library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LHS uncertainty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RBE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test suite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</w:tr>
    </w:tbl>
    <w:bookmarkEnd w:id="37"/>
    <w:bookmarkStart w:id="66" w:name="refs"/>
    <w:bookmarkStart w:id="39" w:name="ref-adriani2014"/>
    <w:p>
      <w:pPr>
        <w:pStyle w:val="Bibliography"/>
      </w:pPr>
      <w:r>
        <w:t xml:space="preserve">Adriani, O. et al.</w:t>
      </w:r>
      <w:r>
        <w:t xml:space="preserve"> 2014.</w:t>
      </w:r>
      <w:r>
        <w:t xml:space="preserve"> </w:t>
      </w:r>
      <w:r>
        <w:t xml:space="preserve">“Time Dependence of the</w:t>
      </w:r>
      <w:r>
        <w:t xml:space="preserve"> </w:t>
      </w:r>
      <w:r>
        <w:t xml:space="preserve">He/H</w:t>
      </w:r>
      <w:r>
        <w:t xml:space="preserve"> </w:t>
      </w:r>
      <w:r>
        <w:t xml:space="preserve">Ratio in Cosmic Rays During the Solar Minimum Period.”</w:t>
      </w:r>
      <w:r>
        <w:t xml:space="preserve"> </w:t>
      </w:r>
      <w:r>
        <w:rPr>
          <w:i/>
          <w:iCs/>
        </w:rPr>
        <w:t xml:space="preserve">The Astrophysical Journal Letters</w:t>
      </w:r>
      <w:r>
        <w:t xml:space="preserve"> </w:t>
      </w:r>
      <w:r>
        <w:t xml:space="preserve">791: L14.</w:t>
      </w:r>
      <w:r>
        <w:t xml:space="preserve"> </w:t>
      </w:r>
      <w:hyperlink r:id="rId38">
        <w:r>
          <w:rPr>
            <w:rStyle w:val="Hyperlink"/>
          </w:rPr>
          <w:t xml:space="preserve">https://doi.org/10.1088/2041-8205/791/1/L14</w:t>
        </w:r>
      </w:hyperlink>
      <w:r>
        <w:t xml:space="preserve">.</w:t>
      </w:r>
    </w:p>
    <w:bookmarkEnd w:id="39"/>
    <w:bookmarkStart w:id="40" w:name="ref-barkas1963"/>
    <w:p>
      <w:pPr>
        <w:pStyle w:val="Bibliography"/>
      </w:pPr>
      <w:r>
        <w:t xml:space="preserve">Barkas, W. H. 1963.</w:t>
      </w:r>
      <w:r>
        <w:t xml:space="preserve"> </w:t>
      </w:r>
      <w:r>
        <w:rPr>
          <w:i/>
          <w:iCs/>
        </w:rPr>
        <w:t xml:space="preserve">Nuclear Research Emulsions, Vol. I: Techniques and Theory</w:t>
      </w:r>
      <w:r>
        <w:t xml:space="preserve">. Academic Press.</w:t>
      </w:r>
    </w:p>
    <w:bookmarkEnd w:id="40"/>
    <w:bookmarkStart w:id="41" w:name="ref-boschini2020"/>
    <w:p>
      <w:pPr>
        <w:pStyle w:val="Bibliography"/>
      </w:pPr>
      <w:r>
        <w:t xml:space="preserve">Boschini, M. J. et al.</w:t>
      </w:r>
      <w:r>
        <w:t xml:space="preserve"> 2020.</w:t>
      </w:r>
      <w:r>
        <w:t xml:space="preserve"> </w:t>
      </w:r>
      <w:r>
        <w:t xml:space="preserve">“Deciphering the Local Interstellar Spectra of Primary Cosmic-Ray Species with HelMod.”</w:t>
      </w:r>
      <w:r>
        <w:t xml:space="preserve"> </w:t>
      </w:r>
      <w:r>
        <w:rPr>
          <w:i/>
          <w:iCs/>
        </w:rPr>
        <w:t xml:space="preserve">Astrophys. J. Suppl.</w:t>
      </w:r>
      <w:r>
        <w:t xml:space="preserve"> </w:t>
      </w:r>
      <w:r>
        <w:t xml:space="preserve">250: 27.</w:t>
      </w:r>
    </w:p>
    <w:bookmarkEnd w:id="41"/>
    <w:bookmarkStart w:id="42" w:name="ref-bradtpeters1950"/>
    <w:p>
      <w:pPr>
        <w:pStyle w:val="Bibliography"/>
      </w:pPr>
      <w:r>
        <w:t xml:space="preserve">Bradt, H. L., and B. Peters. 1950.</w:t>
      </w:r>
      <w:r>
        <w:t xml:space="preserve"> </w:t>
      </w:r>
      <w:r>
        <w:t xml:space="preserve">“The Heavy Nuclei of the Primary Cosmic Radiation.”</w:t>
      </w:r>
      <w:r>
        <w:t xml:space="preserve"> </w:t>
      </w:r>
      <w:r>
        <w:rPr>
          <w:i/>
          <w:iCs/>
        </w:rPr>
        <w:t xml:space="preserve">Phys. Rev.</w:t>
      </w:r>
      <w:r>
        <w:t xml:space="preserve"> </w:t>
      </w:r>
      <w:r>
        <w:t xml:space="preserve">77: 54–70.</w:t>
      </w:r>
    </w:p>
    <w:bookmarkEnd w:id="42"/>
    <w:bookmarkStart w:id="44" w:name="ref-cucinotta2014cns"/>
    <w:p>
      <w:pPr>
        <w:pStyle w:val="Bibliography"/>
      </w:pPr>
      <w:r>
        <w:t xml:space="preserve">Cucinotta, F. A., M. Alp, F. M. Sulzman, and M. Wang. 2014.</w:t>
      </w:r>
      <w:r>
        <w:t xml:space="preserve"> </w:t>
      </w:r>
      <w:r>
        <w:t xml:space="preserve">“Space Radiation Risks to the Central Nervous System.”</w:t>
      </w:r>
      <w:r>
        <w:t xml:space="preserve"> </w:t>
      </w:r>
      <w:r>
        <w:rPr>
          <w:i/>
          <w:iCs/>
        </w:rPr>
        <w:t xml:space="preserve">Life Sci. Space Res.</w:t>
      </w:r>
      <w:r>
        <w:t xml:space="preserve"> </w:t>
      </w:r>
      <w:r>
        <w:t xml:space="preserve">2: 54–69.</w:t>
      </w:r>
      <w:r>
        <w:t xml:space="preserve"> </w:t>
      </w:r>
      <w:hyperlink r:id="rId43">
        <w:r>
          <w:rPr>
            <w:rStyle w:val="Hyperlink"/>
          </w:rPr>
          <w:t xml:space="preserve">https://doi.org/10.1016/j.lssr.2014.06.003</w:t>
        </w:r>
      </w:hyperlink>
      <w:r>
        <w:t xml:space="preserve">.</w:t>
      </w:r>
    </w:p>
    <w:bookmarkEnd w:id="44"/>
    <w:bookmarkStart w:id="45" w:name="ref-cucinotta2010"/>
    <w:p>
      <w:pPr>
        <w:pStyle w:val="Bibliography"/>
      </w:pPr>
      <w:r>
        <w:t xml:space="preserve">Cucinotta, F. A., and M. Durante. 2010.</w:t>
      </w:r>
      <w:r>
        <w:t xml:space="preserve"> </w:t>
      </w:r>
      <w:r>
        <w:rPr>
          <w:i/>
          <w:iCs/>
        </w:rPr>
        <w:t xml:space="preserve">Risk of Radiation Carcinogenesis</w:t>
      </w:r>
      <w:r>
        <w:t xml:space="preserve">. NASA Johnson Space Center.</w:t>
      </w:r>
    </w:p>
    <w:bookmarkEnd w:id="45"/>
    <w:bookmarkStart w:id="46" w:name="ref-cucinotta2013"/>
    <w:p>
      <w:pPr>
        <w:pStyle w:val="Bibliography"/>
      </w:pPr>
      <w:r>
        <w:t xml:space="preserve">Cucinotta, F. A., M. H. Y. Kim, and L. J. Chappell. 2013.</w:t>
      </w:r>
      <w:r>
        <w:t xml:space="preserve"> </w:t>
      </w:r>
      <w:r>
        <w:t xml:space="preserve">“Space Radiation Cancer Risk Projections and Uncertainties – 2012.”</w:t>
      </w:r>
      <w:r>
        <w:t xml:space="preserve"> </w:t>
      </w:r>
      <w:r>
        <w:rPr>
          <w:i/>
          <w:iCs/>
        </w:rPr>
        <w:t xml:space="preserve">NASA/TP</w:t>
      </w:r>
      <w:r>
        <w:t xml:space="preserve"> </w:t>
      </w:r>
      <w:r>
        <w:t xml:space="preserve">2013-217375.</w:t>
      </w:r>
    </w:p>
    <w:bookmarkEnd w:id="46"/>
    <w:bookmarkStart w:id="48" w:name="ref-durant2013"/>
    <w:p>
      <w:pPr>
        <w:pStyle w:val="Bibliography"/>
      </w:pPr>
      <w:r>
        <w:t xml:space="preserve">Durante, M., and F. A. Cucinotta. 2011.</w:t>
      </w:r>
      <w:r>
        <w:t xml:space="preserve"> </w:t>
      </w:r>
      <w:r>
        <w:t xml:space="preserve">“Physical Basis of Radiation Protection in Space Travel.”</w:t>
      </w:r>
      <w:r>
        <w:t xml:space="preserve"> </w:t>
      </w:r>
      <w:r>
        <w:rPr>
          <w:i/>
          <w:iCs/>
        </w:rPr>
        <w:t xml:space="preserve">Rev. Mod. Phys.</w:t>
      </w:r>
      <w:r>
        <w:t xml:space="preserve"> </w:t>
      </w:r>
      <w:r>
        <w:t xml:space="preserve">83: 1245.</w:t>
      </w:r>
      <w:r>
        <w:t xml:space="preserve"> </w:t>
      </w:r>
      <w:hyperlink r:id="rId47">
        <w:r>
          <w:rPr>
            <w:rStyle w:val="Hyperlink"/>
          </w:rPr>
          <w:t xml:space="preserve">https://doi.org/10.1103/RevModPhys.83.1245</w:t>
        </w:r>
      </w:hyperlink>
      <w:r>
        <w:t xml:space="preserve">.</w:t>
      </w:r>
    </w:p>
    <w:bookmarkEnd w:id="48"/>
    <w:bookmarkStart w:id="49" w:name="ref-feynman1993"/>
    <w:p>
      <w:pPr>
        <w:pStyle w:val="Bibliography"/>
      </w:pPr>
      <w:r>
        <w:t xml:space="preserve">Feynman, J., G. Spitale, J. Wang, and S. Gabriel. 1993.</w:t>
      </w:r>
      <w:r>
        <w:t xml:space="preserve"> </w:t>
      </w:r>
      <w:r>
        <w:t xml:space="preserve">“Interplanetary Proton Fluence Model:</w:t>
      </w:r>
      <w:r>
        <w:t xml:space="preserve"> </w:t>
      </w:r>
      <w:r>
        <w:t xml:space="preserve">JPL</w:t>
      </w:r>
      <w:r>
        <w:t xml:space="preserve"> </w:t>
      </w:r>
      <w:r>
        <w:t xml:space="preserve">1991.”</w:t>
      </w:r>
      <w:r>
        <w:t xml:space="preserve"> </w:t>
      </w:r>
      <w:r>
        <w:rPr>
          <w:i/>
          <w:iCs/>
        </w:rPr>
        <w:t xml:space="preserve">J. Geophys. Res.</w:t>
      </w:r>
      <w:r>
        <w:t xml:space="preserve"> </w:t>
      </w:r>
      <w:r>
        <w:t xml:space="preserve">98: 13281.</w:t>
      </w:r>
    </w:p>
    <w:bookmarkEnd w:id="49"/>
    <w:bookmarkStart w:id="51" w:name="ref-george2009"/>
    <w:p>
      <w:pPr>
        <w:pStyle w:val="Bibliography"/>
      </w:pPr>
      <w:r>
        <w:t xml:space="preserve">George, J. S. et al.</w:t>
      </w:r>
      <w:r>
        <w:t xml:space="preserve"> 2009.</w:t>
      </w:r>
      <w:r>
        <w:t xml:space="preserve"> </w:t>
      </w:r>
      <w:r>
        <w:t xml:space="preserve">“Elemental Composition and Energy Spectra of Galactic Cosmic Rays During Solar Cycle 23.”</w:t>
      </w:r>
      <w:r>
        <w:t xml:space="preserve"> </w:t>
      </w:r>
      <w:r>
        <w:rPr>
          <w:i/>
          <w:iCs/>
        </w:rPr>
        <w:t xml:space="preserve">The Astrophysical Journal</w:t>
      </w:r>
      <w:r>
        <w:t xml:space="preserve"> </w:t>
      </w:r>
      <w:r>
        <w:t xml:space="preserve">698: 1666–81.</w:t>
      </w:r>
      <w:r>
        <w:t xml:space="preserve"> </w:t>
      </w:r>
      <w:hyperlink r:id="rId50">
        <w:r>
          <w:rPr>
            <w:rStyle w:val="Hyperlink"/>
          </w:rPr>
          <w:t xml:space="preserve">https://doi.org/10.1088/0004-637X/698/2/1666</w:t>
        </w:r>
      </w:hyperlink>
      <w:r>
        <w:t xml:space="preserve">.</w:t>
      </w:r>
    </w:p>
    <w:bookmarkEnd w:id="51"/>
    <w:bookmarkStart w:id="52" w:name="ref-icrp60"/>
    <w:p>
      <w:pPr>
        <w:pStyle w:val="Bibliography"/>
      </w:pPr>
      <w:r>
        <w:t xml:space="preserve">ICRP. 1991.</w:t>
      </w:r>
      <w:r>
        <w:t xml:space="preserve"> </w:t>
      </w:r>
      <w:r>
        <w:rPr>
          <w:i/>
          <w:iCs/>
        </w:rPr>
        <w:t xml:space="preserve">1990 Recommendations of the International Commission on Radiological Protection</w:t>
      </w:r>
      <w:r>
        <w:t xml:space="preserve">. Publication 60. International Commission on Radiological Protection.</w:t>
      </w:r>
    </w:p>
    <w:bookmarkEnd w:id="52"/>
    <w:bookmarkStart w:id="53" w:name="ref-icrp89"/>
    <w:p>
      <w:pPr>
        <w:pStyle w:val="Bibliography"/>
      </w:pPr>
      <w:r>
        <w:t xml:space="preserve">ICRP. 2002.</w:t>
      </w:r>
      <w:r>
        <w:t xml:space="preserve"> </w:t>
      </w:r>
      <w:r>
        <w:rPr>
          <w:i/>
          <w:iCs/>
        </w:rPr>
        <w:t xml:space="preserve">Basic Anatomical and Physiological Data for Use in Radiological Protection: Reference Values</w:t>
      </w:r>
      <w:r>
        <w:t xml:space="preserve">. Publication 89. International Commission on Radiological Protection.</w:t>
      </w:r>
    </w:p>
    <w:bookmarkEnd w:id="53"/>
    <w:bookmarkStart w:id="54" w:name="ref-mcnamara2015"/>
    <w:p>
      <w:pPr>
        <w:pStyle w:val="Bibliography"/>
      </w:pPr>
      <w:r>
        <w:t xml:space="preserve">McNamara, A. L., J. Schuemann, and H. Paganetti. 2015.</w:t>
      </w:r>
      <w:r>
        <w:t xml:space="preserve"> </w:t>
      </w:r>
      <w:r>
        <w:t xml:space="preserve">“A Phenomenological Relative Biological Effectiveness (RBE) Model for Proton Therapy Based on All Published in Vitro Cell Survival Data.”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t xml:space="preserve">60: 8399–416.</w:t>
      </w:r>
    </w:p>
    <w:bookmarkEnd w:id="54"/>
    <w:bookmarkStart w:id="56" w:name="ref-potgieter2013"/>
    <w:p>
      <w:pPr>
        <w:pStyle w:val="Bibliography"/>
      </w:pPr>
      <w:r>
        <w:t xml:space="preserve">Potgieter, M. S. 2013.</w:t>
      </w:r>
      <w:r>
        <w:t xml:space="preserve"> </w:t>
      </w:r>
      <w:r>
        <w:t xml:space="preserve">“Solar Modulation of Cosmic Rays.”</w:t>
      </w:r>
      <w:r>
        <w:t xml:space="preserve"> </w:t>
      </w:r>
      <w:r>
        <w:rPr>
          <w:i/>
          <w:iCs/>
        </w:rPr>
        <w:t xml:space="preserve">Living Rev. Sol. Phys.</w:t>
      </w:r>
      <w:r>
        <w:t xml:space="preserve"> </w:t>
      </w:r>
      <w:r>
        <w:t xml:space="preserve">10: 3.</w:t>
      </w:r>
      <w:r>
        <w:t xml:space="preserve"> </w:t>
      </w:r>
      <w:hyperlink r:id="rId55">
        <w:r>
          <w:rPr>
            <w:rStyle w:val="Hyperlink"/>
          </w:rPr>
          <w:t xml:space="preserve">https://doi.org/10.12942/lrsp-2013-3</w:t>
        </w:r>
      </w:hyperlink>
      <w:r>
        <w:t xml:space="preserve">.</w:t>
      </w:r>
    </w:p>
    <w:bookmarkEnd w:id="56"/>
    <w:bookmarkStart w:id="57" w:name="ref-saltelli2010"/>
    <w:p>
      <w:pPr>
        <w:pStyle w:val="Bibliography"/>
      </w:pPr>
      <w:r>
        <w:t xml:space="preserve">Saltelli, A., P. Annoni, I. Azzini, F. Campolongo, M. Ratto, and S. Tarantola. 2010.</w:t>
      </w:r>
      <w:r>
        <w:t xml:space="preserve"> </w:t>
      </w:r>
      <w:r>
        <w:t xml:space="preserve">“Variance Based Sensitivity Analysis of Model Output.”</w:t>
      </w:r>
      <w:r>
        <w:t xml:space="preserve"> </w:t>
      </w:r>
      <w:r>
        <w:rPr>
          <w:i/>
          <w:iCs/>
        </w:rPr>
        <w:t xml:space="preserve">Comput. Phys. Commun.</w:t>
      </w:r>
      <w:r>
        <w:t xml:space="preserve"> </w:t>
      </w:r>
      <w:r>
        <w:t xml:space="preserve">181: 259–70.</w:t>
      </w:r>
    </w:p>
    <w:bookmarkEnd w:id="57"/>
    <w:bookmarkStart w:id="58" w:name="ref-slaba2014"/>
    <w:p>
      <w:pPr>
        <w:pStyle w:val="Bibliography"/>
      </w:pPr>
      <w:r>
        <w:t xml:space="preserve">Slaba, T. C. et al.</w:t>
      </w:r>
      <w:r>
        <w:t xml:space="preserve"> 2014.</w:t>
      </w:r>
      <w:r>
        <w:t xml:space="preserve"> </w:t>
      </w:r>
      <w:r>
        <w:t xml:space="preserve">“Efficient GCR Shielding Assessment for Long Duration Exposure.”</w:t>
      </w:r>
      <w:r>
        <w:t xml:space="preserve"> </w:t>
      </w:r>
      <w:r>
        <w:rPr>
          <w:i/>
          <w:iCs/>
        </w:rPr>
        <w:t xml:space="preserve">Acta Astronaut.</w:t>
      </w:r>
      <w:r>
        <w:t xml:space="preserve"> </w:t>
      </w:r>
      <w:r>
        <w:t xml:space="preserve">104: 485–90.</w:t>
      </w:r>
    </w:p>
    <w:bookmarkEnd w:id="58"/>
    <w:bookmarkStart w:id="59" w:name="ref-slaba2016"/>
    <w:p>
      <w:pPr>
        <w:pStyle w:val="Bibliography"/>
      </w:pPr>
      <w:r>
        <w:t xml:space="preserve">Slaba, T. C., S. R. Blattnig, J. W. Norbury, A. Rusek, and C. La Tessa. 2016.</w:t>
      </w:r>
      <w:r>
        <w:t xml:space="preserve"> </w:t>
      </w:r>
      <w:r>
        <w:t xml:space="preserve">“Reference Field Specification and Preliminary Beam Selection Strategy for Accelerator-Based</w:t>
      </w:r>
      <w:r>
        <w:t xml:space="preserve"> </w:t>
      </w:r>
      <w:r>
        <w:t xml:space="preserve">GCR</w:t>
      </w:r>
      <w:r>
        <w:t xml:space="preserve"> </w:t>
      </w:r>
      <w:r>
        <w:t xml:space="preserve">Simulation.”</w:t>
      </w:r>
      <w:r>
        <w:t xml:space="preserve"> </w:t>
      </w:r>
      <w:r>
        <w:rPr>
          <w:i/>
          <w:iCs/>
        </w:rPr>
        <w:t xml:space="preserve">Life Sci. Space Res.</w:t>
      </w:r>
      <w:r>
        <w:t xml:space="preserve"> </w:t>
      </w:r>
      <w:r>
        <w:t xml:space="preserve">8: 52–67.</w:t>
      </w:r>
    </w:p>
    <w:bookmarkEnd w:id="59"/>
    <w:bookmarkStart w:id="60" w:name="ref-tylka2006"/>
    <w:p>
      <w:pPr>
        <w:pStyle w:val="Bibliography"/>
      </w:pPr>
      <w:r>
        <w:t xml:space="preserve">Tylka, A. J., and M. A. Lee. 2006.</w:t>
      </w:r>
      <w:r>
        <w:t xml:space="preserve"> </w:t>
      </w:r>
      <w:r>
        <w:t xml:space="preserve">“Spectral and Compositional Characteristics of Gradual and Impulsive Solar Energetic Particle Events.”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t xml:space="preserve">646: 1319–34.</w:t>
      </w:r>
    </w:p>
    <w:bookmarkEnd w:id="60"/>
    <w:bookmarkStart w:id="61" w:name="ref-vos2015"/>
    <w:p>
      <w:pPr>
        <w:pStyle w:val="Bibliography"/>
      </w:pPr>
      <w:r>
        <w:t xml:space="preserve">Vos, E. E., and M. S. Potgieter. 2015.</w:t>
      </w:r>
      <w:r>
        <w:t xml:space="preserve"> </w:t>
      </w:r>
      <w:r>
        <w:t xml:space="preserve">“New Modeling of Solar Minimum Proton Modulation with a Refined Diffusion Tensor.”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t xml:space="preserve">815: 119.</w:t>
      </w:r>
    </w:p>
    <w:bookmarkEnd w:id="61"/>
    <w:bookmarkStart w:id="62" w:name="ref-wedenberg2013"/>
    <w:p>
      <w:pPr>
        <w:pStyle w:val="Bibliography"/>
      </w:pPr>
      <w:r>
        <w:t xml:space="preserve">Wedenberg, M., B. K. Lind, and B. Hardemark. 2013.</w:t>
      </w:r>
      <w:r>
        <w:t xml:space="preserve"> </w:t>
      </w:r>
      <w:r>
        <w:t xml:space="preserve">“A Model for the Relative Biological Effectiveness of Protons: The Tissue Specific Parameter Alpha/Beta of Photons Is a Predictor for the Sensitivity to LET Changes.”</w:t>
      </w:r>
      <w:r>
        <w:t xml:space="preserve"> </w:t>
      </w:r>
      <w:r>
        <w:rPr>
          <w:i/>
          <w:iCs/>
        </w:rPr>
        <w:t xml:space="preserve">Acta Oncol.</w:t>
      </w:r>
      <w:r>
        <w:t xml:space="preserve"> </w:t>
      </w:r>
      <w:r>
        <w:t xml:space="preserve">52: 580–88.</w:t>
      </w:r>
    </w:p>
    <w:bookmarkEnd w:id="62"/>
    <w:bookmarkStart w:id="63" w:name="ref-wilson1991"/>
    <w:p>
      <w:pPr>
        <w:pStyle w:val="Bibliography"/>
      </w:pPr>
      <w:r>
        <w:t xml:space="preserve">Wilson, J. W. et al.</w:t>
      </w:r>
      <w:r>
        <w:t xml:space="preserve"> 1991.</w:t>
      </w:r>
      <w:r>
        <w:t xml:space="preserve"> </w:t>
      </w:r>
      <w:r>
        <w:t xml:space="preserve">“HZETRN: Description and Validation of a Free-Space Ion and Nucleon Transport and Shielding Computer Program.”</w:t>
      </w:r>
      <w:r>
        <w:t xml:space="preserve"> </w:t>
      </w:r>
      <w:r>
        <w:rPr>
          <w:i/>
          <w:iCs/>
        </w:rPr>
        <w:t xml:space="preserve">NASA TP</w:t>
      </w:r>
      <w:r>
        <w:t xml:space="preserve"> </w:t>
      </w:r>
      <w:r>
        <w:t xml:space="preserve">3146.</w:t>
      </w:r>
    </w:p>
    <w:bookmarkEnd w:id="63"/>
    <w:bookmarkStart w:id="65" w:name="ref-zeitlin2013"/>
    <w:p>
      <w:pPr>
        <w:pStyle w:val="Bibliography"/>
      </w:pPr>
      <w:r>
        <w:t xml:space="preserve">Zeitlin, C. et al.</w:t>
      </w:r>
      <w:r>
        <w:t xml:space="preserve"> 2013.</w:t>
      </w:r>
      <w:r>
        <w:t xml:space="preserve"> </w:t>
      </w:r>
      <w:r>
        <w:t xml:space="preserve">“Measurements of Energetic Particle Radiation in Transit to Mars on the Mars Science Laboratory.”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340: 1080–84.</w:t>
      </w:r>
      <w:r>
        <w:t xml:space="preserve"> </w:t>
      </w:r>
      <w:hyperlink r:id="rId64">
        <w:r>
          <w:rPr>
            <w:rStyle w:val="Hyperlink"/>
          </w:rPr>
          <w:t xml:space="preserve">https://doi.org/10.1126/science.1235989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doi.org/10.1016/j.lssr.2014.06.003" TargetMode="External" /><Relationship Type="http://schemas.openxmlformats.org/officeDocument/2006/relationships/hyperlink" Id="rId50" Target="https://doi.org/10.1088/0004-637X/698/2/1666" TargetMode="External" /><Relationship Type="http://schemas.openxmlformats.org/officeDocument/2006/relationships/hyperlink" Id="rId38" Target="https://doi.org/10.1088/2041-8205/791/1/L14" TargetMode="External" /><Relationship Type="http://schemas.openxmlformats.org/officeDocument/2006/relationships/hyperlink" Id="rId47" Target="https://doi.org/10.1103/RevModPhys.83.1245" TargetMode="External" /><Relationship Type="http://schemas.openxmlformats.org/officeDocument/2006/relationships/hyperlink" Id="rId64" Target="https://doi.org/10.1126/science.1235989" TargetMode="External" /><Relationship Type="http://schemas.openxmlformats.org/officeDocument/2006/relationships/hyperlink" Id="rId55" Target="https://doi.org/10.12942/lrsp-2013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16/j.lssr.2014.06.003" TargetMode="External" /><Relationship Type="http://schemas.openxmlformats.org/officeDocument/2006/relationships/hyperlink" Id="rId50" Target="https://doi.org/10.1088/0004-637X/698/2/1666" TargetMode="External" /><Relationship Type="http://schemas.openxmlformats.org/officeDocument/2006/relationships/hyperlink" Id="rId38" Target="https://doi.org/10.1088/2041-8205/791/1/L14" TargetMode="External" /><Relationship Type="http://schemas.openxmlformats.org/officeDocument/2006/relationships/hyperlink" Id="rId47" Target="https://doi.org/10.1103/RevModPhys.83.1245" TargetMode="External" /><Relationship Type="http://schemas.openxmlformats.org/officeDocument/2006/relationships/hyperlink" Id="rId64" Target="https://doi.org/10.1126/science.1235989" TargetMode="External" /><Relationship Type="http://schemas.openxmlformats.org/officeDocument/2006/relationships/hyperlink" Id="rId55" Target="https://doi.org/10.12942/lrsp-2013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for: An open-source GCR dosimetry pipeline for Mars mission risk assessment: organ-specific REID, SEP acute hazard, and global uncertainty quantification</dc:title>
  <dc:creator>Aryan Hemendra Shah University of Miami</dc:creator>
  <cp:keywords/>
  <dcterms:created xsi:type="dcterms:W3CDTF">2026-09-20T00:33:45Z</dcterms:created>
  <dcterms:modified xsi:type="dcterms:W3CDTF">2026-09-20T00:33:45Z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2026-09-19</vt:lpwstr>
  </property>
</Properties>
</file>