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PRODUCT REQUIREMENTS DOCUMENT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Hybrid Reward Post-Training RL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404040"/>
          <w:sz w:val="30"/>
          <w:szCs w:val="30"/>
        </w:rPr>
        <w:t xml:space="preserve">Reproduction, Audit, and Extension of HERO (ICLR 2026)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Final Year Project — B.Eng. Computer Science</w:t>
      </w:r>
    </w:p>
    <w:p>
      <w:pPr>
        <w:spacing w:after="7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Nanyang Technological University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Student: Aryan Jain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Supervisor: Asst Prof Sean (Xuefeng) Du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Version 1.1 (Audited draft)  ·  13 August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Document Control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0D0D0" w:sz="4"/>
          <w:insideV w:val="single" w:color="D0D0D0" w:sz="4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FYP PRD — Hybrid Reward Post-Training RL: Reproduction, Audit, and Extension of HERO</w:t>
            </w:r>
          </w:p>
        </w:tc>
      </w:tr>
      <w:tr>
        <w:trPr>
          <w:cantSplit/>
        </w:trP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Version / status</w:t>
            </w:r>
          </w:p>
        </w:tc>
        <w:tc>
          <w:tcPr>
            <w:tcW w:type="dxa" w:w="68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v1.1 — Audited draft for supervisor review (pre-kickoff)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Author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Aryan Jain (ARYAN017@e.ntu.edu.sg)</w:t>
            </w:r>
          </w:p>
        </w:tc>
      </w:tr>
      <w:tr>
        <w:trPr>
          <w:cantSplit/>
        </w:trP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Asst Prof Sean (Xuefeng) Du, NTU CCDS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 paper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Tao et al., "Hybrid Reinforcement: When Reward is Sparse, Better to be Dense" (HERO), ICLR 2026. FAIR at Meta &amp; UW–Madison.</w:t>
            </w:r>
          </w:p>
        </w:tc>
      </w:tr>
      <w:tr>
        <w:trPr>
          <w:cantSplit/>
        </w:trP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 cadence</w:t>
            </w:r>
          </w:p>
        </w:tc>
        <w:tc>
          <w:tcPr>
            <w:tcW w:type="dxa" w:w="68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 after each supervisor meeting; re-baseline scope at end of Milestone 2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items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GPU allocation (§6.7), extension selection (§8), judge budget (§9.3) — all pending first supervisor meeting</w:t>
            </w:r>
          </w:p>
        </w:tc>
      </w:tr>
      <w:tr>
        <w:trPr>
          <w:cantSplit/>
        </w:trP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Change log</w:t>
            </w:r>
          </w:p>
        </w:tc>
        <w:tc>
          <w:tcPr>
            <w:tcW w:type="dxa" w:w="68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v1.0 initial draft. v1.1 audit pass: all paper-sourced numbers re-verified against the PDF; A-7 expanded (judge-version and verifier-naming inconsistencies); D-09 added; ε clarification added to A-8; M0 gains the Table-10 qualitative failure taxonomy; §8.2c hackability bound refined to two channels; pseudocode syntax corrected; table page-break splitting fixed; Skywork-Reward reference added; executive-summary phases mapped to milestones.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Table of Contents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1.  Executive Summary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2.  Scope, Goals, and Non-Goals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3.  Background and Problem Statement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4.  Paper Deep-Dive: HERO (mechanisms, setup, results, ablations, limitations)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5.  Critical Audit of the Paper (findings A-1 … A-9)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6.  Reproduction Specification (stack, data, SFT, reward manager, decision log, compute)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7.  Milestones and Timeline (M0 – M5)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8.  Extension Tracks: FinHERO · Mechanism Fixes · Calibration Gating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9.  Evaluation Protocol (benchmarks, statistics, judge integrity)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10. Risks and Mitigations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11. Anti-Goals: What Not To Do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12. Open Questions for the First Supervisor Meeting</w:t>
      </w:r>
    </w:p>
    <w:p>
      <w:pPr>
        <w:spacing w:after="9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13. References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project reproduces, stress-tests, and extends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HERO (Hybrid Ensemble Reward Optimization)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, an ICLR 2026 method from Meta FAIR and UW–Madison that combines sparse rule-based verifier rewards with dense reward-model (RM) scores for reinforcement learning on reasoning tasks. HERO addresses two coupled failures of current post-training: (i) binary verifiers under-credit correct answers in non-canonical formats and produce zero policy gradient in GRPO whenever all rollouts of a prompt share the same label; and (ii) dense reward models supply informative gradients but drift and get hacked, with documented catastrophic accuracy collapse when used alone on hard-to-verify data.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HERO resolves the tension with two mechanisms: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stratified normalization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(RM scores are min–max normalized within verifier-defined correctness groups and mapped to disjoint bands, so the verifier owns correctness semantics while the RM ranks within bands) and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variance-aware prompt weighting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(rewards are scaled by a logistic function of the RM-score dispersion across a prompt’s rollouts, up-weighting informative prompts). On Qwen3-4B-Base the method reaches 66.3 average on hard-to-verify evaluations versus 57.1 (verifier-only) and 54.6 (RM-only), with consistent gains across easy, hard, and mixed training regimes and a second backbone.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project has three phases.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Phase A (Reproduce, M0–M2):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rebuild the verifier-analysis study (zero RL compute), then the SFT cold start, both baselines, and HERO itself in the verl framework at a compute-appropriate scale.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Phase B (Audit, M3):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resolve the open technical questions identified in this document’s critical review — most importantly the apparent mathematical cancellation of variance-aware weighting under standard GRPO advantage normalization (§5.1), the missing dynamic-sampling baseline, and the LLM-judge circularity risk.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Phase C (Extend, M4–M5):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pursue one ranked extension, with the leading candidate being transfer of the hybrid-reward recipe to quantitative-finance reasoning using programmatic financial verifiers (no-arbitrage, put–call parity, curve-repricing checks) — a domain the paper explicitly names as open future work.</w:t>
      </w:r>
    </w:p>
    <w:p>
      <w:pPr>
        <w:spacing w:after="60"/>
      </w:pPr>
    </w:p>
    <w:tbl>
      <w:tblPr>
        <w:tblW w:type="dxa" w:w="9000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2F6FC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</w:rPr>
              <w:t xml:space="preserve">Success definition</w:t>
            </w:r>
          </w:p>
          <w:p>
            <w:pPr>
              <w:spacing w:after="8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</w:rPr>
              <w:t xml:space="preserve">A successful FYP outcome is: (1) a faithful, documented reproduction of HERO’s core result at reduced scale with matching qualitative behavior of training curves; (2) at least one resolved audit finding with experimental evidence (e.g., the GRPO-invariance question settled); and (3) one extension with a clean ablation showing when and why it helps. Beating the paper’s absolute numbers is explicitly a non-goal (§11).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2. Scope, Goals, and Non-Goals</w:t>
      </w:r>
    </w:p>
    <w:p>
      <w:pPr>
        <w:pStyle w:val="Heading2"/>
        <w:spacing w:after="120" w:before="260"/>
      </w:pPr>
      <w:r>
        <w:t xml:space="preserve">2.1 In scope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Faithful reproduction of the HERO training pipeline (SFT cold start → GRPO with hybrid reward) in verl, at a scale matched to available compute (target backbone: Qwen3-1.7B-Base for development, Qwen3-4B-Base if allocation permits).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Reproduction of the paper’s verifier-analysis study (precision/recall/FPR of rule-based verifiers vs RM thresholds on HardVerify-Math) as Milestone 0 — it requires no RL training and builds the full verification harness needed later.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Both baselines (verifier-only GRPO; RM-only GRPO) under identical data, cold start, and hyperparameters, so all deltas are attributable to reward design.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written and experimental audit of the method: advantage-normalization interaction, difficulty-signal validity, missing baselines, judge reliability.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 extension track selected with the supervisor (§8), carried through design → implementation → ablation → write-up.</w:t>
      </w:r>
    </w:p>
    <w:p>
      <w:pPr>
        <w:pStyle w:val="Heading2"/>
        <w:spacing w:after="120" w:before="260"/>
      </w:pPr>
      <w:r>
        <w:t xml:space="preserve">2.2 Out of scope (non-goals)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Matching or exceeding the paper’s absolute benchmark numbers at full 32-GPU scale.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General open-ended / multimodal RLHF; the project stays within domains that admit at least a partial programmatic verifier.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Training new reward models from scratch (off-the-shelf RMs are used; light fine-tuning is permitted only inside the extension track if selected).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Production deployment concerns (serving, quantization for inference, latency SLOs).</w:t>
      </w:r>
    </w:p>
    <w:p>
      <w:pPr>
        <w:pStyle w:val="Heading2"/>
        <w:spacing w:after="120" w:before="260"/>
      </w:pPr>
      <w:r>
        <w:t xml:space="preserve">2.3 Stakeholders and audience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Primary: the student and supervisor. Secondary: FYP examiners/moderator. This PRD doubles as the project’s living technical specification; sections 5–7 are written to be executable by any competent engineer without reading the paper first.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Background and Problem Statement</w:t>
      </w:r>
    </w:p>
    <w:p>
      <w:pPr>
        <w:pStyle w:val="Heading2"/>
        <w:spacing w:after="120" w:before="260"/>
      </w:pPr>
      <w:r>
        <w:t xml:space="preserve">3.1 RLVR in one paragraph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Reinforcement Learning from Verifiable Rewards (RLVR) trains a policy LLM by sampling candidate solutions y for a prompt x and scoring each with a deterministic checker ψ(x, y, y_ref) ∈ {0, 1} — an exact/normalized answer match, symbolic-equivalence check, or unit test. The binary signal is propagated over the whole trajectory. DeepSeek-R1-style systems scaled this recipe and it is now the default for reasoning post-training. Its virtues are precision and unhackability; its costs are coarseness (all failures look identical; all passes look identical) and brittleness (correct answers in unexpected formats score 0).</w:t>
      </w:r>
    </w:p>
    <w:p>
      <w:pPr>
        <w:pStyle w:val="Heading2"/>
        <w:spacing w:after="120" w:before="260"/>
      </w:pPr>
      <w:r>
        <w:t xml:space="preserve">3.2 GRPO and the zero-gradient failure mode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Group Relative Policy Optimization (GRPO) samples N rollouts per prompt and computes each rollout’s advantage relative to its own group — canonically Aᵢ = (rᵢ − mean(r)) / std(r) — with PPO-style clipping and (optionally) a KL penalty to a reference model. This removes the need for a learned critic. The structural weakness: if every rollout in a group receives the same reward (all 0s or all 1s under a binary verifier), the group-relative advantage is exactly zero and the prompt contributes no gradient. Weak policies on hard data produce many all-0 groups; strong policies on easy data produce many all-1 groups. Either way, the hardest and most informative prompts are silently dropped from optimization.</w:t>
      </w:r>
    </w:p>
    <w:p>
      <w:pPr>
        <w:pStyle w:val="Heading2"/>
        <w:spacing w:after="120" w:before="260"/>
      </w:pPr>
      <w:r>
        <w:t xml:space="preserve">3.3 Reward models and why they fail alone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Bradley–Terry reward models trained on preference pairs emit continuous scores that distinguish partial correctness, reasoning clarity, and near-misses — exactly the gradations a binary verifier discards. But they are miscalibrated out of distribution and exploitable. The HERO paper’s own diagnostic is stark: under RM-only training on non-verifiable math data, the mean RM reward climbs from below 5 to above 40 within ~150 steps while MATH500 accuracy collapses from ~0.75 to near zero — textbook reward hacking. Dense signal without an anchor is not merely suboptimal; it is unstable.</w:t>
      </w:r>
    </w:p>
    <w:p>
      <w:pPr>
        <w:pStyle w:val="Heading2"/>
        <w:spacing w:after="120" w:before="260"/>
      </w:pPr>
      <w:r>
        <w:t xml:space="preserve">3.4 The verifier quality landscape (paper §3.1, Table 1)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paper measures verifier behavior on HardVerify-Math (250 hard-to-verify problems; 750 responses generated by Llama-3.1-8B, Llama-3.3-70B, and Qwen3-8B). The precision–recall trade-off motivates the whole method and must be reproduced first (Milestone 0):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0D0D0" w:sz="4"/>
          <w:insideV w:val="single" w:color="D0D0D0" w:sz="4"/>
        </w:tblBorders>
      </w:tblPr>
      <w:tblGrid>
        <w:gridCol w:w="2700"/>
        <w:gridCol w:w="1700"/>
        <w:gridCol w:w="1150"/>
        <w:gridCol w:w="1300"/>
        <w:gridCol w:w="950"/>
        <w:gridCol w:w="1200"/>
      </w:tblGrid>
      <w:tr>
        <w:trPr>
          <w:cantSplit/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Verifier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Recall ↑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Precision ↑</w:t>
            </w:r>
          </w:p>
        </w:tc>
        <w:tc>
          <w:tcPr>
            <w:tcW w:type="dxa" w:w="9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FPR ↓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Acc. ↑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math_reward (verl)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rule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10.1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97.5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53.6</w:t>
            </w:r>
          </w:p>
        </w:tc>
      </w:tr>
      <w:tr>
        <w:trPr>
          <w:cantSplit/>
        </w:trPr>
        <w:tc>
          <w:tcPr>
            <w:tcW w:type="dxa" w:w="2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math_verify (verl)</w:t>
            </w:r>
          </w:p>
        </w:tc>
        <w:tc>
          <w:tcPr>
            <w:tcW w:type="dxa" w:w="1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rule</w:t>
            </w:r>
          </w:p>
        </w:tc>
        <w:tc>
          <w:tcPr>
            <w:tcW w:type="dxa" w:w="11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68.4</w:t>
            </w:r>
          </w:p>
        </w:tc>
        <w:tc>
          <w:tcPr>
            <w:tcW w:type="dxa" w:w="13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100.0</w:t>
            </w:r>
          </w:p>
        </w:tc>
        <w:tc>
          <w:tcPr>
            <w:tcW w:type="dxa" w:w="9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83.7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math_verify (library)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rule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38.6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96.1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67.6</w:t>
            </w:r>
          </w:p>
        </w:tc>
      </w:tr>
      <w:tr>
        <w:trPr>
          <w:cantSplit/>
        </w:trPr>
        <w:tc>
          <w:tcPr>
            <w:tcW w:type="dxa" w:w="2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TIGER-Lab general-verifier</w:t>
            </w:r>
          </w:p>
        </w:tc>
        <w:tc>
          <w:tcPr>
            <w:tcW w:type="dxa" w:w="1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generative LLM</w:t>
            </w:r>
          </w:p>
        </w:tc>
        <w:tc>
          <w:tcPr>
            <w:tcW w:type="dxa" w:w="11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49.5</w:t>
            </w:r>
          </w:p>
        </w:tc>
        <w:tc>
          <w:tcPr>
            <w:tcW w:type="dxa" w:w="13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89.3</w:t>
            </w:r>
          </w:p>
        </w:tc>
        <w:tc>
          <w:tcPr>
            <w:tcW w:type="dxa" w:w="9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6.3</w:t>
            </w:r>
          </w:p>
        </w:tc>
        <w:tc>
          <w:tcPr>
            <w:tcW w:type="dxa" w:w="1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70.9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AceMath-7B-RM @ thr 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RM threshold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91.7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67.7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46.4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73.2</w:t>
            </w:r>
          </w:p>
        </w:tc>
      </w:tr>
      <w:tr>
        <w:trPr>
          <w:cantSplit/>
        </w:trPr>
        <w:tc>
          <w:tcPr>
            <w:tcW w:type="dxa" w:w="2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AceMath-7B-RM @ thr 3</w:t>
            </w:r>
          </w:p>
        </w:tc>
        <w:tc>
          <w:tcPr>
            <w:tcW w:type="dxa" w:w="1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RM threshold</w:t>
            </w:r>
          </w:p>
        </w:tc>
        <w:tc>
          <w:tcPr>
            <w:tcW w:type="dxa" w:w="11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84.2</w:t>
            </w:r>
          </w:p>
        </w:tc>
        <w:tc>
          <w:tcPr>
            <w:tcW w:type="dxa" w:w="13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72.7</w:t>
            </w:r>
          </w:p>
        </w:tc>
        <w:tc>
          <w:tcPr>
            <w:tcW w:type="dxa" w:w="9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33.5</w:t>
            </w:r>
          </w:p>
        </w:tc>
        <w:tc>
          <w:tcPr>
            <w:tcW w:type="dxa" w:w="1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75.6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AceMath-7B-RM @ thr 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RM threshold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73.8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76.6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23.9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74.9</w:t>
            </w:r>
          </w:p>
        </w:tc>
      </w:tr>
      <w:tr>
        <w:trPr>
          <w:cantSplit/>
        </w:trPr>
        <w:tc>
          <w:tcPr>
            <w:tcW w:type="dxa" w:w="2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AceMath-7B-RM @ thr 7</w:t>
            </w:r>
          </w:p>
        </w:tc>
        <w:tc>
          <w:tcPr>
            <w:tcW w:type="dxa" w:w="1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RM threshold</w:t>
            </w:r>
          </w:p>
        </w:tc>
        <w:tc>
          <w:tcPr>
            <w:tcW w:type="dxa" w:w="11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62.4</w:t>
            </w:r>
          </w:p>
        </w:tc>
        <w:tc>
          <w:tcPr>
            <w:tcW w:type="dxa" w:w="13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78.5</w:t>
            </w:r>
          </w:p>
        </w:tc>
        <w:tc>
          <w:tcPr>
            <w:tcW w:type="dxa" w:w="9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18.1</w:t>
            </w:r>
          </w:p>
        </w:tc>
        <w:tc>
          <w:tcPr>
            <w:tcW w:type="dxa" w:w="1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71.9</w:t>
            </w:r>
          </w:p>
        </w:tc>
      </w:tr>
    </w:tbl>
    <w:p>
      <w:pPr>
        <w:spacing w:after="80"/>
      </w:pP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Reading: rule-based checkers are near-perfect on precision but blind to format-variant correct answers (recall 10–68%); RM thresholds recover recall (up to 91.7%) at the cost of large false-positive rates (up to 46.4%). Neither signal is sufficient; their error modes are complementary. This is the empirical license for a hybrid.</w:t>
      </w:r>
    </w:p>
    <w:p>
      <w:pPr>
        <w:pStyle w:val="Heading1"/>
        <w:spacing w:after="160" w:before="320"/>
      </w:pPr>
      <w:r>
        <w:t xml:space="preserve">4. Paper Deep-Dive: HERO</w:t>
      </w:r>
    </w:p>
    <w:p>
      <w:pPr>
        <w:pStyle w:val="Heading2"/>
        <w:spacing w:after="120" w:before="260"/>
      </w:pPr>
      <w:r>
        <w:t xml:space="preserve">4.1 Mechanism 1 — Stratified normalization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 each prompt, N rollouts are scored twice: r_rule ∈ {0,1} by the verifier and r_RM ∈ ℝ by the reward model. Rollouts are partitioned by verifier label; within each partition, RM scores are min–max normalized and mapped into disjoint bands:</w:t>
      </w:r>
    </w:p>
    <w:p>
      <w:pPr>
        <w:spacing w:after="140" w:before="1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r̂(x,y) = −α + 2α · z          if r_rule = 0     (band [−α, +α])</w:t>
      </w:r>
    </w:p>
    <w:p>
      <w:pPr>
        <w:spacing w:after="140" w:before="1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r̂(x,y) = (1−β) + 2β · z      if r_rule = 1     (band [1−β, 1+β])</w:t>
      </w:r>
    </w:p>
    <w:p>
      <w:pPr>
        <w:spacing w:after="140" w:before="1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where  z = (r_RM − min r_RM) / (max r_RM − min r_RM + ε),  computed within the group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With the paper’s defaults α = β = 0.05, incorrect responses land in [−0.05, +0.05] and correct ones in [0.95, 1.05]. Three properties follow.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(P1) Ordering preservation: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any verifier-correct rollout strictly outscores any verifier-incorrect one whenever α &lt; 1 − β, so correctness semantics cannot be inverted by RM noise.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(P2) Gradient revival: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in all-0 or all-1 groups — exactly where vanilla RLVR yields zero advantage — intra-band RM variation restores a nonzero group-relative gradient.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(P3) Bounded hackability: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the RM can move a rollout’s reward by at most 2α (or 2β), so the damage a hacked RM can do is capped by the band width. Property P3 is stated only implicitly in the paper; formalizing it is a candidate contribution (§8.2).</w:t>
      </w:r>
    </w:p>
    <w:p>
      <w:pPr>
        <w:pStyle w:val="Heading2"/>
        <w:spacing w:after="120" w:before="260"/>
      </w:pPr>
      <w:r>
        <w:t xml:space="preserve">4.2 Mechanism 2 — Variance-aware prompt weighting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Let σ_u be the standard deviation of RM scores across a prompt’s rollouts and σ̄ a running mean of σ_u over training. The final reward is scaled by a bounded logistic weight:</w:t>
      </w:r>
    </w:p>
    <w:p>
      <w:pPr>
        <w:spacing w:after="140" w:before="1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w(σ_u) = w_min + (w_max − w_min) · sigmoid( k · (σ_u − σ̄) )</w:t>
      </w:r>
    </w:p>
    <w:p>
      <w:pPr>
        <w:spacing w:after="140" w:before="1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r_final(x,y) = w(σ_u) · r̂(x,y)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Intent: prompts where the RM disagrees across rollouts are ambiguous/hard and carry more learning signal; trivial prompts are down-weighted.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Documented inconsistency: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the main text states w_min = 0.5, w_max = 2.0, k = 5, while Appendix A.1 states w_min = 0.4, w_max = 3.0, k = 6. The reproduction must treat this as an experimental variable (see decision log D-07, §6.6). A deeper concern — that this multiplicative weight may cancel entirely under standard GRPO normalization — is developed in §5.1.</w:t>
      </w:r>
    </w:p>
    <w:p>
      <w:pPr>
        <w:pStyle w:val="Heading2"/>
        <w:spacing w:after="120" w:before="260"/>
      </w:pPr>
      <w:r>
        <w:t xml:space="preserve">4.3 Experimental setup (as published)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Framework: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verl (HybridFlow) with vllm rollout engine, GPU memory utilization 0.6.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Backbones: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Qwen3-4B-Base and OctoThinker-8B-Hybrid-Base. RL always initialized from an SFT cold-start checkpoint (see §4.4).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Data: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OpenMathReasoning subsets (problem type = has_answer_extracted). 40k CoT examples sampled; solutions generated and checked with math_verify (verl); 2,000 verifier-passing problems form the easy-to-verify set, 2,000 verifier-failing form the hard-to-verify set, and a 1,000+1,000 union forms the mixed set.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Rewards: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rule signal from math_verify; dense signal from AceMath-RM-7B.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Evaluation: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easy-to-verify: MATH500, AMC, Minerva, Olympiad — pass@1 averaged over 8 seeds, temperature 0.6, top-p 0.95, N = 8 candidates, verifier-scored. Hard-to-verify: HardVerify-Math (250 items) and TextBookReasoning (~750 filtered prompts) — N = 1, GPT-4o as equivalence judge with a fixed compare-don’t-solve prompt template.</w:t>
      </w:r>
    </w:p>
    <w:p>
      <w:pPr>
        <w:spacing w:after="60"/>
      </w:pP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0D0D0" w:sz="4"/>
          <w:insideV w:val="single" w:color="D0D0D0" w:sz="4"/>
        </w:tblBorders>
      </w:tblPr>
      <w:tblGrid>
        <w:gridCol w:w="3100"/>
        <w:gridCol w:w="3200"/>
        <w:gridCol w:w="2700"/>
      </w:tblGrid>
      <w:tr>
        <w:trPr>
          <w:cantSplit/>
          <w:tblHeader/>
        </w:trPr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Hyperparameter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Qwen3-4B-Base run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OctoThinker-8B run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Learning rate (actor)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1e-6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1e-6</w:t>
            </w:r>
          </w:p>
        </w:tc>
      </w:tr>
      <w:tr>
        <w:trPr>
          <w:cantSplit/>
        </w:trPr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KL loss coefficient β_KL</w:t>
            </w:r>
          </w:p>
        </w:tc>
        <w:tc>
          <w:tcPr>
            <w:tcW w:type="dxa" w:w="3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Entropy loss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Rollouts per prompt (n)</w:t>
            </w:r>
          </w:p>
        </w:tc>
        <w:tc>
          <w:tcPr>
            <w:tcW w:type="dxa" w:w="3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Sampling temperature (train)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Max prompt / response length</w:t>
            </w:r>
          </w:p>
        </w:tc>
        <w:tc>
          <w:tcPr>
            <w:tcW w:type="dxa" w:w="3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1024 / 8192</w:t>
            </w:r>
          </w:p>
        </w:tc>
        <w:tc>
          <w:tcPr>
            <w:tcW w:type="dxa" w:w="2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1024 / 4096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Mini batch / full batch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128 / 512 (4-step off-policy)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128 / 512 (4-step off-policy)</w:t>
            </w:r>
          </w:p>
        </w:tc>
      </w:tr>
      <w:tr>
        <w:trPr>
          <w:cantSplit/>
        </w:trPr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Clip ratio</w:t>
            </w:r>
          </w:p>
        </w:tc>
        <w:tc>
          <w:tcPr>
            <w:tcW w:type="dxa" w:w="3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(0.2, 0.28) — asymmetric, DAPO-style clip-higher</w:t>
            </w:r>
          </w:p>
        </w:tc>
        <w:tc>
          <w:tcPr>
            <w:tcW w:type="dxa" w:w="2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(0.2, 0.28)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Epochs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Hardware</w:t>
            </w:r>
          </w:p>
        </w:tc>
        <w:tc>
          <w:tcPr>
            <w:tcW w:type="dxa" w:w="3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 nodes × 4 GPUs</w:t>
            </w:r>
          </w:p>
        </w:tc>
        <w:tc>
          <w:tcPr>
            <w:tcW w:type="dxa" w:w="2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 nodes × 4 GPUs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HERO ranges α = 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0.05 (easy) / 0.1 (mixed, hard)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same</w:t>
            </w:r>
          </w:p>
        </w:tc>
      </w:tr>
      <w:tr>
        <w:trPr>
          <w:cantSplit/>
        </w:trPr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Weighting (appendix values)</w:t>
            </w:r>
          </w:p>
        </w:tc>
        <w:tc>
          <w:tcPr>
            <w:tcW w:type="dxa" w:w="3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w_min 0.4, w_max 3.0, k 6</w:t>
            </w:r>
          </w:p>
        </w:tc>
        <w:tc>
          <w:tcPr>
            <w:tcW w:type="dxa" w:w="2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same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t xml:space="preserve">4.4 The SFT cold start (non-optional)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RL directly from base models was unstable: Qwen3-4B-Base emitted mixed-language and off-task text early in training; OctoThinker exhibited multi-turn behavior with wildly variable lengths. The fix: two epochs of SFT on just 2,000 samples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generated by the base model itself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(deliberately avoiding distillation from stronger models), filtered to keep only responses that (i) contain the correct final answer, (ii) are entirely English, and (iii) terminate cleanly. All RL runs — baselines and HERO — start from the same SFT checkpoint. Reproduction must preserve this control exactly, or baseline deltas become uninterpretable.</w:t>
      </w:r>
    </w:p>
    <w:p>
      <w:pPr>
        <w:pStyle w:val="Heading2"/>
        <w:spacing w:after="120" w:before="260"/>
      </w:pPr>
      <w:r>
        <w:t xml:space="preserve">4.5 Headline results (Qwen3-4B-Base)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0D0D0" w:sz="4"/>
          <w:insideV w:val="single" w:color="D0D0D0" w:sz="4"/>
        </w:tblBorders>
      </w:tblPr>
      <w:tblGrid>
        <w:gridCol w:w="2200"/>
        <w:gridCol w:w="3100"/>
        <w:gridCol w:w="1900"/>
        <w:gridCol w:w="1800"/>
      </w:tblGrid>
      <w:tr>
        <w:trPr>
          <w:cantSplit/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Training data</w:t>
            </w:r>
          </w:p>
        </w:tc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Easy-eval avg ↑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Hard-eval avg ↑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 model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43.3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42.7</w:t>
            </w:r>
          </w:p>
        </w:tc>
      </w:tr>
      <w:tr>
        <w:trPr>
          <w:cantSplit/>
        </w:trP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SFT cold start</w:t>
            </w:r>
          </w:p>
        </w:tc>
        <w:tc>
          <w:tcPr>
            <w:tcW w:type="dxa" w:w="1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48.2</w:t>
            </w:r>
          </w:p>
        </w:tc>
        <w:tc>
          <w:tcPr>
            <w:tcW w:type="dxa" w:w="18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47.1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Easy-to-verify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AceMath-7B-RM only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56.4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54.6</w:t>
            </w:r>
          </w:p>
        </w:tc>
      </w:tr>
      <w:tr>
        <w:trPr>
          <w:cantSplit/>
        </w:trP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Easy-to-verify</w:t>
            </w:r>
          </w:p>
        </w:tc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math_verify only</w:t>
            </w:r>
          </w:p>
        </w:tc>
        <w:tc>
          <w:tcPr>
            <w:tcW w:type="dxa" w:w="1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58.3</w:t>
            </w:r>
          </w:p>
        </w:tc>
        <w:tc>
          <w:tcPr>
            <w:tcW w:type="dxa" w:w="18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57.1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Easy-to-verify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HERO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62.0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66.3</w:t>
            </w:r>
          </w:p>
        </w:tc>
      </w:tr>
      <w:tr>
        <w:trPr>
          <w:cantSplit/>
        </w:trP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Hard-to-verify</w:t>
            </w:r>
          </w:p>
        </w:tc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AceMath-7B-RM only</w:t>
            </w:r>
          </w:p>
        </w:tc>
        <w:tc>
          <w:tcPr>
            <w:tcW w:type="dxa" w:w="1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55.1</w:t>
            </w:r>
          </w:p>
        </w:tc>
        <w:tc>
          <w:tcPr>
            <w:tcW w:type="dxa" w:w="18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53.7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Hard-to-verify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math_verify only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47.4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54.2</w:t>
            </w:r>
          </w:p>
        </w:tc>
      </w:tr>
      <w:tr>
        <w:trPr>
          <w:cantSplit/>
        </w:trP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Hard-to-verify</w:t>
            </w:r>
          </w:p>
        </w:tc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HERO</w:t>
            </w:r>
          </w:p>
        </w:tc>
        <w:tc>
          <w:tcPr>
            <w:tcW w:type="dxa" w:w="1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56.8</w:t>
            </w:r>
          </w:p>
        </w:tc>
        <w:tc>
          <w:tcPr>
            <w:tcW w:type="dxa" w:w="18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56.5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Mixed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AceMath-7B-RM only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55.1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54.0</w:t>
            </w:r>
          </w:p>
        </w:tc>
      </w:tr>
      <w:tr>
        <w:trPr>
          <w:cantSplit/>
        </w:trPr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Mixed</w:t>
            </w:r>
          </w:p>
        </w:tc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math_verify only</w:t>
            </w:r>
          </w:p>
        </w:tc>
        <w:tc>
          <w:tcPr>
            <w:tcW w:type="dxa" w:w="1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56.1</w:t>
            </w:r>
          </w:p>
        </w:tc>
        <w:tc>
          <w:tcPr>
            <w:tcW w:type="dxa" w:w="18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58.9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Mixed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HERO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58.8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64.1</w:t>
            </w:r>
          </w:p>
        </w:tc>
      </w:tr>
    </w:tbl>
    <w:p>
      <w:pPr>
        <w:spacing w:after="80"/>
      </w:pP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Signal to note: verifier-only training on hard-to-verify data (47.4 easy-eval) lands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below the SFT baseline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(48.2) — direct evidence of the zero-gradient pathology when most groups are uniformly labeled. The pattern replicates on OctoThinker (HERO 40.1–41.0 easy-eval vs 33.3 SFT), so the mechanism is not backbone-specific. Training curves (paper Fig. 5) show HERO reaching higher rule-based reward faster and holding a 4–8 point MATH500 validation advantage over verifier-only training for most of the run — reproduce these curves, not just endpoint numbers.</w:t>
      </w:r>
    </w:p>
    <w:p>
      <w:pPr>
        <w:pStyle w:val="Heading2"/>
        <w:spacing w:after="120" w:before="260"/>
      </w:pPr>
      <w:r>
        <w:t xml:space="preserve">4.6 Ablations and what they teach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Dense negatives beat dense positives.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Starting from a no-dense baseline of 59.4 (verifiable) / 62.2 (hard), adding dense reward only in the positive band gives 60.3 / 65.2; only in the negative band gives 61.4 / 68.4; both give 62.0 / 73.2. Interpretation: ranking failures (near-miss vs garbage) supplies richer supervision than ranking successes. Extension hook: asymmetric bands (α &gt; β).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Band width is regime-dependent.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α = 0.05 is best when training data is verifiable (verifier precision deserves trust; keep RM influence tight); α = 0.1 is best on mixed data (more all-0 groups need more intra-band signal); α = 0.2 degrades both. Motivates adaptive/annealed ranges (§8.2).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Variance-aware weighting adds +1.2 (verifiable) and +3.8 (hard).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Nontrivial gains — which makes the normalization-cancellation question in §5.1 more, not less, urgent: the gain must be entering through a mechanism the paper does not spell out.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Naive blending fails.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Linear combinations α·rule + (1−α)·RM score only 55.9–58.7 (verifiable) across α ∈ {0.1, 0.5, 0.9} vs HERO’s 62.0. The structure (stratification) is the contribution, not the mere presence of two signals. Do not waste compute re-deriving this.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RM scale is not the driver.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Swapping AceMath-RM-7B for the 72B variant moves verifiable eval from 62.0 to 62.8 and hard-to-verify from 73.2 down to 71.4. A 7B RM suffices — good news for a student compute budget.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Model-based verifiers are not a substitute.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HERO beats both a frozen general-verifier and Qwen2.5-7B-Instruct-as-verifier across all three regimes (e.g., 66.3 vs 58.4 / 62.5 hard-eval, easy-trained).</w:t>
      </w:r>
    </w:p>
    <w:p>
      <w:pPr>
        <w:pStyle w:val="Heading2"/>
        <w:spacing w:after="120" w:before="260"/>
      </w:pPr>
      <w:r>
        <w:t xml:space="preserve">4.7 The paper’s own stated limitations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Requires a reasonably reliable rule verifier to define the partition; when the verifier is brittle or domain-mismatched, group assignment is biased and stratification inherits the bias.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RM is trained on verifiable data and can be miscalibrated on unusual formats; bounded bands limit but do not eliminate exploitation of residual bias.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Hyperparameter sensitivity (α, β, k) and extra training overhead from concurrent verifier + RM calls.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Hard-to-verify evaluation leans on LLM-as-judge, with prompt sensitivity and annotation noise.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Scope restricted to math; the authors explicitly state that the rule signal is pluggable (code-execution tests, safety/format constraints, rubric-guided judges) and name the extension to such "soft" verifiers as future work. This is the doorway for the §8.1 extension.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Critical Audit of the Paper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section records every weakness, ambiguity, or unproven claim found in a close read, each with a concrete resolution action. These are not reasons to distrust the method — the empirical picture is coherent — but they define exactly where a student project can add real value beyond re-running scripts. Findings are labeled A-1 … A-9 and referenced from the milestone plan.</w:t>
      </w:r>
    </w:p>
    <w:p>
      <w:pPr>
        <w:pStyle w:val="Heading2"/>
        <w:spacing w:after="120" w:before="260"/>
      </w:pPr>
      <w:r>
        <w:t xml:space="preserve">5.1 A-1 (Critical): variance-aware weighting may cancel under standard GRPO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GRPO’s canonical advantage is computed within each prompt’s group of N rollouts:</w:t>
      </w:r>
    </w:p>
    <w:p>
      <w:pPr>
        <w:spacing w:after="140" w:before="1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Aᵢ = ( rᵢ − μ_group ) / σ_group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HERO weight w(σ_u) is a single scalar per prompt — identical for every rollout in the group. Scaling all rewards by a common positive constant w scales the group mean by w and the group standard deviation by w, so:</w:t>
      </w:r>
    </w:p>
    <w:p>
      <w:pPr>
        <w:spacing w:after="140" w:before="1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( w·r̂ᵢ − w·μ ) / ( w·σ ) = ( r̂ᵢ − μ ) / σ      — the weight cancels exactly.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Under textbook GRPO with per-group standardization, r_final = w·r̂ produces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bit-identical advantages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to r̂ alone. Yet the ablation reports +1.2 / +3.8 from the weighting. Both facts can only be reconciled if the implementation deviates from the canonical formula. Candidate explanations, in rough order of plausibility: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implementation omits the std division (mean-centering only), as advocated by Dr. GRPO / "Understanding R1-Zero-Like Training" — then w survives linearly and directly scales gradient magnitude per prompt.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Advantages are normalized at batch level rather than group level — then per-prompt weights shift relative prompt influence within the batch.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numerical ε in the denominator (σ + ε) breaks exact cancellation — but the residual effect would be tiny, implausible as the source of +3.8.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weight is applied at the loss level (per-token or per-sequence loss multiplier) rather than the reward level, despite the paper writing r_final = w·r̂.</w:t>
      </w:r>
    </w:p>
    <w:tbl>
      <w:tblPr>
        <w:tblW w:type="dxa" w:w="9000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2F6FC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</w:rPr>
              <w:t xml:space="preserve">Resolution plan (Milestone 3 sub-task)</w:t>
            </w:r>
          </w:p>
          <w:p>
            <w:pPr>
              <w:spacing w:after="8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</w:rPr>
              <w:t xml:space="preserve">(a) Inspect the released code path from rewards to advantages, if/when the authors publish it; (b) independently run a 2×2 controlled experiment on the small backbone: {group-std on, off} × {weighting on, off}. If weighting only helps with std off, A-1 is confirmed and yields a clean analysis result: "difficulty weighting is a no-op under group standardization; move it to the sampling distribution instead" (§8.2). This single experiment is cheap, decisive, and publishable as an FYP-level finding regardless of outcome.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5.2 A-2: the difficulty signal conflates hardness with RM noise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High RM-score variance across rollouts is read as "informative prompt". But σ_u is equally high when the RM is simply unreliable on that prompt’s distribution. The paper’s own diagnostic (Appendix B.1) quantifies the risk: treating RM scores as logits against verifier labels, 56.8% of rollout groups achieve AUROC ≥ 0.9, but 13.7% sit in the 0.4–0.6 near-random band. The weighting scheme up-weights precisely some of the groups where the dense signal is least trustworthy. No ablation separates "hard prompt" variance from "confused RM" variance.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Action: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log per-group RM-vs-verifier AUROC online during reproduction; test a gated variant that shrinks bands (or the weight) when running AUROC for similar prompts is low (§8.3).</w:t>
      </w:r>
    </w:p>
    <w:p>
      <w:pPr>
        <w:pStyle w:val="Heading2"/>
        <w:spacing w:after="120" w:before="260"/>
      </w:pPr>
      <w:r>
        <w:t xml:space="preserve">5.3 A-3: the obvious competitor is missing — DAPO dynamic sampling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DAPO addresses the identical zero-gradient pathology by over-sampling and filtering out uniform (all-correct / all-incorrect) groups so every batch carries gradient. HERO instead injects intra-group variance so uniform groups still learn. These are the two natural solutions to the same problem and are never compared — despite the paper already borrowing DAPO’s asymmetric clip-higher (0.2, 0.28). A head-to-head (and a combination: dynamic sampling for group composition + HERO for within-group shaping) is a low-cost, high-value experiment no one has published.</w:t>
      </w:r>
    </w:p>
    <w:p>
      <w:pPr>
        <w:pStyle w:val="Heading2"/>
        <w:spacing w:after="120" w:before="260"/>
      </w:pPr>
      <w:r>
        <w:t xml:space="preserve">5.4 A-4: a minimal "gated fallback" baseline is absent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Simplest conceivable hybrid: use pure verifier advantages when the group is mixed (verifier already provides gradient), and fall back to RM-only ranking exclusively inside uniform groups. If this recovers most of HERO’s gain, the always-on stratification and band machinery is over-engineered; if it does not, the paper’s design is vindicated with a sharper argument. Either outcome improves understanding. One extra reward-manager branch; near-zero implementation cost.</w:t>
      </w:r>
    </w:p>
    <w:p>
      <w:pPr>
        <w:pStyle w:val="Heading2"/>
        <w:spacing w:after="120" w:before="260"/>
      </w:pPr>
      <w:r>
        <w:t xml:space="preserve">5.5 A-5: judge circularity on hard-to-verify evaluations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largest advertised gains (e.g., 73.2 vs 61.0 on HardVerify-Math, easy-trained) are scored by GPT-4o equivalence judgments. The training RM and the judge may share stylistic preferences — canonical answer formatting, boxed final answers, verbose justification — so part of the gain may be format alignment rather than reasoning improvement. Mitigations for this project: (i) audit ≥50 judged items per method by hand; (ii) score with a second, architecturally distinct judge (e.g., an open Qwen2.5-72B-Instruct or Llama-3.3-70B judge) and report agreement; (iii) report verifier-scored numbers alongside judge-scored numbers wherever both exist.</w:t>
      </w:r>
    </w:p>
    <w:p>
      <w:pPr>
        <w:pStyle w:val="Heading2"/>
        <w:spacing w:after="120" w:before="260"/>
      </w:pPr>
      <w:r>
        <w:t xml:space="preserve">5.6 A-6: evaluation variance is under-reported on the headline metric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HardVerify-Math has 250 items evaluated at N = 1 sample; TextBookReasoning ~750 at N = 1. A single-draw binomial on 250 items has a standard error of roughly 3 points near p = 0.6 — comparable to several reported deltas. Easy-to-verify results average 8 seeds; hard-to-verify results appear not to. Reproduction protocol therefore mandates ≥3 seeds and bootstrap confidence intervals on all hard-to-verify numbers (§9.2).</w:t>
      </w:r>
    </w:p>
    <w:p>
      <w:pPr>
        <w:pStyle w:val="Heading2"/>
        <w:spacing w:after="120" w:before="260"/>
      </w:pPr>
      <w:r>
        <w:t xml:space="preserve">5.7 A-7: internal inconsistencies in the paper’s reporting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Three found in a close read. (i) Weighting hyperparameters: main text says w_min = 0.5, w_max = 2.0, k = 5; Appendix A.1 says w_min = 0.4, w_max = 3.0, k = 6. Treat the appendix as authoritative (it reads as the actual run config) but sweep only if A-1 shows the weight is live; logged as D-07. (ii) Judge version: the evaluation protocol and Qwen results specify GPT-4o as the hard-to-verify judge, but the OctoThinker results table caption reports “GPT4.1 judges results” — the two backbones may have been scored by different judge versions, weakening cross-table comparison. The reproduction pins one judge version everywhere and states it. (iii) Verifier naming: the training-time verifier is described as “math verify (library) in the VERL repo” (§4.1), “math verify (verl)” (Table 2 caption), and “the HuggingFace math verify library” (Appendix A.1) — different implementations with very different recall (Table 1). Logged as D-09.</w:t>
      </w:r>
    </w:p>
    <w:p>
      <w:pPr>
        <w:pStyle w:val="Heading2"/>
        <w:spacing w:after="120" w:before="260"/>
      </w:pPr>
      <w:r>
        <w:t xml:space="preserve">5.8 A-8: underspecified implementation details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following are unstated and must be fixed by explicit project decisions (full decision log in §6.6):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Whether σ_u is computed on raw RM scores or post-normalization scores (raw is assumed — post-normalization variance is bounded by the band width and nearly meaningless).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Initialization and update rule for the running mean σ̄ (EMA momentum? batch mean warm-up?).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Reward assigned to unparseable / truncated / non-terminating responses (verifier errors vs verifier zeros).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Singleton-band behavior: a group with one incorrect rollout has min = max, so z = 0/ε → 0 and the rollout is pinned to −α (respectively 1−β for a lone correct). Confirm this is intended.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Whether the SFT cold-start filter and RL-time verifier are byte-identical implementations (they should be, to avoid train/filter skew).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paper’s description of ε is confused: it says ε is set small “so that the training dynamics are primarily led by rule-based rewards”, but ε only prevents division by zero in the min–max step — the rule-vs-RM balance is governed entirely by the band widths α and β. Noted so no implementer tunes ε expecting a balance effect.</w:t>
      </w:r>
    </w:p>
    <w:p>
      <w:pPr>
        <w:pStyle w:val="Heading2"/>
        <w:spacing w:after="120" w:before="260"/>
      </w:pPr>
      <w:r>
        <w:t xml:space="preserve">5.9 A-9: generality of the evidence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Two backbones, one domain (competition math), 2k-prompt training sets, one RM family. Claims about "hybrid reward design" in general rest on a narrow base — which is precisely why a domain-transfer extension (§8.1) is both scientifically useful and low-risk: any outcome (transfer works / transfer needs modification X) is informative.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Reproduction Specification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section is written to be executable: an engineer with GPU access should be able to reproduce the pipeline from this document alone. All deviations from the paper are recorded in the decision log (§6.6).</w:t>
      </w:r>
    </w:p>
    <w:p>
      <w:pPr>
        <w:pStyle w:val="Heading2"/>
        <w:spacing w:after="120" w:before="260"/>
      </w:pPr>
      <w:r>
        <w:t xml:space="preserve">6.1 Stack and environment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0D0D0" w:sz="4"/>
          <w:insideV w:val="single" w:color="D0D0D0" w:sz="4"/>
        </w:tblBorders>
      </w:tblPr>
      <w:tblGrid>
        <w:gridCol w:w="1900"/>
        <w:gridCol w:w="2900"/>
        <w:gridCol w:w="4200"/>
      </w:tblGrid>
      <w:tr>
        <w:trPr>
          <w:cantSplit/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 / notes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RL framework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verl (HybridFlow), pinned release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Same as paper; supports GRPO, vllm rollouts, remote reward workers. Pin the commit in the repo README — verl moves fast and reward-manager APIs have churned.</w:t>
            </w:r>
          </w:p>
        </w:tc>
      </w:tr>
      <w:tr>
        <w:trPr>
          <w:cantSplit/>
        </w:trPr>
        <w:tc>
          <w:tcPr>
            <w:tcW w:type="dxa" w:w="1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Rollout engine</w:t>
            </w:r>
          </w:p>
        </w:tc>
        <w:tc>
          <w:tcPr>
            <w:tcW w:type="dxa" w:w="2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vllm, gpu_memory_utilization = 0.6</w:t>
            </w:r>
          </w:p>
        </w:tc>
        <w:tc>
          <w:tcPr>
            <w:tcW w:type="dxa" w:w="4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Paper setting; leaves headroom for FSDP actor shards.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Policy backbone (dev)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Qwen3-1.7B-Base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Fits GRPO comfortably on 4×A100-80GB; keeps iteration cycles under a day. All mechanism experiments (A-1, A-4, ablations) run here.</w:t>
            </w:r>
          </w:p>
        </w:tc>
      </w:tr>
      <w:tr>
        <w:trPr>
          <w:cantSplit/>
        </w:trPr>
        <w:tc>
          <w:tcPr>
            <w:tcW w:type="dxa" w:w="1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Policy backbone (headline)</w:t>
            </w:r>
          </w:p>
        </w:tc>
        <w:tc>
          <w:tcPr>
            <w:tcW w:type="dxa" w:w="2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Qwen3-4B-Base (if allocation permits)</w:t>
            </w:r>
          </w:p>
        </w:tc>
        <w:tc>
          <w:tcPr>
            <w:tcW w:type="dxa" w:w="4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Direct comparability with paper Table 2. Decision gate at Milestone 2 review.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Rule verifier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math_verify (verl) + HuggingFace Math-Verify library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Paper uses the verl variant for training-time reward and data filtering; the library is reproduced in Milestone 0 for the verifier study.</w:t>
            </w:r>
          </w:p>
        </w:tc>
      </w:tr>
      <w:tr>
        <w:trPr>
          <w:cantSplit/>
        </w:trPr>
        <w:tc>
          <w:tcPr>
            <w:tcW w:type="dxa" w:w="1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Reward model</w:t>
            </w:r>
          </w:p>
        </w:tc>
        <w:tc>
          <w:tcPr>
            <w:tcW w:type="dxa" w:w="2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AceMath-RM-7B, served via sglang/vllm on a dedicated GPU</w:t>
            </w:r>
          </w:p>
        </w:tc>
        <w:tc>
          <w:tcPr>
            <w:tcW w:type="dxa" w:w="4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Paper’s RM; 72B ablation shows scale unnecessary.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SFT trainer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verl SFT or TRL SFTTrainer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Either acceptable; keep tokenizer/chat-template identical to RL stage.</w:t>
            </w:r>
          </w:p>
        </w:tc>
      </w:tr>
      <w:tr>
        <w:trPr>
          <w:cantSplit/>
        </w:trPr>
        <w:tc>
          <w:tcPr>
            <w:tcW w:type="dxa" w:w="1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Tracking</w:t>
            </w:r>
          </w:p>
        </w:tc>
        <w:tc>
          <w:tcPr>
            <w:tcW w:type="dxa" w:w="2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Weights &amp; Biases (or MLflow) + a decisions.md in-repo</w:t>
            </w:r>
          </w:p>
        </w:tc>
        <w:tc>
          <w:tcPr>
            <w:tcW w:type="dxa" w:w="4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Every run tagged with git SHA, config hash, and decision-log version.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t xml:space="preserve">6.2 Data preparation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Pull OpenMathReasoning; filter to problem_type = has_answer_extracted; sample a 40k working pool from the CoT split (seeded).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Generate one solution per problem with the SFT-stage policy config; extract predicted answers; verify with math_verify (verl).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Randomly sample 2,000 verifier-passing problems → easy-to-verify train set; 2,000 verifier-failing → hard-to-verify train set; 1,000 + 1,000 union → mixed set. Persist all three with content hashes.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Deduplicate train sets against every evaluation benchmark (n-gram and exact-match on problem statements). The paper does not mention decontamination; do it anyway and report overlap counts.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Note on the hard-to-verify label: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"verifier-failing" conflates genuinely wrong model answers with correct-but-unmatchable ones. That ambiguity is inherent to the paper’s construction and is part of what makes the regime hard; do not "clean" it, or comparability is lost.</w:t>
      </w:r>
    </w:p>
    <w:p>
      <w:pPr>
        <w:pStyle w:val="Heading2"/>
        <w:spacing w:after="120" w:before="260"/>
      </w:pPr>
      <w:r>
        <w:t xml:space="preserve">6.3 SFT cold start protocol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Generate responses to a problem pool using the base model itself (no stronger-model distillation).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Filter to responses that (i) contain the correct final answer per math_verify, (ii) are entirely English (langid check), (iii) terminate with EOS within the length budget.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Fine-tune 2 epochs on 2,000 retained samples. Save the checkpoint; every RL run (both baselines + HERO + all ablations) initializes from this exact checkpoint.</w:t>
      </w:r>
    </w:p>
    <w:p>
      <w:pPr>
        <w:pStyle w:val="ListParagraph"/>
        <w:numPr>
          <w:ilvl w:val="0"/>
          <w:numId w:val="5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Acceptance: SFT checkpoint evaluates near the paper’s relative uplift pattern (base → SFT improved on all six benchmarks; on Qwen3-4B the paper reports 43.3 → 48.2 easy-avg, 42.7 → 47.1 hard-avg; expect smaller absolute numbers on 1.7B but the same direction).</w:t>
      </w:r>
    </w:p>
    <w:p>
      <w:pPr>
        <w:pStyle w:val="Heading2"/>
        <w:spacing w:after="120" w:before="260"/>
      </w:pPr>
      <w:r>
        <w:t xml:space="preserve">6.4 HERO reward manager — reference design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verl’s stock reward managers score samples independently; HERO needs all N rollouts of a prompt simultaneously (band min–max and σ_u are group statistics). Implement a custom group-aware reward manager keyed on the prompt UID that verl already threads through rollout batches. Reference pseudocode: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class HeroRewardManager: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cfg):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self.alpha, self.beta = cfg.alpha, cfg.beta  # 0.05 / 0.10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self.eps = 1e-6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self.w_min, self.w_max, self.k = 0.4, 3.0, 6.0    # D-07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self.sigma_bar = RunningEMA(m=0.9, warmup='batch')  # D-03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self.rm = RemoteRMClient(cfg.rm_endpoint)  # sglang, batched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def __call__(self, batch):        # rollouts, mixed prompts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out = zeros(len(batch))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for uid, idx in group_by_prompt(batch):  # |idx| == n (8)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ys     = batch.responses[idx]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r_rule = [verify_math(y, ref[uid]) for y in ys]  # D-04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r_rm   = self.rm.score(prompt[uid], ys)  # raw scores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r_hat = zeros(len(idx))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bands = {0: (-self.alpha, 2 * self.alpha),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1: (1 - self.beta, 2 * self.beta)}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for label, (floor, span) in bands.items():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m = [j for j, l in enumerate(r_rule) if l == label]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if not m: continue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lo, hi = min(r_rm[m]), max(r_rm[m])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z = [(r_rm[j] - lo) / (hi - lo + self.eps)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for j in m]        # singleton -&gt; z = 0 (D-05)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r_hat[m] = [floor + span * zz for zz in z]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sigma_u = std(r_rm)         # raw RM scores (D-02)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w = (self.w_min + (self.w_max - self.w_min)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 * sigmoid(self.k * (sigma_u - self.sigma_bar.value)))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self.sigma_bar.update(sigma_u)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out[idx] = w * r_hat        # sequence-level reward</w:t>
      </w:r>
    </w:p>
    <w:p>
      <w:pPr>
        <w:pBdr>
          <w:left w:val="single" w:color="2E74B5" w:sz="12"/>
        </w:pBdr>
        <w:shd w:fill="F5F5F5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return out          # then GRPO advantage -- see D-01</w:t>
      </w:r>
    </w:p>
    <w:p>
      <w:pPr>
        <w:spacing w:after="80"/>
      </w:pPr>
    </w:p>
    <w:p>
      <w:pPr>
        <w:spacing w:after="14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Integration cautions.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(1) The reward is sequence-level; verl broadcasts it to the final token by default — keep that, do not spread over tokens. (2) Confirm where verl computes advantages relative to this manager and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which normalization variant is active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(group mean-only vs mean/std) — this is decision D-01 and the crux of audit finding A-1. (3) The verifier call must be sandboxed with a timeout (SymPy equivalence checks can hang on pathological expressions); a timeout maps to r_rule = 0 and is counted in run telemetry.</w:t>
      </w:r>
    </w:p>
    <w:p>
      <w:pPr>
        <w:pStyle w:val="Heading2"/>
        <w:spacing w:after="120" w:before="260"/>
      </w:pPr>
      <w:r>
        <w:t xml:space="preserve">6.5 Reward-model serving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Serve AceMath-RM-7B behind an HTTP endpoint (sglang preferred for batched scoring throughput) on one dedicated GPU; the reward manager batches all rollouts of a training step into as few requests as possible.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Throughput math at dev scale: 512 prompts/step × 8 rollouts = 4,096 scores per full batch; a 7B RM on one A100 sustains roughly 30–60 scored sequences/s at 2–4k tokens → 1–2 minutes per step of pure RM latency if unpipelined. Overlap RM scoring with the next generation wave, or accept the overhead and budget for it.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Log every (prompt_uid, rollout_id, r_rule, r_rm_raw, r_hat, sigma_u, w) tuple to parquet. This telemetry is what makes the A-1/A-2 analyses and the AUROC monitoring free later.</w:t>
      </w:r>
    </w:p>
    <w:p>
      <w:pPr>
        <w:pStyle w:val="Heading2"/>
        <w:spacing w:after="120" w:before="260"/>
      </w:pPr>
      <w:r>
        <w:t xml:space="preserve">6.6 Decision log (ambiguities resolved by fiat)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0D0D0" w:sz="4"/>
          <w:insideV w:val="single" w:color="D0D0D0" w:sz="4"/>
        </w:tblBorders>
      </w:tblPr>
      <w:tblGrid>
        <w:gridCol w:w="700"/>
        <w:gridCol w:w="2650"/>
        <w:gridCol w:w="3450"/>
        <w:gridCol w:w="2200"/>
      </w:tblGrid>
      <w:tr>
        <w:trPr>
          <w:cantSplit/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Ambiguity in paper</w:t>
            </w:r>
          </w:p>
        </w:tc>
        <w:tc>
          <w:tcPr>
            <w:tcW w:type="dxa" w:w="34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decision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Revisit trigger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D-01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GRPO advantage normalization variant is unstated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Run canonical (mean/std) AND mean-only in the A-1 2×2; adopt whichever reproduces the paper’s weighting ablation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Author code release</w:t>
            </w:r>
          </w:p>
        </w:tc>
      </w:tr>
      <w:tr>
        <w:trPr>
          <w:cantSplit/>
        </w:trPr>
        <w:tc>
          <w:tcPr>
            <w:tcW w:type="dxa" w:w="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D-02</w:t>
            </w:r>
          </w:p>
        </w:tc>
        <w:tc>
          <w:tcPr>
            <w:tcW w:type="dxa" w:w="26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σ_u on raw vs normalized RM scores</w:t>
            </w:r>
          </w:p>
        </w:tc>
        <w:tc>
          <w:tcPr>
            <w:tcW w:type="dxa" w:w="34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Raw scores</w:t>
            </w:r>
          </w:p>
        </w:tc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If raw-score scale drifts across training, switch to z-scored-within-batch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D-03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σ̄ running-mean rule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EMA, momentum 0.9, warm-started at first-batch mean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Sensitivity check at Milestone 3</w:t>
            </w:r>
          </w:p>
        </w:tc>
      </w:tr>
      <w:tr>
        <w:trPr>
          <w:cantSplit/>
        </w:trPr>
        <w:tc>
          <w:tcPr>
            <w:tcW w:type="dxa" w:w="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D-04</w:t>
            </w:r>
          </w:p>
        </w:tc>
        <w:tc>
          <w:tcPr>
            <w:tcW w:type="dxa" w:w="26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Reward for unparseable / truncated / timed-out responses</w:t>
            </w:r>
          </w:p>
        </w:tc>
        <w:tc>
          <w:tcPr>
            <w:tcW w:type="dxa" w:w="34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r_rule = 0; r_rm still scored on the raw text; event counted separately in telemetry</w:t>
            </w:r>
          </w:p>
        </w:tc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If &gt;5% of rollouts, investigate generation config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D-05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Singleton band (min = max)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 = 0 → rollout pinned to band floor (−α or 1−β)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 band-midpoint alternative in ablation if singleton rate &gt;15%</w:t>
            </w:r>
          </w:p>
        </w:tc>
      </w:tr>
      <w:tr>
        <w:trPr>
          <w:cantSplit/>
        </w:trPr>
        <w:tc>
          <w:tcPr>
            <w:tcW w:type="dxa" w:w="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D-06</w:t>
            </w:r>
          </w:p>
        </w:tc>
        <w:tc>
          <w:tcPr>
            <w:tcW w:type="dxa" w:w="26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Decontamination unmentioned</w:t>
            </w:r>
          </w:p>
        </w:tc>
        <w:tc>
          <w:tcPr>
            <w:tcW w:type="dxa" w:w="34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n-gram + exact dedup against all six eval sets; overlaps reported</w:t>
            </w:r>
          </w:p>
        </w:tc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D-07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w_min/w_max/k conflict (text vs appendix)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Appendix values (0.4 / 3.0 / 6)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Sweep only if A-1 shows weighting is live</w:t>
            </w:r>
          </w:p>
        </w:tc>
      </w:tr>
      <w:tr>
        <w:trPr>
          <w:cantSplit/>
        </w:trPr>
        <w:tc>
          <w:tcPr>
            <w:tcW w:type="dxa" w:w="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D-08</w:t>
            </w:r>
          </w:p>
        </w:tc>
        <w:tc>
          <w:tcPr>
            <w:tcW w:type="dxa" w:w="26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Judge model for hard-to-verify evals</w:t>
            </w:r>
          </w:p>
        </w:tc>
        <w:tc>
          <w:tcPr>
            <w:tcW w:type="dxa" w:w="34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Primary: GPT-4o with the paper’s exact template; secondary: open 70B-class judge for agreement stats</w:t>
            </w:r>
          </w:p>
        </w:tc>
        <w:tc>
          <w:tcPr>
            <w:tcW w:type="dxa" w:w="22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Budget review (§9.3)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D-09</w:t>
            </w:r>
          </w:p>
        </w:tc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Training-time verifier named three ways in the paper (§4.1: “math verify (library) in the VERL repo”; Table 2 caption: “math verify (verl)”; Appendix A.1: “HuggingFace math verify library”)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verl math_verify for training reward and data filtering (matches Table 2 caption and §A.2.2); HF Math-Verify library measured separately in M0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Author code release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t xml:space="preserve">6.7 Compute budget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0D0D0" w:sz="4"/>
          <w:insideV w:val="single" w:color="D0D0D0" w:sz="4"/>
        </w:tblBorders>
      </w:tblPr>
      <w:tblGrid>
        <w:gridCol w:w="1300"/>
        <w:gridCol w:w="2500"/>
        <w:gridCol w:w="3700"/>
        <w:gridCol w:w="1500"/>
      </w:tblGrid>
      <w:tr>
        <w:trPr>
          <w:cantSplit/>
          <w:tblHeader/>
        </w:trPr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Hardware</w:t>
            </w:r>
          </w:p>
        </w:tc>
        <w:tc>
          <w:tcPr>
            <w:tcW w:type="dxa" w:w="3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buys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Est. wall-clock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Smoke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 × A100-80GB (or 4 × RTX 6000 Ada)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Qwen3-0.6B end-to-end pipeline shakeout, 50 steps, n=4, resp len 2048; validates reward manager, RM server, telemetry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 1 day</w:t>
            </w:r>
          </w:p>
        </w:tc>
      </w:tr>
      <w:tr>
        <w:trPr>
          <w:cantSplit/>
        </w:trPr>
        <w:tc>
          <w:tcPr>
            <w:tcW w:type="dxa" w:w="13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Dev (primary)</w:t>
            </w:r>
          </w:p>
        </w:tc>
        <w:tc>
          <w:tcPr>
            <w:tcW w:type="dxa" w:w="25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4–5 × A100-80GB (1 reserved for RM)</w:t>
            </w:r>
          </w:p>
        </w:tc>
        <w:tc>
          <w:tcPr>
            <w:tcW w:type="dxa" w:w="3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Qwen3-1.7B-Base, n=8, resp len 4096, ~300 steps per run; all baselines, HERO, A-1 2×2, gated-fallback, band ablations</w:t>
            </w:r>
          </w:p>
        </w:tc>
        <w:tc>
          <w:tcPr>
            <w:tcW w:type="dxa" w:w="15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~2–4 days per run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Headline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8+ × A100-80GB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Qwen3-4B-Base, resp len 8192, paper-faithful config for the final report’s comparison table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~1 week per run</w:t>
            </w:r>
          </w:p>
        </w:tc>
      </w:tr>
      <w:tr>
        <w:trPr>
          <w:cantSplit/>
        </w:trPr>
        <w:tc>
          <w:tcPr>
            <w:tcW w:type="dxa" w:w="13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Paper scale (reference)</w:t>
            </w:r>
          </w:p>
        </w:tc>
        <w:tc>
          <w:tcPr>
            <w:tcW w:type="dxa" w:w="25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 GPUs (8 nodes × 4)</w:t>
            </w:r>
          </w:p>
        </w:tc>
        <w:tc>
          <w:tcPr>
            <w:tcW w:type="dxa" w:w="37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requested; listed for context only</w:t>
            </w:r>
          </w:p>
        </w:tc>
        <w:tc>
          <w:tcPr>
            <w:tcW w:type="dxa" w:w="15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Open item for the first supervisor meeting: which NTU cluster allocation (or supervisor grant) is available, and whether LoRA-based GRPO (supported in current verl) is an acceptable fallback for the 4B headline run if full-parameter training does not fit. LoRA changes the experiment slightly (state it in the report if used); the mechanism conclusions from the 1.7B full-parameter runs are unaffected either way.</w:t>
      </w:r>
    </w:p>
    <w:p>
      <w:pPr>
        <w:pStyle w:val="Heading2"/>
        <w:spacing w:after="120" w:before="260"/>
      </w:pPr>
      <w:r>
        <w:t xml:space="preserve">6.8 Reproduction fidelity checklist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Same SFT checkpoint feeding every RL run — checksum recorded.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Same prompt sets (content-hashed) across baselines and HERO.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Asymmetric clip (0.2, 0.28) enabled — easy to miss, materially affects entropy dynamics.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KL coefficient 0 for the Qwen line (the paper turns KL off there; OctoThinker line uses 0.001).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Training curves logged: mean rule reward, mean RM raw score, band occupancy (fraction all-0 / mixed / all-1 groups), singleton rate, w distribution, validation MATH500 every ~30 steps. Qualitative match to paper Fig. 5 (HERO above verifier-only on both curves for most of training) is an acceptance criterion, not a nice-to-have.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Milestones and Timeline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Planned against a standard two-semester NTU FYP calendar (Aug 2026 – Apr 2027). Each milestone has explicit acceptance criteria; the plan is re-baselined at the Milestone 2 review, where the extension track is locked with the supervisor.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0D0D0" w:sz="4"/>
          <w:insideV w:val="single" w:color="D0D0D0" w:sz="4"/>
        </w:tblBorders>
      </w:tblPr>
      <w:tblGrid>
        <w:gridCol w:w="1750"/>
        <w:gridCol w:w="1150"/>
        <w:gridCol w:w="3100"/>
        <w:gridCol w:w="3000"/>
      </w:tblGrid>
      <w:tr>
        <w:trPr>
          <w:cantSplit/>
          <w:tblHeader/>
        </w:trPr>
        <w:tc>
          <w:tcPr>
            <w:tcW w:type="dxa" w:w="1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M0 — Verifier study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S1 wk 1–4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Reproduction of paper Table 1 on HardVerify-Math: math_verify (verl + library), general-verifier, AceMath-RM at 4 thresholds; plus a qualitative failure taxonomy replicating paper Table 10 categories (boxed formats, multi-answer lists, disjoint ranges, tuple orderings, parametric families); short memo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Precision/recall/FPR within a few points of paper; full verification harness (parsers, sandboxed SymPy, RM client) merged and tested. Zero RL compute.</w:t>
            </w:r>
          </w:p>
        </w:tc>
      </w:tr>
      <w:tr>
        <w:trPr>
          <w:cantSplit/>
        </w:trPr>
        <w:tc>
          <w:tcPr>
            <w:tcW w:type="dxa" w:w="17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 — Cold start + infra</w:t>
            </w:r>
          </w:p>
        </w:tc>
        <w:tc>
          <w:tcPr>
            <w:tcW w:type="dxa" w:w="11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S1 wk 5–7</w:t>
            </w:r>
          </w:p>
        </w:tc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SFT checkpoint; data trio (easy/hard/mixed) hashed; smoke-tier end-to-end GRPO run</w:t>
            </w:r>
          </w:p>
        </w:tc>
        <w:tc>
          <w:tcPr>
            <w:tcW w:type="dxa" w:w="3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SFT uplift direction matches paper (§6.3); one 50-step smoke run completes with full telemetry.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M2 — Baselines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S1 wk 8–11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Verifier-only and RM-only GRPO at dev tier, ≥2 seeds each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Verifier-only on hard data shows the degradation signature (≤ SFT level); RM-only on hard data shows reward-mean/accuracy divergence (hacking curve). These qualitative signatures are the point.</w:t>
            </w:r>
          </w:p>
        </w:tc>
      </w:tr>
      <w:tr>
        <w:trPr>
          <w:cantSplit/>
        </w:trPr>
        <w:tc>
          <w:tcPr>
            <w:tcW w:type="dxa" w:w="17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M2.5 — Interim report</w:t>
            </w:r>
          </w:p>
        </w:tc>
        <w:tc>
          <w:tcPr>
            <w:tcW w:type="dxa" w:w="11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S1 wk 12–13</w:t>
            </w:r>
          </w:p>
        </w:tc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NTU interim submission + supervisor review; extension track locked</w:t>
            </w:r>
          </w:p>
        </w:tc>
        <w:tc>
          <w:tcPr>
            <w:tcW w:type="dxa" w:w="3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Scope re-baselined; compute plan for Semester 2 confirmed.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M3 — HERO + audit experiments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S2 wk 1–5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HERO at dev tier (≥2 seeds); A-1 2×2 experiment; gated-fallback baseline (A-4); band ablation α ∈ {0.05, 0.1}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HERO &gt; both baselines on hard-eval at dev scale; A-1 resolved with evidence; fallback comparison written up.</w:t>
            </w:r>
          </w:p>
        </w:tc>
      </w:tr>
      <w:tr>
        <w:trPr>
          <w:cantSplit/>
        </w:trPr>
        <w:tc>
          <w:tcPr>
            <w:tcW w:type="dxa" w:w="17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M4 — Extension</w:t>
            </w:r>
          </w:p>
        </w:tc>
        <w:tc>
          <w:tcPr>
            <w:tcW w:type="dxa" w:w="115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S2 wk 4–10</w:t>
            </w:r>
          </w:p>
        </w:tc>
        <w:tc>
          <w:tcPr>
            <w:tcW w:type="dxa" w:w="3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Selected §8 track: design doc → implementation → headline experiment → one clean ablation</w:t>
            </w:r>
          </w:p>
        </w:tc>
        <w:tc>
          <w:tcPr>
            <w:tcW w:type="dxa" w:w="3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Pre-registered hypothesis stated before the run; result reported either way.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M5 — Headline runs + writing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S2 wk 9–12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4B-tier runs if compute allows; final report; presentation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Report drafted 2 weeks before deadline; all numbers regenerate from tagged configs.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2F6FC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</w:rPr>
              <w:t xml:space="preserve">Scheduling posture</w:t>
            </w:r>
          </w:p>
          <w:p>
            <w:pPr>
              <w:spacing w:after="8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</w:rPr>
              <w:t xml:space="preserve">M4 deliberately overlaps M3/M5: extension implementation starts while dev-tier audit runs are in the queue, and writing starts while headline runs execute. GPU queues, not human effort, are the critical path — every week must have a run in flight and a section being written.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8. Extension Tracks (ranked)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Exactly one track is carried to completion (M4); the others become "future work" sections. Ranking reflects novelty × feasibility × career alignment. The recommendation is Track 1, with Track 2’s A-1 experiment executed regardless (it is part of M3).</w:t>
      </w:r>
    </w:p>
    <w:p>
      <w:pPr>
        <w:pStyle w:val="Heading2"/>
        <w:spacing w:after="120" w:before="260"/>
      </w:pPr>
      <w:r>
        <w:t xml:space="preserve">8.1 Track 1 (recommended) — FinHERO: hybrid reward RL with financial verifiers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paper restricts itself to math because math has mature programmatic verifiers, and explicitly names extension to other structured checkers as open future work. Quantitative finance is arguably the best-fitting next domain: most problems have a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verifiable numeric core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(a price, rate, or Greek checkable to tolerance) wrapped in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hard-to-verify reasoning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(hedging rationale, assumption choices, qualitative risk arguments) — precisely HERO’s intended regime. And unlike generic domains, finance offers rule checkers that verify structural properties even when no ground-truth answer exists.</w:t>
      </w:r>
    </w:p>
    <w:p>
      <w:pPr>
        <w:pStyle w:val="Heading3"/>
        <w:spacing w:after="100" w:before="200"/>
      </w:pPr>
      <w:r>
        <w:t xml:space="preserve">8.1.1 The verifier suite (the actual contribution)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Numeric-tolerance pricing checks: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re-price the instrument independently (QuantLib / closed-form) and accept within a relative tolerance; handles bonds, vanilla options, forwards, swaps from first principles.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No-arbitrage structural checks: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put–call parity residual; monotonicity of call prices in strike; convexity of the price-vs-strike curve (butterfly arbitrage); calendar-spread monotonicity for vol answers. These validate an answer’s internal consistency without any reference value.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Curve-consistency checks: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bootstrapped curve must re-price its own par instruments to ~0 NPV; discount factors must be positive and (for standard curves) decreasing.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Dimension/unit checks: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currency, day-count, and unit coherence between question and answer (a surprisingly high-yield cheap filter).</w:t>
      </w:r>
    </w:p>
    <w:p>
      <w:pPr>
        <w:pStyle w:val="Heading3"/>
        <w:spacing w:after="100" w:before="200"/>
      </w:pPr>
      <w:r>
        <w:t xml:space="preserve">8.1.2 Design sketch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Dataset: 1.5–2.5k problems. Sources: synthetic generation with programmatic ground truth (parameterized pricing problems where the generator knows the answer exactly), Hull-style textbook exercises re-keyed, and exam-bank style questions. Split into easy-to-verify (numeric answer) and hard-to-verify (explanation/derivation-heavy) exactly mirroring the paper’s regime design.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Rule signal r_rule: conjunction of applicable checks above (tolerance pass AND no structural violation). Verifier precision is measured first on a held-out labeled set — the paper’s Table 1 methodology transplanted to finance becomes the extension’s own "Milestone 0" and a standalone result.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Dense signal: an off-the-shelf general RM (e.g., a Skywork-Reward-class model) as the honest default; optional light preference fine-tune on finance pairs only if the general RM’s group AUROC vs the finance verifier is poor.</w:t>
      </w:r>
    </w:p>
    <w:p>
      <w:pPr>
        <w:pStyle w:val="ListParagraph"/>
        <w:numPr>
          <w:ilvl w:val="0"/>
          <w:numId w:val="6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Everything else — stratified normalization, weighting, GRPO config — inherited unchanged from the M3 pipeline, which is what makes this tractable in the M4 window.</w:t>
      </w:r>
    </w:p>
    <w:p>
      <w:pPr>
        <w:pStyle w:val="Heading3"/>
        <w:spacing w:after="100" w:before="200"/>
      </w:pPr>
      <w:r>
        <w:t xml:space="preserve">8.1.3 Risks and pre-registered hypotheses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Primary risk: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dataset construction effort. Mitigation: synthetic-first strategy — the generator is a few hundred lines around QuantLib, and every generated item is verifiable by construction.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H1: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HERO &gt; verifier-only and RM-only on finance hard-to-verify eval, mirroring math.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H2: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structural (reference-free) checks alone, used as r_rule, still beat RM-only — which would be a genuinely new claim (hybrid RL with reference-free verifiers).</w:t>
      </w:r>
    </w:p>
    <w:p>
      <w:pPr>
        <w:pStyle w:val="Heading2"/>
        <w:spacing w:after="120" w:before="260"/>
      </w:pPr>
      <w:r>
        <w:t xml:space="preserve">8.2 Track 2 — Fix the mechanisms (analysis-first)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2a. Settle A-1 and relocate difficulty weighting.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If the multiplicative weight cancels under group standardization, move difficulty emphasis to the prompt sampling distribution (a curriculum over prompts, weight-proportional sampling) — provably not cancelled, and directly comparable to DAPO dynamic sampling (A-3). Deliverable: a three-way comparison {HERO weighting, weight-proportional sampling, dynamic sampling} plus the combination.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2b. Adaptive bands.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Replace fixed α with a schedule driven by an online estimate of verifier reliability (e.g., widen bands as the all-0 group fraction rises; anneal toward tight bands as training stabilizes). The paper’s own limitations section requests exactly this.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2c. Formalize bounded hackability.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Prove the P3 property (§4.1) rigorously, accounting for both channels an adversarial RM controls: (i) within-band placement, bounded by the band width 2α (or 2β); and (ii) the prompt weight w via σ_u, which rescales the whole group’s rewards between w_min and w_max. At the advantage level under group standardization, channel (ii) cancels (A-1), leaving a clean 2·max(α, β)-type bound; without standardization both channels are live and the bound must include the w_max/w_min ratio. Characterize the induced policy-gradient deviation in each case. Short, clean, strengthens any report.</w:t>
      </w:r>
    </w:p>
    <w:p>
      <w:pPr>
        <w:pStyle w:val="Heading2"/>
        <w:spacing w:after="120" w:before="260"/>
      </w:pPr>
      <w:r>
        <w:t xml:space="preserve">8.3 Track 3 — Calibration-gated hybrid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Operationalize the paper’s post-hoc AUROC diagnostic as an online control: maintain a running RM-vs-verifier AUROC per prompt cluster (or globally); shrink band width and weight toward pure-verifier behavior when AUROC degrades. Attacks audit finding A-2 head-on. Moderate novelty, low implementation cost on top of the M3 telemetry, but weaker headline potential than Track 1.</w:t>
      </w:r>
    </w:p>
    <w:p>
      <w:pPr>
        <w:pStyle w:val="Heading2"/>
        <w:spacing w:after="120" w:before="260"/>
      </w:pPr>
      <w:r>
        <w:t xml:space="preserve">8.4 Adjacent work to position against (related-work map)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TinyV (Xu et al. 2025): fixes verifier false negatives directly — the "repair the verifier" alternative to "supplement the verifier".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DAPO (Yu et al. 2025): dynamic sampling + clip-higher — the sampling-side fix for zero-gradient groups (audit A-3).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Dr. GRPO / "Understanding R1-Zero-Like Training" (Liu et al. 2025): normalization-term analysis directly relevant to A-1.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General-Reasoner (Ma et al. 2025) and rubric-anchored RL (Huang et al. 2025b): model-based and rubric-based verifier substitutes.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VeriFree (Zhou et al. 2025): drops the verifier entirely via reference-likelihood maximization — the opposite bet.</w:t>
      </w:r>
    </w:p>
    <w:p>
      <w:pPr>
        <w:pStyle w:val="Heading1"/>
        <w:spacing w:after="160" w:before="320"/>
      </w:pPr>
      <w:r>
        <w:t xml:space="preserve">9. Evaluation Protocol</w:t>
      </w:r>
    </w:p>
    <w:p>
      <w:pPr>
        <w:pStyle w:val="Heading2"/>
        <w:spacing w:after="120" w:before="260"/>
      </w:pPr>
      <w:r>
        <w:t xml:space="preserve">9.1 Benchmarks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Easy-to-verify: MATH500, AMC, Minerva, Olympiad — temperature 0.6, top-p 0.95, N = 8, pass@1 averaged over seeds, verifier-scored (paper-identical).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Hard-to-verify: HardVerify-Math (250) and TextBookReasoning (filtered ~750) — judge-scored with the paper’s compare-don’t-solve template.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Extension track adds its domain evals (Track 1: held-out synthetic finance set + a hand-curated textbook set, dual-scored by verifier and judge).</w:t>
      </w:r>
    </w:p>
    <w:p>
      <w:pPr>
        <w:pStyle w:val="Heading2"/>
        <w:spacing w:after="120" w:before="260"/>
      </w:pPr>
      <w:r>
        <w:t xml:space="preserve">9.2 Statistical rigor (fixes audit A-6)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≥3 seeds on every headline number; hard-to-verify evals additionally bootstrap-resampled for 95% CIs; deltas reported with intervals, never bare.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Training-curve overlays (not just endpoints) for every method pair, matching the paper’s Fig. 5 presentation.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Band-occupancy telemetry reported alongside accuracy: the mechanism’s claim is about gradient revival in uniform groups, so show the uniform-group fraction and the realized advantage magnitudes inside them.</w:t>
      </w:r>
    </w:p>
    <w:p>
      <w:pPr>
        <w:pStyle w:val="Heading2"/>
        <w:spacing w:after="120" w:before="260"/>
      </w:pPr>
      <w:r>
        <w:t xml:space="preserve">9.3 Judge integrity (fixes audit A-5)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Dual judges (GPT-4o + one open 70B-class model); report agreement rate; disagreements sampled for manual adjudication.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Manual audit of ≥50 judged items per method per benchmark; audit sheet included as a report appendix.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Judge API budget is an explicit open item for the supervisor meeting: ~250–750 judgments × methods × seeds; if budget-constrained, the open judge becomes primary and GPT-4o audits a subsample.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Risks and Mitigations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0D0D0" w:sz="4"/>
          <w:insideV w:val="single" w:color="D0D0D0" w:sz="4"/>
        </w:tblBorders>
      </w:tblPr>
      <w:tblGrid>
        <w:gridCol w:w="2900"/>
        <w:gridCol w:w="500"/>
        <w:gridCol w:w="500"/>
        <w:gridCol w:w="5100"/>
      </w:tblGrid>
      <w:tr>
        <w:trPr>
          <w:cantSplit/>
          <w:tblHeader/>
        </w:trPr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</w:t>
            </w:r>
          </w:p>
        </w:tc>
        <w:tc>
          <w:tcPr>
            <w:tcW w:type="dxa" w:w="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5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GPU allocation smaller/later than assumed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Dev tier (1.7B, 4–5 GPUs) is the primary science platform by design; 4B headline runs are a stretch goal. LoRA-GRPO fallback documented. Smoke tier proves the pipeline on 2 GPUs.</w:t>
            </w:r>
          </w:p>
        </w:tc>
      </w:tr>
      <w:tr>
        <w:trPr>
          <w:cantSplit/>
        </w:trPr>
        <w:tc>
          <w:tcPr>
            <w:tcW w:type="dxa" w:w="2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RM serving becomes the training bottleneck</w:t>
            </w:r>
          </w:p>
        </w:tc>
        <w:tc>
          <w:tcPr>
            <w:tcW w:type="dxa" w:w="5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Dedicated RM GPU; batched scoring; overlap with generation; measured in smoke tier before any long run.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verl API churn breaks the custom reward manager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Pin commit; vendor the reward manager; CI test that runs one tiny batch through the full reward path.</w:t>
            </w:r>
          </w:p>
        </w:tc>
      </w:tr>
      <w:tr>
        <w:trPr>
          <w:cantSplit/>
        </w:trPr>
        <w:tc>
          <w:tcPr>
            <w:tcW w:type="dxa" w:w="2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Verifier (SymPy) hangs or crashes on pathological outputs</w:t>
            </w:r>
          </w:p>
        </w:tc>
        <w:tc>
          <w:tcPr>
            <w:tcW w:type="dxa" w:w="5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5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5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Subprocess sandbox + timeout (D-04); timeout rate tracked; alert if &gt;2%.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Reward hacking inside bands during long runs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Band-width cap bounds damage (P3); monitor within-band RM-score inflation vs validation accuracy; early-stop rule if divergence detected.</w:t>
            </w:r>
          </w:p>
        </w:tc>
      </w:tr>
      <w:tr>
        <w:trPr>
          <w:cantSplit/>
        </w:trPr>
        <w:tc>
          <w:tcPr>
            <w:tcW w:type="dxa" w:w="2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Judge cost exceeds budget</w:t>
            </w:r>
          </w:p>
        </w:tc>
        <w:tc>
          <w:tcPr>
            <w:tcW w:type="dxa" w:w="5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5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Open-judge-primary fallback (§9.3).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Extension dataset construction overruns (Track 1)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Synthetic-first generation (verifiable by construction); Track 3 is the pre-agreed descope target requiring no new data.</w:t>
            </w:r>
          </w:p>
        </w:tc>
      </w:tr>
      <w:tr>
        <w:trPr>
          <w:cantSplit/>
        </w:trPr>
        <w:tc>
          <w:tcPr>
            <w:tcW w:type="dxa" w:w="29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Reproduction diverges from paper with no code release</w:t>
            </w:r>
          </w:p>
        </w:tc>
        <w:tc>
          <w:tcPr>
            <w:tcW w:type="dxa" w:w="5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1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Acceptance criteria are qualitative signatures (curve shapes, ordering of methods, ablation directions), not exact numbers; every deviation logged in §6.6.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Timeline compression near report deadline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Writing starts at M3; report skeleton exists from week 1 (this PRD seeds it); numbers regenerate from tagged configs so late runs slot in.</w:t>
            </w:r>
          </w:p>
        </w:tc>
      </w:tr>
    </w:tbl>
    <w:p>
      <w:pPr>
        <w:spacing w:after="60"/>
      </w:pPr>
    </w:p>
    <w:p>
      <w:pPr>
        <w:spacing w:after="20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L = likelihood, I = impact (H/M/L).</w:t>
      </w:r>
    </w:p>
    <w:p>
      <w:pPr>
        <w:pStyle w:val="Heading1"/>
        <w:spacing w:after="160" w:before="320"/>
      </w:pPr>
      <w:r>
        <w:t xml:space="preserve">11. Anti-Goals: What Not To Do</w:t>
      </w:r>
    </w:p>
    <w:p>
      <w:pPr>
        <w:pStyle w:val="ListParagraph"/>
        <w:numPr>
          <w:ilvl w:val="0"/>
          <w:numId w:val="7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Do not chase the paper’s absolute numbers.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contribution is mechanism and analysis; a 32-GPU lab’s endpoint scores are not the bar. Qualitative reproduction + resolved audit findings + one honest extension beats a failed SOTA chase in every way an FYP is graded.</w:t>
      </w:r>
    </w:p>
    <w:p>
      <w:pPr>
        <w:pStyle w:val="ListParagraph"/>
        <w:numPr>
          <w:ilvl w:val="0"/>
          <w:numId w:val="7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Do not skip or "improve" the SFT cold start.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instability it fixes (language mixing, non-termination) will otherwise burn weeks of confusing RL runs; and changing it breaks baseline comparability.</w:t>
      </w:r>
    </w:p>
    <w:p>
      <w:pPr>
        <w:pStyle w:val="ListParagraph"/>
        <w:numPr>
          <w:ilvl w:val="0"/>
          <w:numId w:val="7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Do not re-derive that naive blending fails.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paper already shows linear mixing scores 55.9–58.7 vs 62.0. Implement it only as a one-line config for the comparison table, never as a development direction.</w:t>
      </w:r>
    </w:p>
    <w:p>
      <w:pPr>
        <w:pStyle w:val="ListParagraph"/>
        <w:numPr>
          <w:ilvl w:val="0"/>
          <w:numId w:val="7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Do not change multiple variables between runs.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 decision-log entry per change; every run diffable to its predecessor by config hash.</w:t>
      </w:r>
    </w:p>
    <w:p>
      <w:pPr>
        <w:pStyle w:val="ListParagraph"/>
        <w:numPr>
          <w:ilvl w:val="0"/>
          <w:numId w:val="7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Do not trust judge scores without audit.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A-5 circularity means unaudited judge numbers can silently reward formatting. The §9.3 audit is mandatory, not optional polish.</w:t>
      </w:r>
    </w:p>
    <w:p>
      <w:pPr>
        <w:pStyle w:val="ListParagraph"/>
        <w:numPr>
          <w:ilvl w:val="0"/>
          <w:numId w:val="7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Do not launch long runs before smoke-tier telemetry is verified.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Every metric in §6.8 must appear in the smoke run’s dashboard first; discovering missing telemetry after a week-long run is an unforced error.</w:t>
      </w:r>
    </w:p>
    <w:p>
      <w:pPr>
        <w:pStyle w:val="ListParagraph"/>
        <w:numPr>
          <w:ilvl w:val="0"/>
          <w:numId w:val="7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Do not let the extension start before M3 acceptance.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extension inherits the pipeline; building on an unvalidated pipeline compounds risk.</w:t>
      </w:r>
    </w:p>
    <w:p>
      <w:pPr>
        <w:pStyle w:val="ListParagraph"/>
        <w:numPr>
          <w:ilvl w:val="0"/>
          <w:numId w:val="7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Do not treat memory of the paper as the paper.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Every implementation question resolves by re-reading the relevant paragraph or the decision log, in that order.</w:t>
      </w:r>
    </w:p>
    <w:p>
      <w:pPr>
        <w:pStyle w:val="Heading1"/>
        <w:spacing w:after="160" w:before="320"/>
      </w:pPr>
      <w:r>
        <w:t xml:space="preserve">12. Open Questions for the First Supervisor Meeting</w:t>
      </w:r>
    </w:p>
    <w:p>
      <w:pPr>
        <w:pStyle w:val="ListParagraph"/>
        <w:numPr>
          <w:ilvl w:val="0"/>
          <w:numId w:val="8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Compute: what GPU allocation is realistic (cluster, quota, duration)? Is LoRA-GRPO acceptable for the 4B headline tier if needed?</w:t>
      </w:r>
    </w:p>
    <w:p>
      <w:pPr>
        <w:pStyle w:val="ListParagraph"/>
        <w:numPr>
          <w:ilvl w:val="0"/>
          <w:numId w:val="8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Orientation: faithful reproduction + deep audit, or reproduction + extension? (This PRD assumes both, with the M2.5 gate; does the supervisor agree with that gate?)</w:t>
      </w:r>
    </w:p>
    <w:p>
      <w:pPr>
        <w:pStyle w:val="ListParagraph"/>
        <w:numPr>
          <w:ilvl w:val="0"/>
          <w:numId w:val="8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Extension preference: does the finance-verifier direction (Track 1) fit the supervisor’s interests, or is the mechanism-analysis direction (Track 2) preferred? Given the group’s proximity to the HERO authors, is there inside knowledge of what they consider open or already in progress (to avoid being scooped)?</w:t>
      </w:r>
    </w:p>
    <w:p>
      <w:pPr>
        <w:pStyle w:val="ListParagraph"/>
        <w:numPr>
          <w:ilvl w:val="0"/>
          <w:numId w:val="8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Judge budget: is there API budget for GPT-4o judging, or should the open-judge-primary protocol be default?</w:t>
      </w:r>
    </w:p>
    <w:p>
      <w:pPr>
        <w:pStyle w:val="ListParagraph"/>
        <w:numPr>
          <w:ilvl w:val="0"/>
          <w:numId w:val="8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Reporting cadence: weekly written update + bi-weekly meeting proposed — acceptable?</w:t>
      </w:r>
    </w:p>
    <w:p>
      <w:pPr>
        <w:pStyle w:val="ListParagraph"/>
        <w:numPr>
          <w:ilvl w:val="0"/>
          <w:numId w:val="8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Authorship trajectory: if M3/M4 produce a clean result (A-1 resolution or FinHERO), is a workshop submission a target the supervisor would support?</w:t>
      </w:r>
    </w:p>
    <w:p>
      <w:pPr>
        <w:pStyle w:val="Heading1"/>
        <w:spacing w:after="160" w:before="320"/>
      </w:pPr>
      <w:r>
        <w:t xml:space="preserve">13. References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Tao, L., Kulikov, I., Saha, S., Wang, T., Xu, J., Li, S., Weston, J., Yu, P. Hybrid Reinforcement: When Reward is Sparse, Better to be Dense. ICLR 2026.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Shao, Z. et al. DeepSeekMath: Pushing the Limits of Mathematical Reasoning in Open Language Models (GRPO). arXiv:2402.03300, 2024.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Guo, D. et al. DeepSeek-R1: Incentivizing Reasoning Capability in LLMs via Reinforcement Learning. arXiv:2501.12948, 2025.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Yu, Q. et al. DAPO: An Open-Source LLM Reinforcement Learning System at Scale. arXiv:2503.14476, 2025.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Liu, Z. et al. Understanding R1-Zero-Like Training: A Critical Perspective (Dr. GRPO). arXiv, 2025.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Xu, Z. et al. TinyV: Reducing False Negatives in Verification Improves RL for LLM Reasoning. arXiv:2505.14625, 2025.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Ma, X. et al. General-Reasoner: Advancing LLM Reasoning Across All Domains. arXiv:2505.14652, 2025.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Liu, Z., Chen, Y., Shoeybi, M., Catanzaro, B., Ping, W. AceMath: Advancing Frontier Math Reasoning with Post-Training and Reward Modeling. arXiv:2412.15084, 2024.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Moshkov, I. et al. AIMO-2 Winning Solution: OpenMathReasoning. arXiv:2504.16891, 2025.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Sheng, G. et al. HybridFlow: A Flexible and Efficient RLHF Framework (verl). EuroSys 2025.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Zhou, X. et al. Reinforcing General Reasoning without Verifiers (VeriFree). arXiv:2505.21493, 2025.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Huang, Z. et al. Reinforcement Learning with Rubric Anchors. arXiv:2508.12790, 2025.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Wang, Z., Zhou, F., Li, X., Liu, P. OctoThinker: Mid-Training Incentivizes Reinforcement Learning Scaling. arXiv:2506.20512, 2025.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Yang, A. et al. Qwen3 Technical Report. arXiv:2505.09388, 2025.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Fan, R., Wang, Z., Liu, P. MegaScience: Pushing the Frontiers of Post-Training Datasets for Science Reasoning (TextBookReasoning). arXiv:2507.16812, 2025.</w:t>
      </w:r>
    </w:p>
    <w:p>
      <w:pPr>
        <w:pStyle w:val="ListParagraph"/>
        <w:numPr>
          <w:ilvl w:val="0"/>
          <w:numId w:val="9"/>
        </w:num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Liu, C.Y. et al. Skywork-Reward-V2: Scaling Preference Data Curation via Human-AI Synergy. arXiv:2507.01352, 2025.</w:t>
      </w:r>
    </w:p>
    <w:p>
      <w:pPr>
        <w:spacing w:after="160"/>
      </w:pPr>
    </w:p>
    <w:tbl>
      <w:tblPr>
        <w:tblW w:type="dxa" w:w="9000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2F6FC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after="8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</w:rPr>
              <w:t xml:space="preserve">Document lineage</w:t>
            </w:r>
          </w:p>
          <w:p>
            <w:pPr>
              <w:spacing w:after="8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</w:rPr>
              <w:t xml:space="preserve">This PRD was drafted from a full read of the HERO paper (main text + appendices A–D) on 13 Aug 2026, cross-checked against the training-configuration tables (paper Tables 5–6) and ablation figures. All paper numbers cited here are transcribed from that read; any future author code release supersedes the decision log where they conflict.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Aryan Jain · NTU · </w:t>
    </w: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/>
      </w:pBdr>
      <w:spacing w:after="0"/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FYP PRD · Hybrid Reward Post-Training RL (HERO) ·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6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PRD — Hybrid Reward Post-Training RL (HERO)</dc:title>
  <dc:creator>Aryan Jain</dc:creator>
  <dc:description>Reproduction, audit, and extension of HERO (ICLR 2026)</dc:description>
  <cp:lastModifiedBy>Un-named</cp:lastModifiedBy>
  <cp:revision>1</cp:revision>
  <dcterms:created xsi:type="dcterms:W3CDTF">2026-08-13T05:49:38.454Z</dcterms:created>
  <dcterms:modified xsi:type="dcterms:W3CDTF">2026-08-13T05:49:38.454Z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