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Web-Based</w:t>
      </w:r>
      <w:r>
        <w:t xml:space="preserve"> </w:t>
      </w:r>
      <w:r>
        <w:t xml:space="preserve">Student</w:t>
      </w:r>
      <w:r>
        <w:t xml:space="preserve"> </w:t>
      </w:r>
      <w:r>
        <w:t xml:space="preserve">Academic</w:t>
      </w:r>
      <w:r>
        <w:t xml:space="preserve"> </w:t>
      </w:r>
      <w:r>
        <w:t xml:space="preserve">Requisition</w:t>
      </w:r>
      <w:r>
        <w:t xml:space="preserve"> </w:t>
      </w:r>
      <w:r>
        <w:t xml:space="preserve">Form</w:t>
      </w:r>
      <w:r>
        <w:t xml:space="preserve"> </w:t>
      </w:r>
      <w:r>
        <w:t xml:space="preserve">with</w:t>
      </w:r>
      <w:r>
        <w:t xml:space="preserve"> </w:t>
      </w:r>
      <w:r>
        <w:t xml:space="preserve">PDF</w:t>
      </w:r>
      <w:r>
        <w:t xml:space="preserve"> </w:t>
      </w:r>
      <w:r>
        <w:t xml:space="preserve">Generation</w:t>
      </w:r>
    </w:p>
    <w:p>
      <w:pPr>
        <w:pStyle w:val="Subtitle"/>
      </w:pPr>
      <w:r>
        <w:t xml:space="preserve">Short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FirstParagraph"/>
      </w:pPr>
      <w:r>
        <w:rPr>
          <w:bCs/>
          <w:b/>
        </w:rPr>
        <w:t xml:space="preserve">Student / Group: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Class:</w:t>
      </w:r>
      <w:r>
        <w:t xml:space="preserve"> </w:t>
      </w:r>
      <w:r>
        <w:t xml:space="preserve">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</w:t>
      </w:r>
    </w:p>
    <w:bookmarkStart w:id="20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To build a Python web application in which a student fills in the institute’s</w:t>
      </w:r>
      <w:r>
        <w:t xml:space="preserve"> </w:t>
      </w:r>
      <w:r>
        <w:rPr>
          <w:iCs/>
          <w:i/>
        </w:rPr>
        <w:t xml:space="preserve">Student Academic Requisition Form</w:t>
      </w:r>
      <w:r>
        <w:t xml:space="preserve"> </w:t>
      </w:r>
      <w:r>
        <w:t xml:space="preserve">online, accepts the student declaration, and downloads the completed form as a PDF that follows the official form’s layout. The HoD and Principal-office sections remain blank for the institute’s further processing.</w:t>
      </w:r>
    </w:p>
    <w:bookmarkEnd w:id="20"/>
    <w:bookmarkStart w:id="21" w:name="technology-used"/>
    <w:p>
      <w:pPr>
        <w:pStyle w:val="Heading1"/>
      </w:pPr>
      <w:r>
        <w:t xml:space="preserve">2. Technology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pure-Python forms and tabs; free deployment on Streamlit Community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coordinate-level control, needed to reproduce the form’s boxes, ruled lines and check-boxes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transactional; allows atomic requisition numbering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Pillow, pypdfium2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clean-up; in-app preview of the generated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Streamlit AppTest,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UI-flow and real-browser verification</w:t>
            </w:r>
          </w:p>
        </w:tc>
      </w:tr>
    </w:tbl>
    <w:bookmarkEnd w:id="21"/>
    <w:bookmarkStart w:id="22" w:name="system-design"/>
    <w:p>
      <w:pPr>
        <w:pStyle w:val="Heading1"/>
      </w:pPr>
      <w:r>
        <w:t xml:space="preserve">3. System Design</w:t>
      </w:r>
    </w:p>
    <w:p>
      <w:pPr>
        <w:pStyle w:val="FirstParagraph"/>
      </w:pPr>
      <w:r>
        <w:rPr>
          <w:bCs/>
          <w:b/>
        </w:rPr>
        <w:t xml:space="preserve">Workflow:</w:t>
      </w:r>
      <w:r>
        <w:t xml:space="preserve"> </w:t>
      </w:r>
      <w:r>
        <w:t xml:space="preserve">Open app → enter student details → select application type → enter purpose → supporting documents → accept declaration →</w:t>
      </w:r>
      <w:r>
        <w:t xml:space="preserve"> </w:t>
      </w:r>
      <w:r>
        <w:rPr>
          <w:iCs/>
          <w:i/>
        </w:rPr>
        <w:t xml:space="preserve">Generate PDF</w:t>
      </w:r>
      <w:r>
        <w:t xml:space="preserve"> </w:t>
      </w:r>
      <w:r>
        <w:t xml:space="preserve">→ preview →</w:t>
      </w:r>
      <w:r>
        <w:t xml:space="preserve"> </w:t>
      </w:r>
      <w:r>
        <w:rPr>
          <w:iCs/>
          <w:i/>
        </w:rPr>
        <w:t xml:space="preserve">Download 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Modules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– user interface with three tabs: New Requisition, Track Status, Admin.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validators.py</w:t>
      </w:r>
      <w:r>
        <w:t xml:space="preserve"> </w:t>
      </w:r>
      <w:r>
        <w:t xml:space="preserve">– all validation rules; returns every error at once.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pdf_generator.py</w:t>
      </w:r>
      <w:r>
        <w:t xml:space="preserve"> </w:t>
      </w:r>
      <w:r>
        <w:t xml:space="preserve">– draws the form;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– SQLite layer;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– form wording and options.</w:t>
      </w:r>
    </w:p>
    <w:p>
      <w:pPr>
        <w:pStyle w:val="FirstParagraph"/>
      </w:pPr>
      <w:r>
        <w:rPr>
          <w:bCs/>
          <w:b/>
        </w:rPr>
        <w:t xml:space="preserve">Database.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requisitions</w:t>
      </w:r>
      <w:r>
        <w:t xml:space="preserve"> </w:t>
      </w:r>
      <w:r>
        <w:t xml:space="preserve">stores every field, status, remarks and the generated PDF;</w:t>
      </w:r>
      <w:r>
        <w:t xml:space="preserve"> </w:t>
      </w:r>
      <w:r>
        <w:rPr>
          <w:rStyle w:val="VerbatimChar"/>
        </w:rPr>
        <w:t xml:space="preserve">status_history</w:t>
      </w:r>
      <w:r>
        <w:t xml:space="preserve"> </w:t>
      </w:r>
      <w:r>
        <w:t xml:space="preserve">stores each status change;</w:t>
      </w:r>
      <w:r>
        <w:t xml:space="preserve"> </w:t>
      </w:r>
      <w:r>
        <w:rPr>
          <w:rStyle w:val="VerbatimChar"/>
        </w:rPr>
        <w:t xml:space="preserve">counters</w:t>
      </w:r>
      <w:r>
        <w:t xml:space="preserve"> </w:t>
      </w:r>
      <w:r>
        <w:t xml:space="preserve">produces gap-free numbers per year (</w:t>
      </w:r>
      <w:r>
        <w:rPr>
          <w:rStyle w:val="VerbatimChar"/>
        </w:rPr>
        <w:t xml:space="preserve">REQ-2026-0001</w:t>
      </w:r>
      <w:r>
        <w:t xml:space="preserve">). Requisition number, record and PDF are created in one transaction, so a failed PDF leaves no orphan record.</w:t>
      </w:r>
    </w:p>
    <w:bookmarkEnd w:id="22"/>
    <w:bookmarkStart w:id="23" w:name="X609a07e46fd8b0ca82f9c3b00429e3c7c2f809c"/>
    <w:p>
      <w:pPr>
        <w:pStyle w:val="Heading1"/>
      </w:pPr>
      <w:r>
        <w:t xml:space="preserve">4. PDF Generation – Fidelity to the Official Form</w:t>
      </w:r>
    </w:p>
    <w:p>
      <w:pPr>
        <w:pStyle w:val="FirstParagraph"/>
      </w:pPr>
      <w:r>
        <w:t xml:space="preserve">The original form was rendered and measured; the PDF reproduces its A4 page margins, bordered header with the institute logo and title,</w:t>
      </w:r>
      <w:r>
        <w:t xml:space="preserve"> </w:t>
      </w:r>
      <w:r>
        <w:rPr>
          <w:iCs/>
          <w:i/>
        </w:rPr>
        <w:t xml:space="preserve">Department / Outward No. / Date</w:t>
      </w:r>
      <w:r>
        <w:t xml:space="preserve"> </w:t>
      </w:r>
      <w:r>
        <w:t xml:space="preserve">line, the</w:t>
      </w:r>
      <w:r>
        <w:t xml:space="preserve"> </w:t>
      </w:r>
      <w:r>
        <w:rPr>
          <w:iCs/>
          <w:i/>
        </w:rPr>
        <w:t xml:space="preserve">Processing Time</w:t>
      </w:r>
      <w:r>
        <w:t xml:space="preserve"> </w:t>
      </w:r>
      <w:r>
        <w:t xml:space="preserve">note and sections 1 to 6 in the same order and wording, including the sentence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Application for – Bonafide / Student Certificate / … / Other request</w:t>
      </w:r>
      <w:r>
        <w:rPr>
          <w:iCs/>
          <w:i/>
        </w:rPr>
        <w:t xml:space="preserve">”</w:t>
      </w:r>
      <w:r>
        <w:t xml:space="preserve"> </w:t>
      </w:r>
      <w:r>
        <w:t xml:space="preserve">in which the chosen option is highlighted. Entered values print in blue on the form’s lines. The following remain</w:t>
      </w:r>
      <w:r>
        <w:t xml:space="preserve"> </w:t>
      </w:r>
      <w:r>
        <w:rPr>
          <w:bCs/>
          <w:b/>
        </w:rPr>
        <w:t xml:space="preserve">blank</w:t>
      </w:r>
      <w:r>
        <w:t xml:space="preserve">: Department Outward No., HoD Signature, HoD Remarks, Forwarded To, Signature / Remarks, Principal Decision, Principal Remarks and Principal Signature. A requisition number and a small QR code (requisition no. + roll no.) are added for office use.</w:t>
      </w:r>
    </w:p>
    <w:bookmarkEnd w:id="23"/>
    <w:bookmarkStart w:id="24" w:name="validation-and-safety"/>
    <w:p>
      <w:pPr>
        <w:pStyle w:val="Heading1"/>
      </w:pPr>
      <w:r>
        <w:t xml:space="preserve">5. Validation and Safety</w:t>
      </w:r>
    </w:p>
    <w:p>
      <w:pPr>
        <w:numPr>
          <w:ilvl w:val="0"/>
          <w:numId w:val="1002"/>
        </w:numPr>
        <w:pStyle w:val="Compact"/>
      </w:pPr>
      <w:r>
        <w:t xml:space="preserve">Mandatory: department, name, roll no., semester, division, email, mobile, application type, purpose, documents Yes/No, date.</w:t>
      </w:r>
    </w:p>
    <w:p>
      <w:pPr>
        <w:numPr>
          <w:ilvl w:val="0"/>
          <w:numId w:val="1002"/>
        </w:numPr>
        <w:pStyle w:val="Compact"/>
      </w:pPr>
      <w:r>
        <w:t xml:space="preserve">Mobile: valid 10-digit Indian number starting 6-9 (+91, spaces and hyphens accepted). Email: standard address format. Date cannot be in the future.</w:t>
      </w:r>
    </w:p>
    <w:p>
      <w:pPr>
        <w:numPr>
          <w:ilvl w:val="0"/>
          <w:numId w:val="1002"/>
        </w:numPr>
        <w:pStyle w:val="Compact"/>
      </w:pPr>
      <w:r>
        <w:t xml:space="preserve">Declaration must be ticked;</w:t>
      </w:r>
      <w:r>
        <w:t xml:space="preserve"> </w:t>
      </w:r>
      <w:r>
        <w:t xml:space="preserve">“</w:t>
      </w:r>
      <w:r>
        <w:t xml:space="preserve">Other request</w:t>
      </w:r>
      <w:r>
        <w:t xml:space="preserve">”</w:t>
      </w:r>
      <w:r>
        <w:t xml:space="preserve"> </w:t>
      </w:r>
      <w:r>
        <w:t xml:space="preserve">needs a description; if documents are attached, their names or files are required.</w:t>
      </w:r>
    </w:p>
    <w:p>
      <w:pPr>
        <w:numPr>
          <w:ilvl w:val="0"/>
          <w:numId w:val="1002"/>
        </w:numPr>
        <w:pStyle w:val="Compact"/>
      </w:pPr>
      <w:r>
        <w:t xml:space="preserve">Purpose (10-500 characters) and document names must physically fit the form, so nothing is silently cut off in the PDF.</w:t>
      </w:r>
    </w:p>
    <w:p>
      <w:pPr>
        <w:numPr>
          <w:ilvl w:val="0"/>
          <w:numId w:val="1002"/>
        </w:numPr>
        <w:pStyle w:val="Compact"/>
      </w:pPr>
      <w:r>
        <w:t xml:space="preserve">Uploads: limited by count, size and type, and the file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must match its extension; file names are sanitised; all SQL is parameterised.</w:t>
      </w:r>
    </w:p>
    <w:p>
      <w:pPr>
        <w:numPr>
          <w:ilvl w:val="0"/>
          <w:numId w:val="1002"/>
        </w:numPr>
        <w:pStyle w:val="Compact"/>
      </w:pPr>
      <w:r>
        <w:t xml:space="preserve">All times use the institute timezone (Asia/Kolkata), not the server’s UTC clock.</w:t>
      </w:r>
    </w:p>
    <w:bookmarkEnd w:id="24"/>
    <w:bookmarkStart w:id="25" w:name="features-beyond-the-brief"/>
    <w:p>
      <w:pPr>
        <w:pStyle w:val="Heading1"/>
      </w:pPr>
      <w:r>
        <w:t xml:space="preserve">6. Features Beyond the Brief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review-before-submit screen with a watermarked preview (a requisition number is issued only on confirmation) · duplicate-request warning · automatic requisition number and date · supporting-document upload · student signature upload · status tracking with history (needs requisition no.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roll no.) · withdraw a request · optional e-mail of the PDF and status changes · mobile-friendly interface · QR code on the PDF.</w:t>
      </w:r>
    </w:p>
    <w:p>
      <w:pPr>
        <w:pStyle w:val="BodyText"/>
      </w:pPr>
      <w:r>
        <w:rPr>
          <w:bCs/>
          <w:b/>
        </w:rPr>
        <w:t xml:space="preserve">Staff:</w:t>
      </w:r>
      <w:r>
        <w:t xml:space="preserve"> </w:t>
      </w:r>
      <w:r>
        <w:t xml:space="preserve">sign-in from the sidebar (the dashboard does not exist for students) · named accounts with an audit trail of who changed each status · login brute-force throttle · KPI cards and charts ·</w:t>
      </w:r>
      <w:r>
        <w:t xml:space="preserve"> </w:t>
      </w:r>
      <w:r>
        <w:rPr>
          <w:bCs/>
          <w:b/>
        </w:rPr>
        <w:t xml:space="preserve">SLA tracking</w:t>
      </w:r>
      <w:r>
        <w:t xml:space="preserve"> </w:t>
      </w:r>
      <w:r>
        <w:t xml:space="preserve">against the form’s own 4-working-day promise, with overdue flags and filter · search and filters (text, status, type, department, date) · CSV export · access to each PDF and uploaded document.</w:t>
      </w:r>
    </w:p>
    <w:bookmarkEnd w:id="25"/>
    <w:bookmarkStart w:id="26" w:name="testing"/>
    <w:p>
      <w:pPr>
        <w:pStyle w:val="Heading1"/>
      </w:pPr>
      <w:r>
        <w:t xml:space="preserve">7. Testing</w:t>
      </w:r>
    </w:p>
    <w:p>
      <w:pPr>
        <w:pStyle w:val="FirstParagraph"/>
      </w:pPr>
      <w:r>
        <w:t xml:space="preserve">51 automated tests cover validation (mobile/email edge cases), sequential numbering, rollback on failure, tracking rules, working-day/SLA arithmetic, duplicate detection, withdrawal rules, login throttle, spoofed-upload rejection, e-mail sending (mocked SMTP) and PDF content. The full user journey (validation errors → review → submit → download → track → withdraw → staff sign-in → dashboard) was also run in a real browser at desktop and phone sizes.</w:t>
      </w:r>
    </w:p>
    <w:bookmarkEnd w:id="26"/>
    <w:bookmarkStart w:id="45" w:name="screenshots"/>
    <w:p>
      <w:pPr>
        <w:pStyle w:val="Heading1"/>
      </w:pPr>
      <w:r>
        <w:t xml:space="preserve">8. Screenshots</w:t>
      </w:r>
    </w:p>
    <w:p>
      <w:pPr>
        <w:pStyle w:val="FirstParagraph"/>
      </w:pPr>
      <w:r>
        <w:drawing>
          <wp:inline>
            <wp:extent cx="2400300" cy="4104513"/>
            <wp:effectExtent b="0" l="0" r="0" t="0"/>
            <wp:docPr descr="Landing page and steps" title="" id="28" name="Picture"/>
            <a:graphic>
              <a:graphicData uri="http://schemas.openxmlformats.org/drawingml/2006/picture">
                <pic:pic>
                  <pic:nvPicPr>
                    <pic:cNvPr descr="screenshots/1_landing_pag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104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4364181"/>
            <wp:effectExtent b="0" l="0" r="0" t="0"/>
            <wp:docPr descr="Validation messages" title="" id="31" name="Picture"/>
            <a:graphic>
              <a:graphicData uri="http://schemas.openxmlformats.org/drawingml/2006/picture">
                <pic:pic>
                  <pic:nvPicPr>
                    <pic:cNvPr descr="screenshots/2_validation_erro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2933700" cy="5334000"/>
            <wp:effectExtent b="0" l="0" r="0" t="0"/>
            <wp:docPr descr="Review before submit" title="" id="34" name="Picture"/>
            <a:graphic>
              <a:graphicData uri="http://schemas.openxmlformats.org/drawingml/2006/picture">
                <pic:pic>
                  <pic:nvPicPr>
                    <pic:cNvPr descr="screenshots/3_review_before_subm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before submit</w:t>
      </w:r>
    </w:p>
    <w:p>
      <w:pPr>
        <w:pStyle w:val="CaptionedFigure"/>
      </w:pPr>
      <w:r>
        <w:drawing>
          <wp:inline>
            <wp:extent cx="2933700" cy="2853690"/>
            <wp:effectExtent b="0" l="0" r="0" t="0"/>
            <wp:docPr descr="PDF preview and Download PDF button" title="" id="37" name="Picture"/>
            <a:graphic>
              <a:graphicData uri="http://schemas.openxmlformats.org/drawingml/2006/picture">
                <pic:pic>
                  <pic:nvPicPr>
                    <pic:cNvPr descr="screenshots/4_pdf_preview_and_downloa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53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preview and Download PDF button</w:t>
      </w:r>
    </w:p>
    <w:p>
      <w:pPr>
        <w:pStyle w:val="CaptionedFigure"/>
      </w:pPr>
      <w:r>
        <w:drawing>
          <wp:inline>
            <wp:extent cx="3467100" cy="6303818"/>
            <wp:effectExtent b="0" l="0" r="0" t="0"/>
            <wp:docPr descr="Staff dashboard" title="" id="40" name="Picture"/>
            <a:graphic>
              <a:graphicData uri="http://schemas.openxmlformats.org/drawingml/2006/picture">
                <pic:pic>
                  <pic:nvPicPr>
                    <pic:cNvPr descr="screenshots/6_staff_dashboar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30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dashboard</w:t>
      </w:r>
    </w:p>
    <w:p>
      <w:pPr>
        <w:pStyle w:val="CaptionedFigure"/>
      </w:pPr>
      <w:r>
        <w:drawing>
          <wp:inline>
            <wp:extent cx="4000500" cy="5657850"/>
            <wp:effectExtent b="0" l="0" r="0" t="0"/>
            <wp:docPr descr="Sample generated PDF" title="" id="43" name="Picture"/>
            <a:graphic>
              <a:graphicData uri="http://schemas.openxmlformats.org/drawingml/2006/picture">
                <pic:pic>
                  <pic:nvPicPr>
                    <pic:cNvPr descr="screenshots/8_sample_pdf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generated PDF</w:t>
      </w:r>
    </w:p>
    <w:bookmarkEnd w:id="45"/>
    <w:bookmarkStart w:id="46" w:name="limitations-and-future-work"/>
    <w:p>
      <w:pPr>
        <w:pStyle w:val="Heading1"/>
      </w:pPr>
      <w:r>
        <w:t xml:space="preserve">9. Limitations and Future Work</w:t>
      </w:r>
    </w:p>
    <w:p>
      <w:pPr>
        <w:numPr>
          <w:ilvl w:val="0"/>
          <w:numId w:val="1003"/>
        </w:numPr>
        <w:pStyle w:val="Compact"/>
      </w:pPr>
      <w:r>
        <w:t xml:space="preserve">On free hosting the disk is ephemeral; for production use a persistent volume or hosted database.</w:t>
      </w:r>
    </w:p>
    <w:p>
      <w:pPr>
        <w:numPr>
          <w:ilvl w:val="0"/>
          <w:numId w:val="1003"/>
        </w:numPr>
        <w:pStyle w:val="Compact"/>
      </w:pPr>
      <w:r>
        <w:t xml:space="preserve">Students are not authenticated (anyone can apply under any roll number); college SSO or e-mail OTP is the production fix. Printed, signed forms remain the legal record.</w:t>
      </w:r>
    </w:p>
    <w:p>
      <w:pPr>
        <w:numPr>
          <w:ilvl w:val="0"/>
          <w:numId w:val="1003"/>
        </w:numPr>
        <w:pStyle w:val="Compact"/>
      </w:pPr>
      <w:r>
        <w:t xml:space="preserve">Staff roles are flat; per-department HoD scoping and SMS alerts are natural extensions.</w:t>
      </w:r>
    </w:p>
    <w:p>
      <w:pPr>
        <w:numPr>
          <w:ilvl w:val="0"/>
          <w:numId w:val="1003"/>
        </w:numPr>
        <w:pStyle w:val="Compact"/>
      </w:pPr>
      <w:r>
        <w:t xml:space="preserve">Student signature is an uploaded image; a drawn-signature pad could be added.</w:t>
      </w:r>
    </w:p>
    <w:bookmarkEnd w:id="46"/>
    <w:bookmarkStart w:id="47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The application meets all mandatory requirements and several bonus features, producing a single-page PDF that keeps the institute’s requisition format while leaving all official-use fields blank.</w:t>
      </w:r>
    </w:p>
    <w:p>
      <w:pPr>
        <w:pStyle w:val="BodyText"/>
      </w:pPr>
      <w:r>
        <w:rPr>
          <w:bCs/>
          <w:b/>
        </w:rPr>
        <w:t xml:space="preserve">Deployed link:</w:t>
      </w:r>
      <w:r>
        <w:t xml:space="preserve"> </w:t>
      </w:r>
      <w:r>
        <w:t xml:space="preserve">______________________________________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Web-Based Student Academic Requisition Form with PDF Generation</dc:title>
  <dc:creator/>
  <cp:keywords/>
  <dcterms:created xsi:type="dcterms:W3CDTF">2026-10-07T13:39:20Z</dcterms:created>
  <dcterms:modified xsi:type="dcterms:W3CDTF">2026-10-07T13:39:20Z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Short Project Report</vt:lpwstr>
  </property>
</Properties>
</file>