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Subject-Independent EEG Mental-Workload Classification on STEW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Baselines · artifact analysis · augmentation · proposed artifact-robust training (ACCT)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1. </w:t>
      </w:r>
      <w:r>
        <w:rPr>
          <w:rFonts w:ascii="Calibri" w:cs="Calibri" w:eastAsia="Calibri" w:hAnsi="Calibri"/>
          <w:sz w:val="19"/>
          <w:szCs w:val="19"/>
        </w:rPr>
        <w:t xml:space="preserve">Key numbers at a glance.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Best baseline (Spectral + LR), balanced accuracy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0.829  [0.796, 0.861]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Best deep baseline (ATCNet)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0.803 ± 0.010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Best model without F7/F8/T7/T8 (ATCNet)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0.783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Largest augmentation gain (EEG Conformer, 12 subjects, CWGAN-GP)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+8.2 points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vs. standard training, EEGNet (validation subjects)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0.807 vs. 0.768  (+3.8, p_Holm = 0.035)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Prediction flips under injected artifacts ×3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24.5% → 7.0%</w:t>
            </w:r>
          </w:p>
        </w:tc>
      </w:tr>
      <w:tr>
        <w:tc>
          <w:tcPr>
            <w:tcW w:type="dxa" w:w="6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Calibration error (ECE)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0.064 → 0.030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1. Data and protocol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Setting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Dataset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STEW: 48 subjects, Emotiv EPOC, 14 channels, 128 Hz; rest vs. SIMKAP multitasking, 150 s each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Channels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AF3 F7 F3 FC5 T7 P7 O1 O2 P8 T8 FC6 F4 F8 AF4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Filtering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0.5–45 Hz, 4th-order Butterworth, zero-phase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Windows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s (512 samples), 50% overlap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Artifact rejection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Peak-to-peak &gt; median + 60 × MAD, per subject, class-agnostic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Normalisation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z-score per window and channel (no per-recording normalisation: would leak the label)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Split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10-fold cross-validation by subject; each subject tested once; 5 seeds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Validation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15% of training subjects (subject-disjoint), early stopping only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Deep training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AdamW, lr 1e-3, batch 64, cosine schedule + warm-up, ≤ 100 epochs, same recipe for all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Metrics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Balanced accuracy (primary), accuracy, macro-F1, κ, MCC, ROC-AUC, PR-AUC, sensitivity, specificity, Brier, log-loss, ECE; window and recording level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Statistics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Subject-cluster bootstrap 95% CI; Friedman + Nemenyi; Wilcoxon signed-rank + Holm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Hardware</w:t>
            </w:r>
          </w:p>
        </w:tc>
        <w:tc>
          <w:tcPr>
            <w:tcW w:type="dxa" w:w="64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NVIDIA RTX A4000 16 GB, NGC PyTorch 26.07 container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Baseline benchmark (25 models)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2. </w:t>
      </w:r>
      <w:r>
        <w:rPr>
          <w:rFonts w:ascii="Calibri" w:cs="Calibri" w:eastAsia="Calibri" w:hAnsi="Calibri"/>
          <w:sz w:val="19"/>
          <w:szCs w:val="19"/>
        </w:rPr>
        <w:t xml:space="preserve">Subject-independent results, mean ± SD over 5 seeds. † uses unlabelled test-subject data (transductive).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450"/>
        <w:gridCol w:w="1050"/>
        <w:gridCol w:w="1250"/>
        <w:gridCol w:w="700"/>
        <w:gridCol w:w="700"/>
        <w:gridCol w:w="700"/>
        <w:gridCol w:w="826"/>
      </w:tblGrid>
      <w:tr>
        <w:trPr>
          <w:tblHeader/>
        </w:trP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Model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Family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BAcc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95% CI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AUC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κ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ECE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Rec. Acc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Spectral + LR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Feature-based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0.829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[0.796, 0.861]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0.904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0.658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0.022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0.938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Spectral + SVM (RBF)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Feature-based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0.829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[0.791, 0.865]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0.903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0.018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0.906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Spectral + sLDA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Feature-based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0.827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[0.795, 0.858]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0.905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0.061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0.958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Riemann re-centred TS + LR †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Riemannian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0.825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[0.778, 0.865]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0.895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0.650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0.979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Spectral + RF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Feature-based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0.821 ± 0.002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[0.786, 0.854]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0.897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0.641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0.097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0.927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Spectral + GBDT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Feature-based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0.805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[0.769, 0.840]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0.893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0.609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0.037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0.917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ATCNet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transformer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0.803 ± 0.010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[0.764, 0.841]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0.882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0.605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0.062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0.898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EEGNet-8,2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0.801 ± 0.014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[0.763, 0.839]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0.872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0.602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0.044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0.900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EEG-TCNet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0.797 ± 0.004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[0.757, 0.836]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0.594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0.054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0.879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Riemann TS + LR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Riemannian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0.795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[0.757, 0.831]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0.590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0.040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0.885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TSception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0.794 ± 0.006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[0.756, 0.830]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0.587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0.030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0.885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ShallowConvNet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0.785 ± 0.012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[0.750, 0.819]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0.860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0.570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0.057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0.871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1D-CNN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Generic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0.784 ± 0.004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[0.747, 0.819]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0.855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0.567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0.049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0.875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Conformer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transformer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0.778 ± 0.005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[0.739, 0.815]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0.858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0.553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0.135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0.873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CNN-LSTM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Generic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0.776 ± 0.012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[0.742, 0.811]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0.831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0.552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0.071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0.873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GRU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Recurrent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0.766 ± 0.005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[0.730, 0.801]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0.830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0.531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0.057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0.854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BiLSTM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Recurrent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0.765 ± 0.005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[0.731, 0.798]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0.529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0.045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0.871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LSTM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Recurrent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0.763 ± 0.014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[0.732, 0.792]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0.824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0.525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0.035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0.902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DGCNN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Graph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0.761 ± 0.010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[0.725, 0.796]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0.832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0.522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0.047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0.885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Swin (STFT)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Vision transformer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0.740 ± 0.013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[0.706, 0.774]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0.817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0.480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0.082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0.844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ViT (STFT)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Vision transformer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0.734 ± 0.008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[0.699, 0.768]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0.805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0.468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0.066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0.827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Electrode GCN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Graph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0.724 ± 0.009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[0.685, 0.762]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0.799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0.446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0.034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0.819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Riemann MDM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Riemannian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0.713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[0.665, 0.762]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0.783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0.426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0.191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0.729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Vanilla RNN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Recurrent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0.703 ± 0.009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[0.677, 0.730]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0.753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0.407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0.034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0.867</w:t>
            </w:r>
          </w:p>
        </w:tc>
      </w:tr>
      <w:tr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DeepConvNet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EEG CNN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0.633 ± 0.087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[0.591, 0.678]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0.769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0.268</w:t>
            </w:r>
          </w:p>
        </w:tc>
        <w:tc>
          <w:tcPr>
            <w:tcW w:type="dxa" w:w="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0.216</w:t>
            </w:r>
          </w:p>
        </w:tc>
        <w:tc>
          <w:tcPr>
            <w:tcW w:type="dxa" w:w="8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0.656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Classical models are deterministic given the folds (SD = 0), except RF. Rec. Acc = accuracy after averaging each 150 s recording.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2387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Figure 1.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Balanced accuracy with 95% subject-bootstrap CIs, by model family.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Friedman: </w:t>
      </w:r>
      <w:r>
        <w:rPr>
          <w:rFonts w:ascii="Calibri" w:cs="Calibri" w:eastAsia="Calibri" w:hAnsi="Calibri"/>
        </w:rPr>
        <w:t xml:space="preserve">χ² = 283.0, p = 4.3 × 10⁻⁴⁶; Nemenyi CD = 5.50 ranks.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Wilcoxon vs. best (Holm): </w:t>
      </w:r>
      <w:r>
        <w:rPr>
          <w:rFonts w:ascii="Calibri" w:cs="Calibri" w:eastAsia="Calibri" w:hAnsi="Calibri"/>
        </w:rPr>
        <w:t xml:space="preserve">significantly worse only for MDM, vanilla RNN, LSTM, DeepConvNet, ViT, Swin, electrode GCN, DGCNN; top EEG CNNs and ATCNet not significantly different.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Overfitting: </w:t>
      </w:r>
      <w:r>
        <w:rPr>
          <w:rFonts w:ascii="Calibri" w:cs="Calibri" w:eastAsia="Calibri" w:hAnsi="Calibri"/>
        </w:rPr>
        <w:t xml:space="preserve">several deep models peak at validation epoch 1–3 (ShallowConvNet, 1D-CNN, ViT, TSception).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Calibration: </w:t>
      </w:r>
      <w:r>
        <w:rPr>
          <w:rFonts w:ascii="Calibri" w:cs="Calibri" w:eastAsia="Calibri" w:hAnsi="Calibri"/>
        </w:rPr>
        <w:t xml:space="preserve">feature models ECE ≈ 0.02; EEG Conformer over-confident (0.135); DeepConvNet unstable across seeds.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3. </w:t>
      </w:r>
      <w:r>
        <w:rPr>
          <w:rFonts w:ascii="Calibri" w:cs="Calibri" w:eastAsia="Calibri" w:hAnsi="Calibri"/>
          <w:sz w:val="19"/>
          <w:szCs w:val="19"/>
        </w:rPr>
        <w:t xml:space="preserve">Model cost (one 4 s window; GPU latency at batch size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1700"/>
        <w:gridCol w:w="1726"/>
      </w:tblGrid>
      <w:tr>
        <w:trPr>
          <w:tblHeader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MFLOPs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GPU latency (ms)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Train time / fold (s)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EEGNet-8,2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1,842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7.7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10.3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EEG-TCNet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3,814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11.5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TSception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7,838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24.2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0.29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18.1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ShallowConvNet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27,682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29.7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6.8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ATCNet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112,650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11.8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2.01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22.8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BiLSTM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140,546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141.6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1.29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23.2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EEG Conformer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745,506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44.4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17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19.2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Task vs. rest band power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4. </w:t>
      </w:r>
      <w:r>
        <w:rPr>
          <w:rFonts w:ascii="Calibri" w:cs="Calibri" w:eastAsia="Calibri" w:hAnsi="Calibri"/>
          <w:sz w:val="19"/>
          <w:szCs w:val="19"/>
        </w:rPr>
        <w:t xml:space="preserve">Largest task − rest differences in log band power (paired t, n = 48, BH-FDR over 70 tests).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2100"/>
        <w:gridCol w:w="2226"/>
      </w:tblGrid>
      <w:tr>
        <w:trPr>
          <w:tblHeader/>
        </w:trP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Band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d_z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q (FDR)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F8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theta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+8.61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+1.24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 × 10⁻⁹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FC6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theta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+6.68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+0.96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8.8 × 10⁻⁷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F8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delta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+5.87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+0.85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9.9 × 10⁻⁶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F8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gamma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+5.78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+0.83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 × 10⁻⁵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T8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theta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+5.59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+0.81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 × 10⁻⁵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AF4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theta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+3.93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+0.57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1.5 × 10⁻³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P8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alpha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−3.02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−0.44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0.016</w:t>
            </w:r>
          </w:p>
        </w:tc>
      </w:tr>
      <w:tr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O2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alpha</w:t>
            </w:r>
          </w:p>
        </w:tc>
        <w:tc>
          <w:tcPr>
            <w:tcW w:type="dxa" w:w="1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−2.88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−0.42</w:t>
            </w:r>
          </w:p>
        </w:tc>
        <w:tc>
          <w:tcPr>
            <w:tcW w:type="dxa" w:w="22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Expected workload pattern: </w:t>
      </w:r>
      <w:r>
        <w:rPr>
          <w:rFonts w:ascii="Calibri" w:cs="Calibri" w:eastAsia="Calibri" w:hAnsi="Calibri"/>
        </w:rPr>
        <w:t xml:space="preserve">frontal theta ↑, posterior alpha ↓.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Artifact sign: </w:t>
      </w:r>
      <w:r>
        <w:rPr>
          <w:rFonts w:ascii="Calibri" w:cs="Calibri" w:eastAsia="Calibri" w:hAnsi="Calibri"/>
        </w:rPr>
        <w:t xml:space="preserve">F7, F8, T8 rise in every band (delta–gamma), typical of eye/muscle activity.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Artifact ablation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5. </w:t>
      </w:r>
      <w:r>
        <w:rPr>
          <w:rFonts w:ascii="Calibri" w:cs="Calibri" w:eastAsia="Calibri" w:hAnsi="Calibri"/>
          <w:sz w:val="19"/>
          <w:szCs w:val="19"/>
        </w:rPr>
        <w:t xml:space="preserve">Balanced accuracy when artifact-prone information is removed (3 seeds, same folds).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300"/>
        <w:gridCol w:w="1600"/>
        <w:gridCol w:w="1400"/>
        <w:gridCol w:w="102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All channels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No gamma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No F7/F8/T7/T8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Both removed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Δ channels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Spectral + SVM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0.829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0.825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0.778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0.785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−5.1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Spectral + LR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0.829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0.824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0.777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0.776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−5.2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Spectral + sLDA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0.819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0.769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−5.7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Riemann TS + LR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0.795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0.799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0.776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0.777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−1.9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ATCNet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0.797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0.783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0.777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−2.0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EEGNet-8,2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0.801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0.795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0.770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−2.1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EEG-TCNet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0.797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0.789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0.775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0.769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−2.2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TSception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0.794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0.805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0.770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−1.4</w:t>
            </w:r>
          </w:p>
        </w:tc>
      </w:tr>
      <w:t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ShallowConvNet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0.785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0.786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0.768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0.759</w:t>
            </w:r>
          </w:p>
        </w:tc>
        <w:tc>
          <w:tcPr>
            <w:tcW w:type="dxa" w:w="10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−1.7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715000" cy="3009900"/>
            <wp:effectExtent t="0" r="0" b="0" l="0"/>
            <wp:docPr id="2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Figure 2.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Effect of removing gamma and the eye-adjacent channels.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Gamma: </w:t>
      </w:r>
      <w:r>
        <w:rPr>
          <w:rFonts w:ascii="Calibri" w:cs="Calibri" w:eastAsia="Calibri" w:hAnsi="Calibri"/>
        </w:rPr>
        <w:t xml:space="preserve">≤ 1 point change → muscle activity is not the main factor.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F7/F8/T7/T8: </w:t>
      </w:r>
      <w:r>
        <w:rPr>
          <w:rFonts w:ascii="Calibri" w:cs="Calibri" w:eastAsia="Calibri" w:hAnsi="Calibri"/>
        </w:rPr>
        <w:t xml:space="preserve">spectral models lose 5–6 points, deep models 1.4–2.2; ranking flips to deep models (ATCNet 0.783).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Still ~0.78 without them: </w:t>
      </w:r>
      <w:r>
        <w:rPr>
          <w:rFonts w:ascii="Calibri" w:cs="Calibri" w:eastAsia="Calibri" w:hAnsi="Calibri"/>
        </w:rPr>
        <w:t xml:space="preserve">most of the decodable signal is neural.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Augmentation: standard vs. GAN vs. diffusion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8 online augmentations, CWGAN-GP and conditional DDPM; generators trained inside each fold on training subjects only; 3 seeds.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6. </w:t>
      </w:r>
      <w:r>
        <w:rPr>
          <w:rFonts w:ascii="Calibri" w:cs="Calibri" w:eastAsia="Calibri" w:hAnsi="Calibri"/>
          <w:sz w:val="19"/>
          <w:szCs w:val="19"/>
        </w:rPr>
        <w:t xml:space="preserve">All training subjects. Δ = paired change vs. none (* Holm p &lt; 0.05).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50"/>
        <w:gridCol w:w="2150"/>
        <w:gridCol w:w="2126"/>
      </w:tblGrid>
      <w:tr>
        <w:trPr>
          <w:tblHeader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Augmentation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EEG Conformer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EEGNet-8,2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ShallowConvNet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0.776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0.801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0.794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Channel dropout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0.801 (+0.027*)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0.807 (+0.007)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0.810 (+0.017)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Mixup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0.798 (+0.023*)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0.795 (−0.006)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0.797 (+0.004)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Gaussian noise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0.792 (+0.017*)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0.801 (+0.001)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0.793 (−0.000)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CWGAN-GP, 50% extra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0.787 (+0.012)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0.778 (−0.021*)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0.779 (−0.015)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CWGAN-GP, 100% extra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0.782 (+0.008)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0.768 (−0.033*)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0.769 (−0.025*)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DDPM, 50% extra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0.770 (−0.004)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0.804 (+0.004)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0.793 (+0.000)</w:t>
            </w:r>
          </w:p>
        </w:tc>
      </w:tr>
      <w:t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DDPM, 100% extra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0.780 (+0.005)</w:t>
            </w:r>
          </w:p>
        </w:tc>
        <w:tc>
          <w:tcPr>
            <w:tcW w:type="dxa" w:w="21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0.790 (−0.010)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0.799 (+0.007)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7. </w:t>
      </w:r>
      <w:r>
        <w:rPr>
          <w:rFonts w:ascii="Calibri" w:cs="Calibri" w:eastAsia="Calibri" w:hAnsi="Calibri"/>
          <w:sz w:val="19"/>
          <w:szCs w:val="19"/>
        </w:rPr>
        <w:t xml:space="preserve">Balanced accuracy by number of training subjects per fold (6 / 12 / 24 / all).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350"/>
        <w:gridCol w:w="2376"/>
      </w:tblGrid>
      <w:tr>
        <w:trPr>
          <w:tblHeader/>
        </w:trP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Augmentation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EEG Conformer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EEGNet-8,2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ShallowConvNet</w:t>
            </w:r>
          </w:p>
        </w:tc>
      </w:tr>
      <w:t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.632 / .668 / .773 / .776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.712 / .742 / .775 / .801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.733 / .743 / .774 / .794</w:t>
            </w:r>
          </w:p>
        </w:tc>
      </w:tr>
      <w:t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CWGAN-GP 100%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.661 / .752 / .764 / .782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.710 / .727 / .738 / .768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.735 / .756 / .777 / .769</w:t>
            </w:r>
          </w:p>
        </w:tc>
      </w:tr>
      <w:t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DDPM 100%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.641 / .733 / .773 / .780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.703 / .727 / .763 / .790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.726 / .772 / .780 / .799</w:t>
            </w:r>
          </w:p>
        </w:tc>
      </w:tr>
      <w:t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Mixup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.679 / .698 / .780 / .798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.707 / .727 / .770 / .795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.710 / .746 / .775 / .797</w:t>
            </w:r>
          </w:p>
        </w:tc>
      </w:tr>
      <w:t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Channel dropout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.657 / .674 / .778 / .801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.717 / .745 / .780 / .807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.745 / .752 / .788 / .810</w:t>
            </w:r>
          </w:p>
        </w:tc>
      </w:tr>
      <w:t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Frequency shift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.698 / .686 / .762 / .789</w:t>
            </w:r>
          </w:p>
        </w:tc>
        <w:tc>
          <w:tcPr>
            <w:tcW w:type="dxa" w:w="2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.732 / .745 / .773 / .800</w:t>
            </w:r>
          </w:p>
        </w:tc>
        <w:tc>
          <w:tcPr>
            <w:tcW w:type="dxa" w:w="23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.714 / .738 / .772 / .788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715000" cy="2047875"/>
            <wp:effectExtent t="0" r="0" b="0" l="0"/>
            <wp:docPr id="3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Figure 3.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Accuracy vs. training subjects per fold.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8. </w:t>
      </w:r>
      <w:r>
        <w:rPr>
          <w:rFonts w:ascii="Calibri" w:cs="Calibri" w:eastAsia="Calibri" w:hAnsi="Calibri"/>
          <w:sz w:val="19"/>
          <w:szCs w:val="19"/>
        </w:rPr>
        <w:t xml:space="preserve">Synthetic-data quality (mean over folds, seeds, classes). TSTR = train synthetic, test real; TRTR = real →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50"/>
        <w:gridCol w:w="1000"/>
        <w:gridCol w:w="950"/>
        <w:gridCol w:w="1000"/>
        <w:gridCol w:w="1050"/>
        <w:gridCol w:w="950"/>
        <w:gridCol w:w="950"/>
        <w:gridCol w:w="926"/>
      </w:tblGrid>
      <w:tr>
        <w:trPr>
          <w:tblHeader/>
        </w:trP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Subjects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Generator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LSD (dB)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MMD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Density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Coverage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Memor.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TSTR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TRTR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CWGAN-GP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2.79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0.074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0.648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0.325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0.981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0.603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0.690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DDPM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3.92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0.321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0.446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0.138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0.989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0.647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0.690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CWGAN-GP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2.71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0.046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0.732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0.365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0.952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0.582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0.713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DDPM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3.65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0.141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1.081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0.367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0.931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0.688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0.713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CWGAN-GP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2.85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0.037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1.068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0.488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0.935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0.599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0.747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DDPM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4.67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0.211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0.985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0.403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0.915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0.709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0.747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CWGAN-GP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2.55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0.034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1.278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0.572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0.941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0.600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0.760</w:t>
            </w:r>
          </w:p>
        </w:tc>
      </w:tr>
      <w:tr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12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DDPM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5.12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0.246</w:t>
            </w:r>
          </w:p>
        </w:tc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0.997</w:t>
            </w:r>
          </w:p>
        </w:tc>
        <w:tc>
          <w:tcPr>
            <w:tcW w:type="dxa" w:w="10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0.453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0.907</w:t>
            </w:r>
          </w:p>
        </w:tc>
        <w:tc>
          <w:tcPr>
            <w:tcW w:type="dxa" w:w="9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0.707</w:t>
            </w:r>
          </w:p>
        </w:tc>
        <w:tc>
          <w:tcPr>
            <w:tcW w:type="dxa" w:w="9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Few subjects (12): </w:t>
      </w:r>
      <w:r>
        <w:rPr>
          <w:rFonts w:ascii="Calibri" w:cs="Calibri" w:eastAsia="Calibri" w:hAnsi="Calibri"/>
        </w:rPr>
        <w:t xml:space="preserve">synthetic data helps the transformer: Conformer +8.2 (CWGAN), +6.4 (DDPM); ShallowConvNet + DDPM +3.0.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All subjects: </w:t>
      </w:r>
      <w:r>
        <w:rPr>
          <w:rFonts w:ascii="Calibri" w:cs="Calibri" w:eastAsia="Calibri" w:hAnsi="Calibri"/>
        </w:rPr>
        <w:t xml:space="preserve">CWGAN hurts EEGNet (−3.3) and ShallowConvNet (−2.5); DDPM neutral; channel dropout most consistent.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Fidelity ≠ usefulness: </w:t>
      </w:r>
      <w:r>
        <w:rPr>
          <w:rFonts w:ascii="Calibri" w:cs="Calibri" w:eastAsia="Calibri" w:hAnsi="Calibri"/>
        </w:rPr>
        <w:t xml:space="preserve">CWGAN matches spectra better (lower LSD/MMD) but carries less class information (TSTR 0.60 vs. 0.71).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Proposed method: ACCT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Artifact-counterfactual consistency training: the classifier is trained to give the same prediction for a window and for a copy with eye/muscle artifacts added or removed. No extra sensor (EOG) needed; inference is unchanged.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076575"/>
            <wp:effectExtent t="0" r="0" b="0" l="0"/>
            <wp:docPr id="4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Figure 4.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ACCT training scheme.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9. </w:t>
      </w:r>
      <w:r>
        <w:rPr>
          <w:rFonts w:ascii="Calibri" w:cs="Calibri" w:eastAsia="Calibri" w:hAnsi="Calibri"/>
          <w:sz w:val="19"/>
          <w:szCs w:val="19"/>
        </w:rPr>
        <w:t xml:space="preserve">Components.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Artifact bank</w:t>
            </w:r>
          </w:p>
        </w:tc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fold, training subjects only, both classes pooled. Ocular: frontal-dominant principal components of &lt; 4 Hz activity + bank of real waveforms. EMG: channel profile of excess 20–45 Hz power.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Counterfactual generator</w:t>
            </w:r>
          </w:p>
        </w:tc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 window, label-independent: add ocular (p = 0.5), remove ocular subspace (p = 0.3), add EMG bursts (p = 0.5); re-z-scored.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Consistency loss</w:t>
            </w:r>
          </w:p>
        </w:tc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 = ½ CE(x, y) + ½ CE(x̃, y) + λ · ½ [KL(p(x)‖p(x̃)) + KL(p(x̃)‖p(x))],  λ = 3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Channel dropout</w:t>
            </w:r>
          </w:p>
        </w:tc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Whole channels zeroed at random during training.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Encoder</w:t>
            </w:r>
          </w:p>
        </w:tc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Any network. EEGNet for development; ATCNet, TSception, EEG-TCNet and SpecNet (differentiable spectral model, ~7k parameters) in round 3.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10. </w:t>
      </w:r>
      <w:r>
        <w:rPr>
          <w:rFonts w:ascii="Calibri" w:cs="Calibri" w:eastAsia="Calibri" w:hAnsi="Calibri"/>
          <w:sz w:val="19"/>
          <w:szCs w:val="19"/>
        </w:rPr>
        <w:t xml:space="preserve">Development results, EEGNet, validation subjects only (3 seeds). CD = channel dropout.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50"/>
        <w:gridCol w:w="850"/>
        <w:gridCol w:w="850"/>
        <w:gridCol w:w="1600"/>
        <w:gridCol w:w="1400"/>
        <w:gridCol w:w="876"/>
      </w:tblGrid>
      <w:tr>
        <w:trPr>
          <w:tblHeader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Training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Clean BAcc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AUC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ECE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BAcc F7/F8/T7/T8 = 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BAcc high-ocular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5"/>
                <w:szCs w:val="15"/>
              </w:rPr>
              <w:t xml:space="preserve">Natural gap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Standard (ERM)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0.768 ± 0.007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0.836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0.064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0.630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0.698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+0.107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Channel dropout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0.778 ± 0.020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0.849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0.058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0.683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0.710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+0.105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Counterfactuals only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0.768 ± 0.007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0.839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0.061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0.635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ACCT λ = 1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0.780 ± 0.012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0.854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0.056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0.663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0.716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+0.099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ACCT λ = 3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0.790 ± 0.011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0.860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0.046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0.673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0.726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+0.099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ACCT + CD λ = 1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0.792 ± 0.002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0.871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0.032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0.711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0.718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+0.120</w:t>
            </w:r>
          </w:p>
        </w:tc>
      </w:tr>
      <w:t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ACCT + CD λ = 3</w:t>
            </w:r>
          </w:p>
        </w:tc>
        <w:tc>
          <w:tcPr>
            <w:tcW w:type="dxa" w:w="13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0.807 ± 0.008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0.880</w:t>
            </w:r>
          </w:p>
        </w:tc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0.030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0.710</w:t>
            </w:r>
          </w:p>
        </w:tc>
        <w:tc>
          <w:tcPr>
            <w:tcW w:type="dxa" w:w="1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0.730</w:t>
            </w:r>
          </w:p>
        </w:tc>
        <w:tc>
          <w:tcPr>
            <w:tcW w:type="dxa" w:w="87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+0.117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11. </w:t>
      </w:r>
      <w:r>
        <w:rPr>
          <w:rFonts w:ascii="Calibri" w:cs="Calibri" w:eastAsia="Calibri" w:hAnsi="Calibri"/>
          <w:sz w:val="19"/>
          <w:szCs w:val="19"/>
        </w:rPr>
        <w:t xml:space="preserve">Injected-artifact stress test: balanced accuracy / predictions flipped.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26"/>
      </w:tblGrid>
      <w:tr>
        <w:trPr>
          <w:tblHeader/>
        </w:trP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Training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Strength ×1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Strength ×2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Strength ×3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(ERM)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0.752 / 7.6%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0.707 / 17.5%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0.667 / 24.5%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Channel dropout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0.771 / 4.8%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0.748 / 11.0%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0.723 / 16.7%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Counterfactuals only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0.766 / 4.2%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0.752 / 9.7%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0.732 / 15.1%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λ = 1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0.776 / 3.7%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0.765 / 8.2%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0.744 / 13.4%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λ = 3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0.761 / 10.6%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+ CD λ = 1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0.778 / 7.8%</w:t>
            </w:r>
          </w:p>
        </w:tc>
      </w:tr>
      <w:tr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ACCT + CD λ = 3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4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0.793 / 7.0%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715000" cy="2133600"/>
            <wp:effectExtent t="0" r="0" b="0" l="0"/>
            <wp:docPr id="5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Figure 5.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Clean vs. channel-ablated accuracy (left); flips under injected artifacts (right).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Table 12. </w:t>
      </w:r>
      <w:r>
        <w:rPr>
          <w:rFonts w:ascii="Calibri" w:cs="Calibri" w:eastAsia="Calibri" w:hAnsi="Calibri"/>
          <w:sz w:val="19"/>
          <w:szCs w:val="19"/>
        </w:rPr>
        <w:t xml:space="preserve">Paired per-subject tests vs. standard training (Wilcoxon, Holm).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Training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Δ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p_Holm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+ CD λ = 3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Clean BAcc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+0.038 [+0.017, +0.060]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0.035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+ CD λ = 3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BAcc, F7/F8/T7/T8 zeroed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+0.079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0.00059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+ CD λ = 1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BAcc, F7/F8/T7/T8 zeroed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+0.081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 × 10⁻⁶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λ = 3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BAcc, F7/F8/T7/T8 zeroed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+0.043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0.0025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λ = 1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Clean BAcc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+0.012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0.14 (n.s.)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Counterfactuals only</w:t>
            </w:r>
          </w:p>
        </w:tc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Clean BAcc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0</w:t>
            </w:r>
          </w:p>
        </w:tc>
        <w:tc>
          <w:tcPr>
            <w:tcW w:type="dxa" w:w="1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n.s.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Active ingredient: </w:t>
      </w:r>
      <w:r>
        <w:rPr>
          <w:rFonts w:ascii="Calibri" w:cs="Calibri" w:eastAsia="Calibri" w:hAnsi="Calibri"/>
        </w:rPr>
        <w:t xml:space="preserve">the consistency term (counterfactuals alone give no clean gain).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Best configuration: </w:t>
      </w:r>
      <w:r>
        <w:rPr>
          <w:rFonts w:ascii="Calibri" w:cs="Calibri" w:eastAsia="Calibri" w:hAnsi="Calibri"/>
        </w:rPr>
        <w:t xml:space="preserve">ACCT + channel dropout, λ =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Limitations: </w:t>
      </w:r>
      <w:r>
        <w:rPr>
          <w:rFonts w:ascii="Calibri" w:cs="Calibri" w:eastAsia="Calibri" w:hAnsi="Calibri"/>
        </w:rPr>
        <w:t xml:space="preserve">stress test uses the same artifact family as training; natural gap (most vs. least eye-active windows) unchanged at ≈ 0.10–0.12; validation subjects only, test run pending.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25-model benchmark, neurophysiology, ablations, augmentation study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ACCT development rounds 1–2 (EEGNet)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Round 3: ACCT on ATCNet, TSception, EEG-TCNet, SpecNet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Running</w:t>
            </w:r>
          </w:p>
        </w:tc>
      </w:tr>
      <w:t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Final held-out test (5 seeds, run once after design freeze)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Confirmation on a second dataset (e.g. COG-BCI)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662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 recordings: Emotiv EPOC + Meta Quest 3S (after ethics approval)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Planned</w:t>
            </w:r>
          </w:p>
        </w:tc>
      </w:tr>
    </w:tbl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C9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F568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e90775ddbef19627399ac285f50ddcbed99fead.png"/><Relationship Id="rId9" Type="http://schemas.openxmlformats.org/officeDocument/2006/relationships/image" Target="media/ae483e9cd33e8962ebd295d9f604b0055b5dea2c.png"/><Relationship Id="rId10" Type="http://schemas.openxmlformats.org/officeDocument/2006/relationships/image" Target="media/84ba4fccd0ba162fa9251694b3f5d444fe1dfe46.png"/><Relationship Id="rId11" Type="http://schemas.openxmlformats.org/officeDocument/2006/relationships/image" Target="media/3c0428f934a95a42e5a8e093653ad97216af0726.png"/><Relationship Id="rId12" Type="http://schemas.openxmlformats.org/officeDocument/2006/relationships/image" Target="media/f44ea5a05f18ee31d13335cc89ff79c6dea6054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STEW workload classification results</dc:title>
  <cp:lastModifiedBy>Un-named</cp:lastModifiedBy>
  <cp:revision>1</cp:revision>
  <dcterms:created xsi:type="dcterms:W3CDTF">2026-09-30T12:26:44.882Z</dcterms:created>
  <dcterms:modified xsi:type="dcterms:W3CDTF">2026-09-30T12:26:44.883Z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