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DVA, IPC 498A, IPC 323, IPC 354A, Article 14, Article 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DVA, IPC 498A, IPC 323, IPC 354A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DVA - :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IPC 498A- 2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IPC 323- 2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DPA-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Article 14- : 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Article 21 - 2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