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60"/>
        <w:jc w:val="center"/>
      </w:pPr>
      <w:r>
        <w:rPr>
          <w:rFonts w:ascii="Calibri" w:hAnsi="Calibri"/>
          <w:b/>
          <w:i w:val="0"/>
          <w:color w:val="1B2A4A"/>
          <w:sz w:val="56"/>
        </w:rPr>
        <w:t>RESEARCH PLAN</w:t>
      </w:r>
    </w:p>
    <w:p>
      <w:r>
        <w:rPr>
          <w:color w:val="C49A2A"/>
        </w:rPr>
        <w:t>━━━━━━━━━━━━━━━━━━━━━━━━━━━━━━━━━━━━━━━━━━━━━━━━━━━━━━━━━━━━</w:t>
      </w:r>
    </w:p>
    <w:p>
      <w:pPr>
        <w:spacing w:after="400"/>
        <w:jc w:val="center"/>
      </w:pPr>
      <w:r>
        <w:rPr>
          <w:rFonts w:ascii="Calibri" w:hAnsi="Calibri"/>
          <w:b/>
          <w:i w:val="0"/>
          <w:color w:val="2D2D2D"/>
          <w:sz w:val="28"/>
        </w:rPr>
        <w:t>Assessment of the Use of Digital Tools and Technologies</w:t>
        <w:br/>
        <w:t>by Government Employees for Enhancing</w:t>
        <w:br/>
        <w:t>Workplace Efficiency and Effectiveness</w:t>
      </w:r>
    </w:p>
    <w:p>
      <w:r>
        <w:rPr>
          <w:color w:val="C49A2A"/>
        </w:rPr>
        <w:t>━━━━━━━━━━━━━━━━━━━━━━━━━━━━━━━━━━━━━━━━━━━━━━━━━━━━━━━━━━━━</w:t>
      </w:r>
    </w:p>
    <w:p/>
    <w:p/>
    <w:p/>
    <w:p/>
    <w:p>
      <w:pPr>
        <w:jc w:val="center"/>
      </w:pPr>
      <w:r>
        <w:rPr>
          <w:rFonts w:ascii="Calibri" w:hAnsi="Calibri"/>
          <w:b/>
          <w:color w:val="1B2A4A"/>
          <w:sz w:val="22"/>
        </w:rPr>
        <w:t xml:space="preserve">Prepared By:  </w:t>
      </w:r>
      <w:r>
        <w:rPr>
          <w:rFonts w:ascii="Calibri" w:hAnsi="Calibri"/>
          <w:color w:val="2D2D2D"/>
          <w:sz w:val="22"/>
        </w:rPr>
        <w:t>Aryan Kori</w:t>
      </w:r>
    </w:p>
    <w:p>
      <w:pPr>
        <w:jc w:val="center"/>
      </w:pPr>
      <w:r>
        <w:rPr>
          <w:rFonts w:ascii="Calibri" w:hAnsi="Calibri"/>
          <w:b/>
          <w:color w:val="1B2A4A"/>
          <w:sz w:val="22"/>
        </w:rPr>
        <w:t xml:space="preserve">Institution:  </w:t>
      </w:r>
      <w:r>
        <w:rPr>
          <w:rFonts w:ascii="Calibri" w:hAnsi="Calibri"/>
          <w:color w:val="2D2D2D"/>
          <w:sz w:val="22"/>
        </w:rPr>
        <w:t>Atal Bihari Vajpayee Institute of Good Governance</w:t>
        <w:br/>
        <w:t>and Policy Analysis (AIGGPA), Bhopal</w:t>
      </w:r>
    </w:p>
    <w:p>
      <w:pPr>
        <w:jc w:val="center"/>
      </w:pPr>
      <w:r>
        <w:rPr>
          <w:rFonts w:ascii="Calibri" w:hAnsi="Calibri"/>
          <w:b/>
          <w:color w:val="1B2A4A"/>
          <w:sz w:val="22"/>
        </w:rPr>
        <w:t xml:space="preserve">Departments:  </w:t>
      </w:r>
      <w:r>
        <w:rPr>
          <w:rFonts w:ascii="Calibri" w:hAnsi="Calibri"/>
          <w:color w:val="2D2D2D"/>
          <w:sz w:val="22"/>
        </w:rPr>
        <w:t>Revenue, Rural Development, Forest, Health</w:t>
      </w:r>
    </w:p>
    <w:p>
      <w:pPr>
        <w:jc w:val="center"/>
      </w:pPr>
      <w:r>
        <w:rPr>
          <w:rFonts w:ascii="Calibri" w:hAnsi="Calibri"/>
          <w:b/>
          <w:color w:val="1B2A4A"/>
          <w:sz w:val="22"/>
        </w:rPr>
        <w:t xml:space="preserve">Date:  </w:t>
      </w:r>
      <w:r>
        <w:rPr>
          <w:rFonts w:ascii="Calibri" w:hAnsi="Calibri"/>
          <w:color w:val="2D2D2D"/>
          <w:sz w:val="22"/>
        </w:rPr>
        <w:t>April 2026</w:t>
      </w:r>
    </w:p>
    <w:p>
      <w:r>
        <w:br w:type="page"/>
      </w:r>
    </w:p>
    <w:p>
      <w:pPr>
        <w:pStyle w:val="Heading1"/>
      </w:pPr>
      <w:r>
        <w:rPr>
          <w:rFonts w:ascii="Calibri" w:hAnsi="Calibri"/>
          <w:color w:val="1B2A4A"/>
        </w:rPr>
        <w:t>PART 1 — KEY OBJECTIVES</w:t>
      </w:r>
    </w:p>
    <w:p>
      <w:pPr>
        <w:pStyle w:val="Heading2"/>
      </w:pPr>
      <w:r>
        <w:rPr>
          <w:rFonts w:ascii="Calibri" w:hAnsi="Calibri"/>
          <w:color w:val="1B2A4A"/>
        </w:rPr>
        <w:t>Objective 1: Digital Infrastructure, Awareness &amp; Usage Assessment</w:t>
      </w:r>
    </w:p>
    <w:p>
      <w:r>
        <w:rPr>
          <w:rFonts w:ascii="Calibri" w:hAnsi="Calibri"/>
          <w:b/>
          <w:color w:val="1B2A4A"/>
          <w:sz w:val="21"/>
        </w:rPr>
        <w:t xml:space="preserve">Question this answers: </w:t>
      </w:r>
      <w:r>
        <w:rPr>
          <w:rFonts w:ascii="Calibri" w:hAnsi="Calibri"/>
          <w:color w:val="2D2D2D"/>
          <w:sz w:val="21"/>
        </w:rPr>
        <w:t>What is the current status of digital infrastructure, and to what extent are government employees aware of and using digital tools?</w:t>
      </w:r>
    </w:p>
    <w:p>
      <w:pPr>
        <w:spacing w:after="80"/>
      </w:pPr>
      <w:r>
        <w:rPr>
          <w:rFonts w:ascii="Calibri" w:hAnsi="Calibri"/>
          <w:b/>
          <w:i w:val="0"/>
          <w:color w:val="1B2A4A"/>
          <w:sz w:val="21"/>
        </w:rPr>
        <w:t>Data / Information Needed:</w:t>
      </w:r>
    </w:p>
    <w:p>
      <w:pPr>
        <w:pStyle w:val="ListBullet"/>
      </w:pPr>
      <w:r>
        <w:rPr>
          <w:rFonts w:ascii="Calibri" w:hAnsi="Calibri"/>
          <w:color w:val="2D2D2D"/>
          <w:sz w:val="21"/>
        </w:rPr>
        <w:t>Inventory of digital devices per employee (desktops, laptops, tablets, smartphones)</w:t>
      </w:r>
    </w:p>
    <w:p>
      <w:pPr>
        <w:pStyle w:val="ListBullet"/>
      </w:pPr>
      <w:r>
        <w:rPr>
          <w:rFonts w:ascii="Calibri" w:hAnsi="Calibri"/>
          <w:color w:val="2D2D2D"/>
          <w:sz w:val="21"/>
        </w:rPr>
        <w:t>Internet bandwidth and uptime metrics at Head Office and District Office levels</w:t>
      </w:r>
    </w:p>
    <w:p>
      <w:pPr>
        <w:pStyle w:val="ListBullet"/>
      </w:pPr>
      <w:r>
        <w:rPr>
          <w:rFonts w:ascii="Calibri" w:hAnsi="Calibri"/>
          <w:color w:val="2D2D2D"/>
          <w:sz w:val="21"/>
        </w:rPr>
        <w:t>Employee awareness levels across a checklist of tools (e-Office, CPGRAMS, departmental portals, email systems)</w:t>
      </w:r>
    </w:p>
    <w:p>
      <w:pPr>
        <w:pStyle w:val="ListBullet"/>
      </w:pPr>
      <w:r>
        <w:rPr>
          <w:rFonts w:ascii="Calibri" w:hAnsi="Calibri"/>
          <w:color w:val="2D2D2D"/>
          <w:sz w:val="21"/>
        </w:rPr>
        <w:t>Frequency of daily/weekly digital tool usage</w:t>
      </w:r>
    </w:p>
    <w:p>
      <w:pPr>
        <w:pStyle w:val="ListBullet"/>
      </w:pPr>
      <w:r>
        <w:rPr>
          <w:rFonts w:ascii="Calibri" w:hAnsi="Calibri"/>
          <w:color w:val="2D2D2D"/>
          <w:sz w:val="21"/>
        </w:rPr>
        <w:t>Observational field data on physical infrastructure conditions</w:t>
      </w:r>
    </w:p>
    <w:p>
      <w:pPr>
        <w:pStyle w:val="Heading2"/>
      </w:pPr>
      <w:r>
        <w:rPr>
          <w:rFonts w:ascii="Calibri" w:hAnsi="Calibri"/>
          <w:color w:val="1B2A4A"/>
        </w:rPr>
        <w:t>Objective 2: Capacity Building &amp; Training Assessment</w:t>
      </w:r>
    </w:p>
    <w:p>
      <w:r>
        <w:rPr>
          <w:rFonts w:ascii="Calibri" w:hAnsi="Calibri"/>
          <w:b/>
          <w:color w:val="1B2A4A"/>
          <w:sz w:val="21"/>
        </w:rPr>
        <w:t xml:space="preserve">Question this answers: </w:t>
      </w:r>
      <w:r>
        <w:rPr>
          <w:rFonts w:ascii="Calibri" w:hAnsi="Calibri"/>
          <w:color w:val="2D2D2D"/>
          <w:sz w:val="21"/>
        </w:rPr>
        <w:t>What capacity building efforts, training programs, and technical support are being provided?</w:t>
      </w:r>
    </w:p>
    <w:p>
      <w:pPr>
        <w:spacing w:after="80"/>
      </w:pPr>
      <w:r>
        <w:rPr>
          <w:rFonts w:ascii="Calibri" w:hAnsi="Calibri"/>
          <w:b/>
          <w:i w:val="0"/>
          <w:color w:val="1B2A4A"/>
          <w:sz w:val="21"/>
        </w:rPr>
        <w:t>Data / Information Needed:</w:t>
      </w:r>
    </w:p>
    <w:p>
      <w:pPr>
        <w:pStyle w:val="ListBullet"/>
      </w:pPr>
      <w:r>
        <w:rPr>
          <w:rFonts w:ascii="Calibri" w:hAnsi="Calibri"/>
          <w:color w:val="2D2D2D"/>
          <w:sz w:val="21"/>
        </w:rPr>
        <w:t>Number and type of formal IT training programs conducted in the last 2 years</w:t>
      </w:r>
    </w:p>
    <w:p>
      <w:pPr>
        <w:pStyle w:val="ListBullet"/>
      </w:pPr>
      <w:r>
        <w:rPr>
          <w:rFonts w:ascii="Calibri" w:hAnsi="Calibri"/>
          <w:color w:val="2D2D2D"/>
          <w:sz w:val="21"/>
        </w:rPr>
        <w:t>Percentage of employees who attended training, segmented by cadre (Class I–IV)</w:t>
      </w:r>
    </w:p>
    <w:p>
      <w:pPr>
        <w:pStyle w:val="ListBullet"/>
      </w:pPr>
      <w:r>
        <w:rPr>
          <w:rFonts w:ascii="Calibri" w:hAnsi="Calibri"/>
          <w:color w:val="2D2D2D"/>
          <w:sz w:val="21"/>
        </w:rPr>
        <w:t>Duration, content, and format of training programs</w:t>
      </w:r>
    </w:p>
    <w:p>
      <w:pPr>
        <w:pStyle w:val="ListBullet"/>
      </w:pPr>
      <w:r>
        <w:rPr>
          <w:rFonts w:ascii="Calibri" w:hAnsi="Calibri"/>
          <w:color w:val="2D2D2D"/>
          <w:sz w:val="21"/>
        </w:rPr>
        <w:t>Availability of IT helpdesk / on-site technical support</w:t>
      </w:r>
    </w:p>
    <w:p>
      <w:pPr>
        <w:pStyle w:val="ListBullet"/>
      </w:pPr>
      <w:r>
        <w:rPr>
          <w:rFonts w:ascii="Calibri" w:hAnsi="Calibri"/>
          <w:color w:val="2D2D2D"/>
          <w:sz w:val="21"/>
        </w:rPr>
        <w:t>Employee satisfaction scores on training quality and relevance</w:t>
      </w:r>
    </w:p>
    <w:p>
      <w:pPr>
        <w:pStyle w:val="ListBullet"/>
      </w:pPr>
      <w:r>
        <w:rPr>
          <w:rFonts w:ascii="Calibri" w:hAnsi="Calibri"/>
          <w:color w:val="2D2D2D"/>
          <w:sz w:val="21"/>
        </w:rPr>
        <w:t>Mission Karmayogi (iGOT) enrolment and completion records</w:t>
      </w:r>
    </w:p>
    <w:p>
      <w:pPr>
        <w:pStyle w:val="Heading2"/>
      </w:pPr>
      <w:r>
        <w:rPr>
          <w:rFonts w:ascii="Calibri" w:hAnsi="Calibri"/>
          <w:color w:val="1B2A4A"/>
        </w:rPr>
        <w:t>Objective 3: Bottlenecks, Issues &amp; Challenges Identification</w:t>
      </w:r>
    </w:p>
    <w:p>
      <w:r>
        <w:rPr>
          <w:rFonts w:ascii="Calibri" w:hAnsi="Calibri"/>
          <w:b/>
          <w:color w:val="1B2A4A"/>
          <w:sz w:val="21"/>
        </w:rPr>
        <w:t xml:space="preserve">Question this answers: </w:t>
      </w:r>
      <w:r>
        <w:rPr>
          <w:rFonts w:ascii="Calibri" w:hAnsi="Calibri"/>
          <w:color w:val="2D2D2D"/>
          <w:sz w:val="21"/>
        </w:rPr>
        <w:t>What are the major bottlenecks and challenges employees face while using digital tools?</w:t>
      </w:r>
    </w:p>
    <w:p>
      <w:pPr>
        <w:spacing w:after="80"/>
      </w:pPr>
      <w:r>
        <w:rPr>
          <w:rFonts w:ascii="Calibri" w:hAnsi="Calibri"/>
          <w:b/>
          <w:i w:val="0"/>
          <w:color w:val="1B2A4A"/>
          <w:sz w:val="21"/>
        </w:rPr>
        <w:t>Data / Information Needed:</w:t>
      </w:r>
    </w:p>
    <w:p>
      <w:pPr>
        <w:pStyle w:val="ListBullet"/>
      </w:pPr>
      <w:r>
        <w:rPr>
          <w:rFonts w:ascii="Calibri" w:hAnsi="Calibri"/>
          <w:color w:val="2D2D2D"/>
          <w:sz w:val="21"/>
        </w:rPr>
        <w:t>Types and frequency of reported technical issues (connectivity, hardware, software failures)</w:t>
      </w:r>
    </w:p>
    <w:p>
      <w:pPr>
        <w:pStyle w:val="ListBullet"/>
      </w:pPr>
      <w:r>
        <w:rPr>
          <w:rFonts w:ascii="Calibri" w:hAnsi="Calibri"/>
          <w:color w:val="2D2D2D"/>
          <w:sz w:val="21"/>
        </w:rPr>
        <w:t>Perceived difficulty levels (Effort Expectancy — Likert scale)</w:t>
      </w:r>
    </w:p>
    <w:p>
      <w:pPr>
        <w:pStyle w:val="ListBullet"/>
      </w:pPr>
      <w:r>
        <w:rPr>
          <w:rFonts w:ascii="Calibri" w:hAnsi="Calibri"/>
          <w:color w:val="2D2D2D"/>
          <w:sz w:val="21"/>
        </w:rPr>
        <w:t>Attitudinal barriers (resistance to change, digital anxiety, generational gaps)</w:t>
      </w:r>
    </w:p>
    <w:p>
      <w:pPr>
        <w:pStyle w:val="ListBullet"/>
      </w:pPr>
      <w:r>
        <w:rPr>
          <w:rFonts w:ascii="Calibri" w:hAnsi="Calibri"/>
          <w:color w:val="2D2D2D"/>
          <w:sz w:val="21"/>
        </w:rPr>
        <w:t>Organizational barriers (unclear mandates, lack of accountability, missing SOPs)</w:t>
      </w:r>
    </w:p>
    <w:p>
      <w:pPr>
        <w:pStyle w:val="ListBullet"/>
      </w:pPr>
      <w:r>
        <w:rPr>
          <w:rFonts w:ascii="Calibri" w:hAnsi="Calibri"/>
          <w:color w:val="2D2D2D"/>
          <w:sz w:val="21"/>
        </w:rPr>
        <w:t>Focus group narratives on systemic pain points</w:t>
      </w:r>
    </w:p>
    <w:p>
      <w:pPr>
        <w:pStyle w:val="ListBullet"/>
      </w:pPr>
      <w:r>
        <w:rPr>
          <w:rFonts w:ascii="Calibri" w:hAnsi="Calibri"/>
          <w:color w:val="2D2D2D"/>
          <w:sz w:val="21"/>
        </w:rPr>
        <w:t>IT complaint/ticket logs (where available)</w:t>
      </w:r>
    </w:p>
    <w:p>
      <w:pPr>
        <w:pStyle w:val="Heading2"/>
      </w:pPr>
      <w:r>
        <w:rPr>
          <w:rFonts w:ascii="Calibri" w:hAnsi="Calibri"/>
          <w:color w:val="1B2A4A"/>
        </w:rPr>
        <w:t>Objective 4: Recommendations for Efficient Service Delivery</w:t>
      </w:r>
    </w:p>
    <w:p>
      <w:r>
        <w:rPr>
          <w:rFonts w:ascii="Calibri" w:hAnsi="Calibri"/>
          <w:b/>
          <w:color w:val="1B2A4A"/>
          <w:sz w:val="21"/>
        </w:rPr>
        <w:t xml:space="preserve">Question this answers: </w:t>
      </w:r>
      <w:r>
        <w:rPr>
          <w:rFonts w:ascii="Calibri" w:hAnsi="Calibri"/>
          <w:color w:val="2D2D2D"/>
          <w:sz w:val="21"/>
        </w:rPr>
        <w:t>What actions can improve the use of digital tools for effective governance?</w:t>
      </w:r>
    </w:p>
    <w:p>
      <w:pPr>
        <w:spacing w:after="80"/>
      </w:pPr>
      <w:r>
        <w:rPr>
          <w:rFonts w:ascii="Calibri" w:hAnsi="Calibri"/>
          <w:b/>
          <w:i w:val="0"/>
          <w:color w:val="1B2A4A"/>
          <w:sz w:val="21"/>
        </w:rPr>
        <w:t>Data / Information Needed:</w:t>
      </w:r>
    </w:p>
    <w:p>
      <w:pPr>
        <w:pStyle w:val="ListBullet"/>
      </w:pPr>
      <w:r>
        <w:rPr>
          <w:rFonts w:ascii="Calibri" w:hAnsi="Calibri"/>
          <w:color w:val="2D2D2D"/>
          <w:sz w:val="21"/>
        </w:rPr>
        <w:t>Employee-ranked priority areas for improvement</w:t>
      </w:r>
    </w:p>
    <w:p>
      <w:pPr>
        <w:pStyle w:val="ListBullet"/>
      </w:pPr>
      <w:r>
        <w:rPr>
          <w:rFonts w:ascii="Calibri" w:hAnsi="Calibri"/>
          <w:color w:val="2D2D2D"/>
          <w:sz w:val="21"/>
        </w:rPr>
        <w:t>Gap analysis outputs (current state vs. desired state)</w:t>
      </w:r>
    </w:p>
    <w:p>
      <w:pPr>
        <w:pStyle w:val="ListBullet"/>
      </w:pPr>
      <w:r>
        <w:rPr>
          <w:rFonts w:ascii="Calibri" w:hAnsi="Calibri"/>
          <w:color w:val="2D2D2D"/>
          <w:sz w:val="21"/>
        </w:rPr>
        <w:t>Benchmarking data against OECD (2014) and UN DESA (2024) digital government standards</w:t>
      </w:r>
    </w:p>
    <w:p>
      <w:pPr>
        <w:pStyle w:val="ListBullet"/>
      </w:pPr>
      <w:r>
        <w:rPr>
          <w:rFonts w:ascii="Calibri" w:hAnsi="Calibri"/>
          <w:color w:val="2D2D2D"/>
          <w:sz w:val="21"/>
        </w:rPr>
        <w:t>Feasibility and impact assessment of proposed interventions</w:t>
      </w:r>
    </w:p>
    <w:p>
      <w:pPr>
        <w:pStyle w:val="ListBullet"/>
      </w:pPr>
      <w:r>
        <w:rPr>
          <w:rFonts w:ascii="Calibri" w:hAnsi="Calibri"/>
          <w:color w:val="2D2D2D"/>
          <w:sz w:val="21"/>
        </w:rPr>
        <w:t>Alignment check with existing national frameworks (Digital India, Mission Karmayogi)</w:t>
      </w:r>
    </w:p>
    <w:p>
      <w:r>
        <w:br w:type="page"/>
      </w:r>
    </w:p>
    <w:p>
      <w:pPr>
        <w:pStyle w:val="Heading1"/>
      </w:pPr>
      <w:r>
        <w:rPr>
          <w:rFonts w:ascii="Calibri" w:hAnsi="Calibri"/>
          <w:color w:val="1B2A4A"/>
        </w:rPr>
        <w:t>PART 2 — RESEARCH METHODS</w:t>
      </w:r>
    </w:p>
    <w:p>
      <w:pPr>
        <w:pStyle w:val="Heading2"/>
      </w:pPr>
      <w:r>
        <w:rPr>
          <w:rFonts w:ascii="Calibri" w:hAnsi="Calibri"/>
          <w:color w:val="1B2A4A"/>
        </w:rPr>
        <w:t>2.1 Overall Research Design</w:t>
      </w:r>
    </w:p>
    <w:p>
      <w:pPr>
        <w:spacing w:after="120"/>
      </w:pPr>
      <w:r>
        <w:rPr>
          <w:rFonts w:ascii="Calibri" w:hAnsi="Calibri"/>
          <w:b w:val="0"/>
          <w:i w:val="0"/>
          <w:color w:val="2D2D2D"/>
          <w:sz w:val="22"/>
        </w:rPr>
        <w:t>This study adopts a Convergent Parallel Mixed-Methods Design (Creswell, 2014), wherein quantitative and qualitative data are collected concurrently, analysed independently, and then merged during interpretation to provide a comprehensive understanding.</w:t>
      </w:r>
    </w:p>
    <w:p>
      <w:pPr>
        <w:spacing w:after="120"/>
      </w:pPr>
      <w:r>
        <w:rPr>
          <w:rFonts w:ascii="Calibri" w:hAnsi="Calibri"/>
          <w:b w:val="0"/>
          <w:i/>
          <w:color w:val="2D2D2D"/>
          <w:sz w:val="21"/>
        </w:rPr>
        <w:t>Justification: A mixed-methods approach is particularly appropriate for public administration research because quantitative data reveals the “what” (extent of digital tool usage, infrastructure gaps), while qualitative data explains the “why” (attitudes, organisational barriers, lived experience of employees) (Creswell, 2014; Heeks, 2006).</w:t>
      </w:r>
    </w:p>
    <w:p>
      <w:pPr>
        <w:pStyle w:val="Heading2"/>
      </w:pPr>
      <w:r>
        <w:rPr>
          <w:rFonts w:ascii="Calibri" w:hAnsi="Calibri"/>
          <w:color w:val="1B2A4A"/>
        </w:rPr>
        <w:t>2.2 Quantitative Methods</w:t>
      </w:r>
    </w:p>
    <w:p>
      <w:pPr>
        <w:pStyle w:val="Heading3"/>
      </w:pPr>
      <w:r>
        <w:rPr>
          <w:rFonts w:ascii="Calibri" w:hAnsi="Calibri"/>
          <w:color w:val="1B2A4A"/>
        </w:rPr>
        <w:t>2.2.1 Instrument: Structured Schedule</w:t>
      </w:r>
    </w:p>
    <w:p>
      <w:pPr>
        <w:spacing w:after="120"/>
      </w:pPr>
      <w:r>
        <w:rPr>
          <w:rFonts w:ascii="Calibri" w:hAnsi="Calibri"/>
          <w:b w:val="0"/>
          <w:i w:val="0"/>
          <w:color w:val="2D2D2D"/>
          <w:sz w:val="22"/>
        </w:rPr>
        <w:t>A structured schedule will be administered to 320 respondents across 4 departments (Revenue, Rural Development, Forest, Health), stratified by:</w:t>
      </w:r>
    </w:p>
    <w:p>
      <w:pPr>
        <w:pStyle w:val="ListBullet"/>
      </w:pPr>
      <w:r>
        <w:rPr>
          <w:rFonts w:ascii="Calibri" w:hAnsi="Calibri"/>
          <w:color w:val="2D2D2D"/>
          <w:sz w:val="21"/>
        </w:rPr>
        <w:t>Office type: Head Office + District Office</w:t>
      </w:r>
    </w:p>
    <w:p>
      <w:pPr>
        <w:pStyle w:val="ListBullet"/>
      </w:pPr>
      <w:r>
        <w:rPr>
          <w:rFonts w:ascii="Calibri" w:hAnsi="Calibri"/>
          <w:color w:val="2D2D2D"/>
          <w:sz w:val="21"/>
        </w:rPr>
        <w:t>Cadre: Class I through Class IV (10 per class per office)</w:t>
      </w:r>
    </w:p>
    <w:p>
      <w:pPr>
        <w:pStyle w:val="ListBullet"/>
      </w:pPr>
      <w:r>
        <w:rPr>
          <w:rFonts w:ascii="Calibri" w:hAnsi="Calibri"/>
          <w:color w:val="2D2D2D"/>
          <w:sz w:val="21"/>
        </w:rPr>
        <w:t>Age group: 30–45 years and 46–60 years</w:t>
      </w:r>
    </w:p>
    <w:p>
      <w:pPr>
        <w:spacing w:after="120"/>
      </w:pPr>
      <w:r>
        <w:rPr>
          <w:rFonts w:ascii="Calibri" w:hAnsi="Calibri"/>
          <w:b w:val="0"/>
          <w:i w:val="0"/>
          <w:color w:val="2D2D2D"/>
          <w:sz w:val="22"/>
        </w:rPr>
        <w:t>The schedule will contain:</w:t>
      </w:r>
    </w:p>
    <w:p>
      <w:pPr>
        <w:pStyle w:val="ListBullet"/>
      </w:pPr>
      <w:r>
        <w:rPr>
          <w:rFonts w:ascii="Calibri" w:hAnsi="Calibri"/>
          <w:color w:val="2D2D2D"/>
          <w:sz w:val="21"/>
        </w:rPr>
        <w:t>Closed-ended items: Device availability checklists, tool awareness checklists, training attendance (Yes/No)</w:t>
      </w:r>
    </w:p>
    <w:p>
      <w:pPr>
        <w:pStyle w:val="ListBullet"/>
      </w:pPr>
      <w:r>
        <w:rPr>
          <w:rFonts w:ascii="Calibri" w:hAnsi="Calibri"/>
          <w:color w:val="2D2D2D"/>
          <w:sz w:val="21"/>
        </w:rPr>
        <w:t>Likert-scale items (5-point): Internet quality, training satisfaction, perceived difficulty, perceived usefulness</w:t>
      </w:r>
    </w:p>
    <w:p>
      <w:pPr>
        <w:pStyle w:val="ListBullet"/>
      </w:pPr>
      <w:r>
        <w:rPr>
          <w:rFonts w:ascii="Calibri" w:hAnsi="Calibri"/>
          <w:color w:val="2D2D2D"/>
          <w:sz w:val="21"/>
        </w:rPr>
        <w:t>Frequency items: Digital tool usage (Daily / Weekly / Monthly / Rarely / Never)</w:t>
      </w:r>
    </w:p>
    <w:p>
      <w:pPr>
        <w:pStyle w:val="Heading3"/>
      </w:pPr>
      <w:r>
        <w:rPr>
          <w:rFonts w:ascii="Calibri" w:hAnsi="Calibri"/>
          <w:color w:val="1B2A4A"/>
        </w:rPr>
        <w:t>2.2.2 Quantitative Analysis Tools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1B2A4A"/>
          </w:tcPr>
          <w:p>
            <w:pPr>
              <w:jc w:val="center"/>
            </w:pPr>
            <w:r/>
            <w:r>
              <w:rPr>
                <w:rFonts w:ascii="Calibri" w:hAnsi="Calibri"/>
                <w:b/>
                <w:color w:val="FFFFFF"/>
                <w:sz w:val="20"/>
              </w:rPr>
              <w:t>Tool / Technique</w:t>
            </w:r>
          </w:p>
        </w:tc>
        <w:tc>
          <w:tcPr>
            <w:tcW w:type="dxa" w:w="2160"/>
            <w:shd w:fill="1B2A4A"/>
          </w:tcPr>
          <w:p>
            <w:pPr>
              <w:jc w:val="center"/>
            </w:pPr>
            <w:r/>
            <w:r>
              <w:rPr>
                <w:rFonts w:ascii="Calibri" w:hAnsi="Calibri"/>
                <w:b/>
                <w:color w:val="FFFFFF"/>
                <w:sz w:val="20"/>
              </w:rPr>
              <w:t>Purpose</w:t>
            </w:r>
          </w:p>
        </w:tc>
        <w:tc>
          <w:tcPr>
            <w:tcW w:type="dxa" w:w="3168"/>
            <w:shd w:fill="1B2A4A"/>
          </w:tcPr>
          <w:p>
            <w:pPr>
              <w:jc w:val="center"/>
            </w:pPr>
            <w:r/>
            <w:r>
              <w:rPr>
                <w:rFonts w:ascii="Calibri" w:hAnsi="Calibri"/>
                <w:b/>
                <w:color w:val="FFFFFF"/>
                <w:sz w:val="20"/>
              </w:rPr>
              <w:t>Application in This Study</w:t>
            </w:r>
          </w:p>
        </w:tc>
        <w:tc>
          <w:tcPr>
            <w:tcW w:type="dxa" w:w="2160"/>
            <w:shd w:fill="1B2A4A"/>
          </w:tcPr>
          <w:p>
            <w:pPr>
              <w:jc w:val="center"/>
            </w:pPr>
            <w:r/>
            <w:r>
              <w:rPr>
                <w:rFonts w:ascii="Calibri" w:hAnsi="Calibri"/>
                <w:b/>
                <w:color w:val="FFFFFF"/>
                <w:sz w:val="20"/>
              </w:rPr>
              <w:t>Citation</w:t>
            </w:r>
          </w:p>
        </w:tc>
      </w:tr>
      <w:tr>
        <w:tc>
          <w:tcPr>
            <w:tcW w:type="dxa" w:w="2592"/>
          </w:tcPr>
          <w:p>
            <w:r/>
            <w:r>
              <w:rPr>
                <w:rFonts w:ascii="Calibri" w:hAnsi="Calibri"/>
                <w:color w:val="2D2D2D"/>
                <w:sz w:val="19"/>
              </w:rPr>
              <w:t>Descriptive Statistics</w:t>
              <w:br/>
              <w:t>(Frequency, Mean, Median, SD)</w:t>
            </w:r>
          </w:p>
        </w:tc>
        <w:tc>
          <w:tcPr>
            <w:tcW w:type="dxa" w:w="2160"/>
          </w:tcPr>
          <w:p>
            <w:r/>
            <w:r>
              <w:rPr>
                <w:rFonts w:ascii="Calibri" w:hAnsi="Calibri"/>
                <w:color w:val="2D2D2D"/>
                <w:sz w:val="19"/>
              </w:rPr>
              <w:t>Summarise central tendency and spread</w:t>
            </w:r>
          </w:p>
        </w:tc>
        <w:tc>
          <w:tcPr>
            <w:tcW w:type="dxa" w:w="3168"/>
          </w:tcPr>
          <w:p>
            <w:r/>
            <w:r>
              <w:rPr>
                <w:rFonts w:ascii="Calibri" w:hAnsi="Calibri"/>
                <w:color w:val="2D2D2D"/>
                <w:sz w:val="19"/>
              </w:rPr>
              <w:t>Device counts, usage frequency distributions, training attendance rates</w:t>
            </w:r>
          </w:p>
        </w:tc>
        <w:tc>
          <w:tcPr>
            <w:tcW w:type="dxa" w:w="2160"/>
          </w:tcPr>
          <w:p>
            <w:r/>
            <w:r>
              <w:rPr>
                <w:rFonts w:ascii="Calibri" w:hAnsi="Calibri"/>
                <w:color w:val="2D2D2D"/>
                <w:sz w:val="19"/>
              </w:rPr>
              <w:t>Field (2018)</w:t>
            </w:r>
          </w:p>
        </w:tc>
      </w:tr>
      <w:tr>
        <w:tc>
          <w:tcPr>
            <w:tcW w:type="dxa" w:w="2592"/>
            <w:shd w:fill="F2F2F2"/>
          </w:tcPr>
          <w:p>
            <w:r/>
            <w:r>
              <w:rPr>
                <w:rFonts w:ascii="Calibri" w:hAnsi="Calibri"/>
                <w:color w:val="2D2D2D"/>
                <w:sz w:val="19"/>
              </w:rPr>
              <w:t>Cronbach’s Alpha</w:t>
              <w:br/>
              <w:t>(Reliability Testing)</w:t>
            </w:r>
          </w:p>
        </w:tc>
        <w:tc>
          <w:tcPr>
            <w:tcW w:type="dxa" w:w="2160"/>
            <w:shd w:fill="F2F2F2"/>
          </w:tcPr>
          <w:p>
            <w:r/>
            <w:r>
              <w:rPr>
                <w:rFonts w:ascii="Calibri" w:hAnsi="Calibri"/>
                <w:color w:val="2D2D2D"/>
                <w:sz w:val="19"/>
              </w:rPr>
              <w:t>Ensure internal consistency of Likert-scale constructs</w:t>
            </w:r>
          </w:p>
        </w:tc>
        <w:tc>
          <w:tcPr>
            <w:tcW w:type="dxa" w:w="3168"/>
            <w:shd w:fill="F2F2F2"/>
          </w:tcPr>
          <w:p>
            <w:r/>
            <w:r>
              <w:rPr>
                <w:rFonts w:ascii="Calibri" w:hAnsi="Calibri"/>
                <w:color w:val="2D2D2D"/>
                <w:sz w:val="19"/>
              </w:rPr>
              <w:t>Test reliability of PE, EE, FC sub-scales (threshold: α ≥ 0.70)</w:t>
            </w:r>
          </w:p>
        </w:tc>
        <w:tc>
          <w:tcPr>
            <w:tcW w:type="dxa" w:w="2160"/>
            <w:shd w:fill="F2F2F2"/>
          </w:tcPr>
          <w:p>
            <w:r/>
            <w:r>
              <w:rPr>
                <w:rFonts w:ascii="Calibri" w:hAnsi="Calibri"/>
                <w:color w:val="2D2D2D"/>
                <w:sz w:val="19"/>
              </w:rPr>
              <w:t>Cronbach (1951);</w:t>
              <w:br/>
              <w:t>Tavakol &amp; Dennick (2011)</w:t>
            </w:r>
          </w:p>
        </w:tc>
      </w:tr>
      <w:tr>
        <w:tc>
          <w:tcPr>
            <w:tcW w:type="dxa" w:w="2592"/>
          </w:tcPr>
          <w:p>
            <w:r/>
            <w:r>
              <w:rPr>
                <w:rFonts w:ascii="Calibri" w:hAnsi="Calibri"/>
                <w:color w:val="2D2D2D"/>
                <w:sz w:val="19"/>
              </w:rPr>
              <w:t>Cross-Tabulation with</w:t>
              <w:br/>
              <w:t>Chi-Square Test</w:t>
            </w:r>
          </w:p>
        </w:tc>
        <w:tc>
          <w:tcPr>
            <w:tcW w:type="dxa" w:w="2160"/>
          </w:tcPr>
          <w:p>
            <w:r/>
            <w:r>
              <w:rPr>
                <w:rFonts w:ascii="Calibri" w:hAnsi="Calibri"/>
                <w:color w:val="2D2D2D"/>
                <w:sz w:val="19"/>
              </w:rPr>
              <w:t>Examine association between categorical variables</w:t>
            </w:r>
          </w:p>
        </w:tc>
        <w:tc>
          <w:tcPr>
            <w:tcW w:type="dxa" w:w="3168"/>
          </w:tcPr>
          <w:p>
            <w:r/>
            <w:r>
              <w:rPr>
                <w:rFonts w:ascii="Calibri" w:hAnsi="Calibri"/>
                <w:color w:val="2D2D2D"/>
                <w:sz w:val="19"/>
              </w:rPr>
              <w:t>Compare tool usage across departments, cadres, age groups</w:t>
            </w:r>
          </w:p>
        </w:tc>
        <w:tc>
          <w:tcPr>
            <w:tcW w:type="dxa" w:w="2160"/>
          </w:tcPr>
          <w:p>
            <w:r/>
            <w:r>
              <w:rPr>
                <w:rFonts w:ascii="Calibri" w:hAnsi="Calibri"/>
                <w:color w:val="2D2D2D"/>
                <w:sz w:val="19"/>
              </w:rPr>
              <w:t>Field (2018);</w:t>
              <w:br/>
              <w:t>Agresti (2018)</w:t>
            </w:r>
          </w:p>
        </w:tc>
      </w:tr>
      <w:tr>
        <w:tc>
          <w:tcPr>
            <w:tcW w:type="dxa" w:w="2592"/>
            <w:shd w:fill="F2F2F2"/>
          </w:tcPr>
          <w:p>
            <w:r/>
            <w:r>
              <w:rPr>
                <w:rFonts w:ascii="Calibri" w:hAnsi="Calibri"/>
                <w:color w:val="2D2D2D"/>
                <w:sz w:val="19"/>
              </w:rPr>
              <w:t>Mann-Whitney U Test</w:t>
            </w:r>
          </w:p>
        </w:tc>
        <w:tc>
          <w:tcPr>
            <w:tcW w:type="dxa" w:w="2160"/>
            <w:shd w:fill="F2F2F2"/>
          </w:tcPr>
          <w:p>
            <w:r/>
            <w:r>
              <w:rPr>
                <w:rFonts w:ascii="Calibri" w:hAnsi="Calibri"/>
                <w:color w:val="2D2D2D"/>
                <w:sz w:val="19"/>
              </w:rPr>
              <w:t>Compare ordinal data between two independent groups</w:t>
            </w:r>
          </w:p>
        </w:tc>
        <w:tc>
          <w:tcPr>
            <w:tcW w:type="dxa" w:w="3168"/>
            <w:shd w:fill="F2F2F2"/>
          </w:tcPr>
          <w:p>
            <w:r/>
            <w:r>
              <w:rPr>
                <w:rFonts w:ascii="Calibri" w:hAnsi="Calibri"/>
                <w:color w:val="2D2D2D"/>
                <w:sz w:val="19"/>
              </w:rPr>
              <w:t>Compare Likert responses: Head Office vs. District Office</w:t>
            </w:r>
          </w:p>
        </w:tc>
        <w:tc>
          <w:tcPr>
            <w:tcW w:type="dxa" w:w="2160"/>
            <w:shd w:fill="F2F2F2"/>
          </w:tcPr>
          <w:p>
            <w:r/>
            <w:r>
              <w:rPr>
                <w:rFonts w:ascii="Calibri" w:hAnsi="Calibri"/>
                <w:color w:val="2D2D2D"/>
                <w:sz w:val="19"/>
              </w:rPr>
              <w:t>Conover (1999);</w:t>
              <w:br/>
              <w:t>Field (2018)</w:t>
            </w:r>
          </w:p>
        </w:tc>
      </w:tr>
      <w:tr>
        <w:tc>
          <w:tcPr>
            <w:tcW w:type="dxa" w:w="2592"/>
          </w:tcPr>
          <w:p>
            <w:r/>
            <w:r>
              <w:rPr>
                <w:rFonts w:ascii="Calibri" w:hAnsi="Calibri"/>
                <w:color w:val="2D2D2D"/>
                <w:sz w:val="19"/>
              </w:rPr>
              <w:t>Kruskal-Wallis H Test</w:t>
            </w:r>
          </w:p>
        </w:tc>
        <w:tc>
          <w:tcPr>
            <w:tcW w:type="dxa" w:w="2160"/>
          </w:tcPr>
          <w:p>
            <w:r/>
            <w:r>
              <w:rPr>
                <w:rFonts w:ascii="Calibri" w:hAnsi="Calibri"/>
                <w:color w:val="2D2D2D"/>
                <w:sz w:val="19"/>
              </w:rPr>
              <w:t>Compare ordinal data across three or more groups</w:t>
            </w:r>
          </w:p>
        </w:tc>
        <w:tc>
          <w:tcPr>
            <w:tcW w:type="dxa" w:w="3168"/>
          </w:tcPr>
          <w:p>
            <w:r/>
            <w:r>
              <w:rPr>
                <w:rFonts w:ascii="Calibri" w:hAnsi="Calibri"/>
                <w:color w:val="2D2D2D"/>
                <w:sz w:val="19"/>
              </w:rPr>
              <w:t>Compare difficulty levels across four departments; satisfaction across cadres</w:t>
            </w:r>
          </w:p>
        </w:tc>
        <w:tc>
          <w:tcPr>
            <w:tcW w:type="dxa" w:w="2160"/>
          </w:tcPr>
          <w:p>
            <w:r/>
            <w:r>
              <w:rPr>
                <w:rFonts w:ascii="Calibri" w:hAnsi="Calibri"/>
                <w:color w:val="2D2D2D"/>
                <w:sz w:val="19"/>
              </w:rPr>
              <w:t>Conover (1999);</w:t>
              <w:br/>
              <w:t>Gibbons &amp; Chakraborti (2010)</w:t>
            </w:r>
          </w:p>
        </w:tc>
      </w:tr>
      <w:tr>
        <w:tc>
          <w:tcPr>
            <w:tcW w:type="dxa" w:w="2592"/>
            <w:shd w:fill="F2F2F2"/>
          </w:tcPr>
          <w:p>
            <w:r/>
            <w:r>
              <w:rPr>
                <w:rFonts w:ascii="Calibri" w:hAnsi="Calibri"/>
                <w:color w:val="2D2D2D"/>
                <w:sz w:val="19"/>
              </w:rPr>
              <w:t>Percentage &amp; Proportion</w:t>
              <w:br/>
              <w:t>Analysis</w:t>
            </w:r>
          </w:p>
        </w:tc>
        <w:tc>
          <w:tcPr>
            <w:tcW w:type="dxa" w:w="2160"/>
            <w:shd w:fill="F2F2F2"/>
          </w:tcPr>
          <w:p>
            <w:r/>
            <w:r>
              <w:rPr>
                <w:rFonts w:ascii="Calibri" w:hAnsi="Calibri"/>
                <w:color w:val="2D2D2D"/>
                <w:sz w:val="19"/>
              </w:rPr>
              <w:t>Quantify awareness and adoption rates</w:t>
            </w:r>
          </w:p>
        </w:tc>
        <w:tc>
          <w:tcPr>
            <w:tcW w:type="dxa" w:w="3168"/>
            <w:shd w:fill="F2F2F2"/>
          </w:tcPr>
          <w:p>
            <w:r/>
            <w:r>
              <w:rPr>
                <w:rFonts w:ascii="Calibri" w:hAnsi="Calibri"/>
                <w:color w:val="2D2D2D"/>
                <w:sz w:val="19"/>
              </w:rPr>
              <w:t>“X% of Class III employees are unaware of e-Office”</w:t>
            </w:r>
          </w:p>
        </w:tc>
        <w:tc>
          <w:tcPr>
            <w:tcW w:type="dxa" w:w="2160"/>
            <w:shd w:fill="F2F2F2"/>
          </w:tcPr>
          <w:p>
            <w:r/>
            <w:r>
              <w:rPr>
                <w:rFonts w:ascii="Calibri" w:hAnsi="Calibri"/>
                <w:color w:val="2D2D2D"/>
                <w:sz w:val="19"/>
              </w:rPr>
              <w:t>—</w:t>
            </w:r>
          </w:p>
        </w:tc>
      </w:tr>
    </w:tbl>
    <w:p>
      <w:pPr>
        <w:spacing w:after="120"/>
      </w:pPr>
      <w:r>
        <w:rPr>
          <w:rFonts w:ascii="Calibri" w:hAnsi="Calibri"/>
          <w:b w:val="0"/>
          <w:i w:val="0"/>
          <w:color w:val="2D2D2D"/>
          <w:sz w:val="22"/>
        </w:rPr>
      </w:r>
    </w:p>
    <w:p>
      <w:pPr>
        <w:spacing w:after="120"/>
      </w:pPr>
      <w:r>
        <w:rPr>
          <w:rFonts w:ascii="Calibri" w:hAnsi="Calibri"/>
          <w:b/>
          <w:i w:val="0"/>
          <w:color w:val="4A4A4A"/>
          <w:sz w:val="20"/>
        </w:rPr>
        <w:t>Software: SPSS v26+ or equivalent (MS Excel for basic descriptive statistics; SPSS for inferential tests).</w:t>
      </w:r>
    </w:p>
    <w:p>
      <w:pPr>
        <w:spacing w:after="120"/>
      </w:pPr>
      <w:r>
        <w:rPr>
          <w:rFonts w:ascii="Calibri" w:hAnsi="Calibri"/>
          <w:b w:val="0"/>
          <w:i/>
          <w:color w:val="4A4A4A"/>
          <w:sz w:val="20"/>
        </w:rPr>
        <w:t>Note on Likert Data: Since Likert-scale responses produce ordinal data, non-parametric tests (Mann-Whitney U, Kruskal-Wallis) are preferred over parametric alternatives to avoid violating distributional assumptions (Jamieson, 2004).</w:t>
      </w:r>
    </w:p>
    <w:p>
      <w:r>
        <w:br w:type="page"/>
      </w:r>
    </w:p>
    <w:p>
      <w:pPr>
        <w:pStyle w:val="Heading2"/>
      </w:pPr>
      <w:r>
        <w:rPr>
          <w:rFonts w:ascii="Calibri" w:hAnsi="Calibri"/>
          <w:color w:val="1B2A4A"/>
        </w:rPr>
        <w:t>2.3 Qualitative Methods</w:t>
      </w:r>
    </w:p>
    <w:p>
      <w:pPr>
        <w:pStyle w:val="Heading3"/>
      </w:pPr>
      <w:r>
        <w:rPr>
          <w:rFonts w:ascii="Calibri" w:hAnsi="Calibri"/>
          <w:color w:val="1B2A4A"/>
        </w:rPr>
        <w:t>2.3.1 Semi-Structured Interviews</w:t>
      </w:r>
    </w:p>
    <w:p>
      <w:pPr>
        <w:spacing w:after="120"/>
      </w:pPr>
      <w:r>
        <w:rPr>
          <w:rFonts w:ascii="Calibri" w:hAnsi="Calibri"/>
          <w:b w:val="0"/>
          <w:i w:val="0"/>
          <w:color w:val="2D2D2D"/>
          <w:sz w:val="22"/>
        </w:rPr>
        <w:t>Interviews will be conducted with a purposively selected sub-sample across all four cadre classes, covering lived experiences with digital tools, perceived barriers and facilitators, training effectiveness narratives, and suggestions for improvement. All interviews will be audio-recorded (with consent), transcribed verbatim, and anonymised.</w:t>
      </w:r>
    </w:p>
    <w:p>
      <w:pPr>
        <w:pStyle w:val="Heading3"/>
      </w:pPr>
      <w:r>
        <w:rPr>
          <w:rFonts w:ascii="Calibri" w:hAnsi="Calibri"/>
          <w:color w:val="1B2A4A"/>
        </w:rPr>
        <w:t>2.3.2 Focus Group Discussions (FGDs)</w:t>
      </w:r>
    </w:p>
    <w:p>
      <w:pPr>
        <w:spacing w:after="120"/>
      </w:pPr>
      <w:r>
        <w:rPr>
          <w:rFonts w:ascii="Calibri" w:hAnsi="Calibri"/>
          <w:b w:val="0"/>
          <w:i w:val="0"/>
          <w:color w:val="2D2D2D"/>
          <w:sz w:val="22"/>
        </w:rPr>
        <w:t>FGDs will be conducted at the department level to capture collective perspectives on systemic challenges, training adequacy, and policy-level recommendations. Each FGD will comprise 6–8 participants from mixed cadres within the same department.</w:t>
      </w:r>
    </w:p>
    <w:p>
      <w:pPr>
        <w:pStyle w:val="Heading3"/>
      </w:pPr>
      <w:r>
        <w:rPr>
          <w:rFonts w:ascii="Calibri" w:hAnsi="Calibri"/>
          <w:color w:val="1B2A4A"/>
        </w:rPr>
        <w:t>2.3.3 Qualitative Analysis Tools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1B2A4A"/>
          </w:tcPr>
          <w:p>
            <w:pPr>
              <w:jc w:val="center"/>
            </w:pPr>
            <w:r/>
            <w:r>
              <w:rPr>
                <w:rFonts w:ascii="Calibri" w:hAnsi="Calibri"/>
                <w:b/>
                <w:color w:val="FFFFFF"/>
                <w:sz w:val="20"/>
              </w:rPr>
              <w:t>Tool / Technique</w:t>
            </w:r>
          </w:p>
        </w:tc>
        <w:tc>
          <w:tcPr>
            <w:tcW w:type="dxa" w:w="2160"/>
            <w:shd w:fill="1B2A4A"/>
          </w:tcPr>
          <w:p>
            <w:pPr>
              <w:jc w:val="center"/>
            </w:pPr>
            <w:r/>
            <w:r>
              <w:rPr>
                <w:rFonts w:ascii="Calibri" w:hAnsi="Calibri"/>
                <w:b/>
                <w:color w:val="FFFFFF"/>
                <w:sz w:val="20"/>
              </w:rPr>
              <w:t>Purpose</w:t>
            </w:r>
          </w:p>
        </w:tc>
        <w:tc>
          <w:tcPr>
            <w:tcW w:type="dxa" w:w="3600"/>
            <w:shd w:fill="1B2A4A"/>
          </w:tcPr>
          <w:p>
            <w:pPr>
              <w:jc w:val="center"/>
            </w:pPr>
            <w:r/>
            <w:r>
              <w:rPr>
                <w:rFonts w:ascii="Calibri" w:hAnsi="Calibri"/>
                <w:b/>
                <w:color w:val="FFFFFF"/>
                <w:sz w:val="20"/>
              </w:rPr>
              <w:t>Application in This Study</w:t>
            </w:r>
          </w:p>
        </w:tc>
        <w:tc>
          <w:tcPr>
            <w:tcW w:type="dxa" w:w="1728"/>
            <w:shd w:fill="1B2A4A"/>
          </w:tcPr>
          <w:p>
            <w:pPr>
              <w:jc w:val="center"/>
            </w:pPr>
            <w:r/>
            <w:r>
              <w:rPr>
                <w:rFonts w:ascii="Calibri" w:hAnsi="Calibri"/>
                <w:b/>
                <w:color w:val="FFFFFF"/>
                <w:sz w:val="20"/>
              </w:rPr>
              <w:t>Citation</w:t>
            </w:r>
          </w:p>
        </w:tc>
      </w:tr>
      <w:tr>
        <w:tc>
          <w:tcPr>
            <w:tcW w:type="dxa" w:w="2592"/>
          </w:tcPr>
          <w:p>
            <w:r/>
            <w:r>
              <w:rPr>
                <w:rFonts w:ascii="Calibri" w:hAnsi="Calibri"/>
                <w:color w:val="2D2D2D"/>
                <w:sz w:val="19"/>
              </w:rPr>
              <w:t>Reflexive Thematic Analysis</w:t>
              <w:br/>
              <w:t>(6-Phase)</w:t>
            </w:r>
          </w:p>
        </w:tc>
        <w:tc>
          <w:tcPr>
            <w:tcW w:type="dxa" w:w="2160"/>
          </w:tcPr>
          <w:p>
            <w:r/>
            <w:r>
              <w:rPr>
                <w:rFonts w:ascii="Calibri" w:hAnsi="Calibri"/>
                <w:color w:val="2D2D2D"/>
                <w:sz w:val="19"/>
              </w:rPr>
              <w:t>Systematically identify, analyse, and report patterns (themes)</w:t>
            </w:r>
          </w:p>
        </w:tc>
        <w:tc>
          <w:tcPr>
            <w:tcW w:type="dxa" w:w="3600"/>
          </w:tcPr>
          <w:p>
            <w:r/>
            <w:r>
              <w:rPr>
                <w:rFonts w:ascii="Calibri" w:hAnsi="Calibri"/>
                <w:color w:val="2D2D2D"/>
                <w:sz w:val="19"/>
              </w:rPr>
              <w:t>Primary method for coding interview and FGD transcripts.</w:t>
              <w:br/>
              <w:t>6 phases: (1) Familiarisation, (2) Initial codes, (3) Searching themes, (4) Reviewing, (5) Defining &amp; naming, (6) Report</w:t>
            </w:r>
          </w:p>
        </w:tc>
        <w:tc>
          <w:tcPr>
            <w:tcW w:type="dxa" w:w="1728"/>
          </w:tcPr>
          <w:p>
            <w:r/>
            <w:r>
              <w:rPr>
                <w:rFonts w:ascii="Calibri" w:hAnsi="Calibri"/>
                <w:color w:val="2D2D2D"/>
                <w:sz w:val="19"/>
              </w:rPr>
              <w:t>Braun &amp; Clarke</w:t>
              <w:br/>
              <w:t>(2006, 2019)</w:t>
            </w:r>
          </w:p>
        </w:tc>
      </w:tr>
      <w:tr>
        <w:tc>
          <w:tcPr>
            <w:tcW w:type="dxa" w:w="2592"/>
            <w:shd w:fill="F2F2F2"/>
          </w:tcPr>
          <w:p>
            <w:r/>
            <w:r>
              <w:rPr>
                <w:rFonts w:ascii="Calibri" w:hAnsi="Calibri"/>
                <w:color w:val="2D2D2D"/>
                <w:sz w:val="19"/>
              </w:rPr>
              <w:t>Deductive Coding Frame</w:t>
              <w:br/>
              <w:t>(TAM/UTAUT)</w:t>
            </w:r>
          </w:p>
        </w:tc>
        <w:tc>
          <w:tcPr>
            <w:tcW w:type="dxa" w:w="2160"/>
            <w:shd w:fill="F2F2F2"/>
          </w:tcPr>
          <w:p>
            <w:r/>
            <w:r>
              <w:rPr>
                <w:rFonts w:ascii="Calibri" w:hAnsi="Calibri"/>
                <w:color w:val="2D2D2D"/>
                <w:sz w:val="19"/>
              </w:rPr>
              <w:t>Map qualitative findings to established theoretical constructs</w:t>
            </w:r>
          </w:p>
        </w:tc>
        <w:tc>
          <w:tcPr>
            <w:tcW w:type="dxa" w:w="3600"/>
            <w:shd w:fill="F2F2F2"/>
          </w:tcPr>
          <w:p>
            <w:r/>
            <w:r>
              <w:rPr>
                <w:rFonts w:ascii="Calibri" w:hAnsi="Calibri"/>
                <w:color w:val="2D2D2D"/>
                <w:sz w:val="19"/>
              </w:rPr>
              <w:t>Code narratives against: Performance Expectancy, Effort Expectancy, Social Influence, Facilitating Conditions</w:t>
            </w:r>
          </w:p>
        </w:tc>
        <w:tc>
          <w:tcPr>
            <w:tcW w:type="dxa" w:w="1728"/>
            <w:shd w:fill="F2F2F2"/>
          </w:tcPr>
          <w:p>
            <w:r/>
            <w:r>
              <w:rPr>
                <w:rFonts w:ascii="Calibri" w:hAnsi="Calibri"/>
                <w:color w:val="2D2D2D"/>
                <w:sz w:val="19"/>
              </w:rPr>
              <w:t>Davis (1989);</w:t>
              <w:br/>
              <w:t>Venkatesh et al. (2003)</w:t>
            </w:r>
          </w:p>
        </w:tc>
      </w:tr>
      <w:tr>
        <w:tc>
          <w:tcPr>
            <w:tcW w:type="dxa" w:w="2592"/>
          </w:tcPr>
          <w:p>
            <w:r/>
            <w:r>
              <w:rPr>
                <w:rFonts w:ascii="Calibri" w:hAnsi="Calibri"/>
                <w:color w:val="2D2D2D"/>
                <w:sz w:val="19"/>
              </w:rPr>
              <w:t>Content Analysis</w:t>
            </w:r>
          </w:p>
        </w:tc>
        <w:tc>
          <w:tcPr>
            <w:tcW w:type="dxa" w:w="2160"/>
          </w:tcPr>
          <w:p>
            <w:r/>
            <w:r>
              <w:rPr>
                <w:rFonts w:ascii="Calibri" w:hAnsi="Calibri"/>
                <w:color w:val="2D2D2D"/>
                <w:sz w:val="19"/>
              </w:rPr>
              <w:t>Make replicable inferences from textual data</w:t>
            </w:r>
          </w:p>
        </w:tc>
        <w:tc>
          <w:tcPr>
            <w:tcW w:type="dxa" w:w="3600"/>
          </w:tcPr>
          <w:p>
            <w:r/>
            <w:r>
              <w:rPr>
                <w:rFonts w:ascii="Calibri" w:hAnsi="Calibri"/>
                <w:color w:val="2D2D2D"/>
                <w:sz w:val="19"/>
              </w:rPr>
              <w:t>Analyse government circulars, training guidelines, policy documents for stated vs. actual implementation</w:t>
            </w:r>
          </w:p>
        </w:tc>
        <w:tc>
          <w:tcPr>
            <w:tcW w:type="dxa" w:w="1728"/>
          </w:tcPr>
          <w:p>
            <w:r/>
            <w:r>
              <w:rPr>
                <w:rFonts w:ascii="Calibri" w:hAnsi="Calibri"/>
                <w:color w:val="2D2D2D"/>
                <w:sz w:val="19"/>
              </w:rPr>
              <w:t>Krippendorff (2018)</w:t>
            </w:r>
          </w:p>
        </w:tc>
      </w:tr>
    </w:tbl>
    <w:p>
      <w:pPr>
        <w:spacing w:after="120"/>
      </w:pPr>
      <w:r>
        <w:rPr>
          <w:rFonts w:ascii="Calibri" w:hAnsi="Calibri"/>
          <w:b w:val="0"/>
          <w:i w:val="0"/>
          <w:color w:val="2D2D2D"/>
          <w:sz w:val="22"/>
        </w:rPr>
      </w:r>
    </w:p>
    <w:p>
      <w:pPr>
        <w:spacing w:after="120"/>
      </w:pPr>
      <w:r>
        <w:rPr>
          <w:rFonts w:ascii="Calibri" w:hAnsi="Calibri"/>
          <w:b w:val="0"/>
          <w:i w:val="0"/>
          <w:color w:val="2D2D2D"/>
          <w:sz w:val="21"/>
        </w:rPr>
        <w:t>Coding Approach: A hybrid inductive-deductive approach will be used. Initial codes will emerge inductively from the data, then be mapped to TAM/UTAUT constructs (deductive) to maintain theoretical coherence.</w:t>
      </w:r>
    </w:p>
    <w:p>
      <w:pPr>
        <w:pStyle w:val="Heading2"/>
      </w:pPr>
      <w:r>
        <w:rPr>
          <w:rFonts w:ascii="Calibri" w:hAnsi="Calibri"/>
          <w:color w:val="1B2A4A"/>
        </w:rPr>
        <w:t>2.4 Observational Method</w:t>
      </w:r>
    </w:p>
    <w:p>
      <w:pPr>
        <w:spacing w:after="120"/>
      </w:pPr>
      <w:r>
        <w:rPr>
          <w:rFonts w:ascii="Calibri" w:hAnsi="Calibri"/>
          <w:b w:val="0"/>
          <w:i w:val="0"/>
          <w:color w:val="2D2D2D"/>
          <w:sz w:val="22"/>
        </w:rPr>
        <w:t>During office visits, a standardised observation checklist will document:</w:t>
      </w:r>
    </w:p>
    <w:p>
      <w:pPr>
        <w:pStyle w:val="ListBullet"/>
      </w:pPr>
      <w:r>
        <w:rPr>
          <w:rFonts w:ascii="Calibri" w:hAnsi="Calibri"/>
          <w:color w:val="2D2D2D"/>
          <w:sz w:val="21"/>
        </w:rPr>
        <w:t>Physical infrastructure conditions (hardware availability, workspace setup)</w:t>
      </w:r>
    </w:p>
    <w:p>
      <w:pPr>
        <w:pStyle w:val="ListBullet"/>
      </w:pPr>
      <w:r>
        <w:rPr>
          <w:rFonts w:ascii="Calibri" w:hAnsi="Calibri"/>
          <w:color w:val="2D2D2D"/>
          <w:sz w:val="21"/>
        </w:rPr>
        <w:t>Internet connectivity tests (speed, uptime)</w:t>
      </w:r>
    </w:p>
    <w:p>
      <w:pPr>
        <w:pStyle w:val="ListBullet"/>
      </w:pPr>
      <w:r>
        <w:rPr>
          <w:rFonts w:ascii="Calibri" w:hAnsi="Calibri"/>
          <w:color w:val="2D2D2D"/>
          <w:sz w:val="21"/>
        </w:rPr>
        <w:t>Actual workflow practices (digital vs. paper-based processes)</w:t>
      </w:r>
    </w:p>
    <w:p>
      <w:pPr>
        <w:pStyle w:val="ListBullet"/>
      </w:pPr>
      <w:r>
        <w:rPr>
          <w:rFonts w:ascii="Calibri" w:hAnsi="Calibri"/>
          <w:color w:val="2D2D2D"/>
          <w:sz w:val="21"/>
        </w:rPr>
        <w:t>IT support availability and responsiveness</w:t>
      </w:r>
    </w:p>
    <w:p>
      <w:pPr>
        <w:spacing w:after="120"/>
      </w:pPr>
      <w:r>
        <w:rPr>
          <w:rFonts w:ascii="Calibri" w:hAnsi="Calibri"/>
          <w:b w:val="0"/>
          <w:i w:val="0"/>
          <w:color w:val="2D2D2D"/>
          <w:sz w:val="22"/>
        </w:rPr>
        <w:t>This observational data will be triangulated with survey and interview responses to validate self-reported information.</w:t>
      </w:r>
    </w:p>
    <w:p>
      <w:pPr>
        <w:pStyle w:val="Heading2"/>
      </w:pPr>
      <w:r>
        <w:rPr>
          <w:rFonts w:ascii="Calibri" w:hAnsi="Calibri"/>
          <w:color w:val="1B2A4A"/>
        </w:rPr>
        <w:t>2.5 Gap Analysis &amp; Benchmarking (Objective 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1B2A4A"/>
          </w:tcPr>
          <w:p>
            <w:pPr>
              <w:jc w:val="center"/>
            </w:pPr>
            <w:r/>
            <w:r>
              <w:rPr>
                <w:rFonts w:ascii="Calibri" w:hAnsi="Calibri"/>
                <w:b/>
                <w:color w:val="FFFFFF"/>
                <w:sz w:val="20"/>
              </w:rPr>
              <w:t>Tool / Technique</w:t>
            </w:r>
          </w:p>
        </w:tc>
        <w:tc>
          <w:tcPr>
            <w:tcW w:type="dxa" w:w="2160"/>
            <w:shd w:fill="1B2A4A"/>
          </w:tcPr>
          <w:p>
            <w:pPr>
              <w:jc w:val="center"/>
            </w:pPr>
            <w:r/>
            <w:r>
              <w:rPr>
                <w:rFonts w:ascii="Calibri" w:hAnsi="Calibri"/>
                <w:b/>
                <w:color w:val="FFFFFF"/>
                <w:sz w:val="20"/>
              </w:rPr>
              <w:t>Purpose</w:t>
            </w:r>
          </w:p>
        </w:tc>
        <w:tc>
          <w:tcPr>
            <w:tcW w:type="dxa" w:w="3600"/>
            <w:shd w:fill="1B2A4A"/>
          </w:tcPr>
          <w:p>
            <w:pPr>
              <w:jc w:val="center"/>
            </w:pPr>
            <w:r/>
            <w:r>
              <w:rPr>
                <w:rFonts w:ascii="Calibri" w:hAnsi="Calibri"/>
                <w:b/>
                <w:color w:val="FFFFFF"/>
                <w:sz w:val="20"/>
              </w:rPr>
              <w:t>Application</w:t>
            </w:r>
          </w:p>
        </w:tc>
        <w:tc>
          <w:tcPr>
            <w:tcW w:type="dxa" w:w="1728"/>
            <w:shd w:fill="1B2A4A"/>
          </w:tcPr>
          <w:p>
            <w:pPr>
              <w:jc w:val="center"/>
            </w:pPr>
            <w:r/>
            <w:r>
              <w:rPr>
                <w:rFonts w:ascii="Calibri" w:hAnsi="Calibri"/>
                <w:b/>
                <w:color w:val="FFFFFF"/>
                <w:sz w:val="20"/>
              </w:rPr>
              <w:t>Citation</w:t>
            </w:r>
          </w:p>
        </w:tc>
      </w:tr>
      <w:tr>
        <w:tc>
          <w:tcPr>
            <w:tcW w:type="dxa" w:w="2592"/>
          </w:tcPr>
          <w:p>
            <w:r/>
            <w:r>
              <w:rPr>
                <w:rFonts w:ascii="Calibri" w:hAnsi="Calibri"/>
                <w:color w:val="2D2D2D"/>
                <w:sz w:val="19"/>
              </w:rPr>
              <w:t>Gap Analysis</w:t>
              <w:br/>
              <w:t>(Current vs. Desired State)</w:t>
            </w:r>
          </w:p>
        </w:tc>
        <w:tc>
          <w:tcPr>
            <w:tcW w:type="dxa" w:w="2160"/>
          </w:tcPr>
          <w:p>
            <w:r/>
            <w:r>
              <w:rPr>
                <w:rFonts w:ascii="Calibri" w:hAnsi="Calibri"/>
                <w:color w:val="2D2D2D"/>
                <w:sz w:val="19"/>
              </w:rPr>
              <w:t>Identify discrepancies between existing capabilities and targets</w:t>
            </w:r>
          </w:p>
        </w:tc>
        <w:tc>
          <w:tcPr>
            <w:tcW w:type="dxa" w:w="3600"/>
          </w:tcPr>
          <w:p>
            <w:r/>
            <w:r>
              <w:rPr>
                <w:rFonts w:ascii="Calibri" w:hAnsi="Calibri"/>
                <w:color w:val="2D2D2D"/>
                <w:sz w:val="19"/>
              </w:rPr>
              <w:t>Compare findings from Obj 1–3 against OECD DGPF dimensions and UN EGDI components</w:t>
            </w:r>
          </w:p>
        </w:tc>
        <w:tc>
          <w:tcPr>
            <w:tcW w:type="dxa" w:w="1728"/>
          </w:tcPr>
          <w:p>
            <w:r/>
            <w:r>
              <w:rPr>
                <w:rFonts w:ascii="Calibri" w:hAnsi="Calibri"/>
                <w:color w:val="2D2D2D"/>
                <w:sz w:val="19"/>
              </w:rPr>
              <w:t>OECD (2014, 2020)</w:t>
            </w:r>
          </w:p>
        </w:tc>
      </w:tr>
      <w:tr>
        <w:tc>
          <w:tcPr>
            <w:tcW w:type="dxa" w:w="2592"/>
            <w:shd w:fill="F2F2F2"/>
          </w:tcPr>
          <w:p>
            <w:r/>
            <w:r>
              <w:rPr>
                <w:rFonts w:ascii="Calibri" w:hAnsi="Calibri"/>
                <w:color w:val="2D2D2D"/>
                <w:sz w:val="19"/>
              </w:rPr>
              <w:t>Priority Matrix</w:t>
              <w:br/>
              <w:t>(Impact vs. Feasibility)</w:t>
            </w:r>
          </w:p>
        </w:tc>
        <w:tc>
          <w:tcPr>
            <w:tcW w:type="dxa" w:w="2160"/>
            <w:shd w:fill="F2F2F2"/>
          </w:tcPr>
          <w:p>
            <w:r/>
            <w:r>
              <w:rPr>
                <w:rFonts w:ascii="Calibri" w:hAnsi="Calibri"/>
                <w:color w:val="2D2D2D"/>
                <w:sz w:val="19"/>
              </w:rPr>
              <w:t>Rank interventions by potential impact and feasibility</w:t>
            </w:r>
          </w:p>
        </w:tc>
        <w:tc>
          <w:tcPr>
            <w:tcW w:type="dxa" w:w="3600"/>
            <w:shd w:fill="F2F2F2"/>
          </w:tcPr>
          <w:p>
            <w:r/>
            <w:r>
              <w:rPr>
                <w:rFonts w:ascii="Calibri" w:hAnsi="Calibri"/>
                <w:color w:val="2D2D2D"/>
                <w:sz w:val="19"/>
              </w:rPr>
              <w:t>Classify recommendations into Quick Wins, Strategic Projects, Fill-ins, Hard Slogs</w:t>
            </w:r>
          </w:p>
        </w:tc>
        <w:tc>
          <w:tcPr>
            <w:tcW w:type="dxa" w:w="1728"/>
            <w:shd w:fill="F2F2F2"/>
          </w:tcPr>
          <w:p>
            <w:r/>
            <w:r>
              <w:rPr>
                <w:rFonts w:ascii="Calibri" w:hAnsi="Calibri"/>
                <w:color w:val="2D2D2D"/>
                <w:sz w:val="19"/>
              </w:rPr>
              <w:t>—</w:t>
            </w:r>
          </w:p>
        </w:tc>
      </w:tr>
      <w:tr>
        <w:tc>
          <w:tcPr>
            <w:tcW w:type="dxa" w:w="2592"/>
          </w:tcPr>
          <w:p>
            <w:r/>
            <w:r>
              <w:rPr>
                <w:rFonts w:ascii="Calibri" w:hAnsi="Calibri"/>
                <w:color w:val="2D2D2D"/>
                <w:sz w:val="19"/>
              </w:rPr>
              <w:t>International Benchmarking</w:t>
            </w:r>
          </w:p>
        </w:tc>
        <w:tc>
          <w:tcPr>
            <w:tcW w:type="dxa" w:w="2160"/>
          </w:tcPr>
          <w:p>
            <w:r/>
            <w:r>
              <w:rPr>
                <w:rFonts w:ascii="Calibri" w:hAnsi="Calibri"/>
                <w:color w:val="2D2D2D"/>
                <w:sz w:val="19"/>
              </w:rPr>
              <w:t>Contextualise findings within global digital government progress</w:t>
            </w:r>
          </w:p>
        </w:tc>
        <w:tc>
          <w:tcPr>
            <w:tcW w:type="dxa" w:w="3600"/>
          </w:tcPr>
          <w:p>
            <w:r/>
            <w:r>
              <w:rPr>
                <w:rFonts w:ascii="Calibri" w:hAnsi="Calibri"/>
                <w:color w:val="2D2D2D"/>
                <w:sz w:val="19"/>
              </w:rPr>
              <w:t>Map outcomes to UN EGDI sub-indices (OSI, TII, HCI) and OECD DGI dimensions</w:t>
            </w:r>
          </w:p>
        </w:tc>
        <w:tc>
          <w:tcPr>
            <w:tcW w:type="dxa" w:w="1728"/>
          </w:tcPr>
          <w:p>
            <w:r/>
            <w:r>
              <w:rPr>
                <w:rFonts w:ascii="Calibri" w:hAnsi="Calibri"/>
                <w:color w:val="2D2D2D"/>
                <w:sz w:val="19"/>
              </w:rPr>
              <w:t>United Nations (2024);</w:t>
              <w:br/>
              <w:t>OECD (2014)</w:t>
            </w:r>
          </w:p>
        </w:tc>
      </w:tr>
    </w:tbl>
    <w:p>
      <w:r>
        <w:br w:type="page"/>
      </w:r>
    </w:p>
    <w:p>
      <w:pPr>
        <w:pStyle w:val="Heading1"/>
      </w:pPr>
      <w:r>
        <w:rPr>
          <w:rFonts w:ascii="Calibri" w:hAnsi="Calibri"/>
          <w:color w:val="1B2A4A"/>
        </w:rPr>
        <w:t>PART 3 — EVALUATION CRITERIA</w:t>
      </w:r>
    </w:p>
    <w:p>
      <w:pPr>
        <w:pStyle w:val="Heading2"/>
      </w:pPr>
      <w:r>
        <w:rPr>
          <w:rFonts w:ascii="Calibri" w:hAnsi="Calibri"/>
          <w:color w:val="1B2A4A"/>
        </w:rPr>
        <w:t>3.1 Quantitative Evaluation Metrics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B2A4A"/>
          </w:tcPr>
          <w:p>
            <w:pPr>
              <w:jc w:val="center"/>
            </w:pPr>
            <w:r/>
            <w:r>
              <w:rPr>
                <w:rFonts w:ascii="Calibri" w:hAnsi="Calibri"/>
                <w:b/>
                <w:color w:val="FFFFFF"/>
                <w:sz w:val="20"/>
              </w:rPr>
              <w:t>Metric</w:t>
            </w:r>
          </w:p>
        </w:tc>
        <w:tc>
          <w:tcPr>
            <w:tcW w:type="dxa" w:w="2592"/>
            <w:shd w:fill="1B2A4A"/>
          </w:tcPr>
          <w:p>
            <w:pPr>
              <w:jc w:val="center"/>
            </w:pPr>
            <w:r/>
            <w:r>
              <w:rPr>
                <w:rFonts w:ascii="Calibri" w:hAnsi="Calibri"/>
                <w:b/>
                <w:color w:val="FFFFFF"/>
                <w:sz w:val="20"/>
              </w:rPr>
              <w:t>Benchmark / Threshold</w:t>
            </w:r>
          </w:p>
        </w:tc>
        <w:tc>
          <w:tcPr>
            <w:tcW w:type="dxa" w:w="4320"/>
            <w:shd w:fill="1B2A4A"/>
          </w:tcPr>
          <w:p>
            <w:pPr>
              <w:jc w:val="center"/>
            </w:pPr>
            <w:r/>
            <w:r>
              <w:rPr>
                <w:rFonts w:ascii="Calibri" w:hAnsi="Calibri"/>
                <w:b/>
                <w:color w:val="FFFFFF"/>
                <w:sz w:val="20"/>
              </w:rPr>
              <w:t>Measurement</w:t>
            </w:r>
          </w:p>
        </w:tc>
      </w:tr>
      <w:tr>
        <w:tc>
          <w:tcPr>
            <w:tcW w:type="dxa" w:w="3168"/>
          </w:tcPr>
          <w:p>
            <w:r/>
            <w:r>
              <w:rPr>
                <w:rFonts w:ascii="Calibri" w:hAnsi="Calibri"/>
                <w:color w:val="2D2D2D"/>
                <w:sz w:val="19"/>
              </w:rPr>
              <w:t>Digital Device Availability Ratio</w:t>
            </w:r>
          </w:p>
        </w:tc>
        <w:tc>
          <w:tcPr>
            <w:tcW w:type="dxa" w:w="2592"/>
          </w:tcPr>
          <w:p>
            <w:r/>
            <w:r>
              <w:rPr>
                <w:rFonts w:ascii="Calibri" w:hAnsi="Calibri"/>
                <w:color w:val="2D2D2D"/>
                <w:sz w:val="19"/>
              </w:rPr>
              <w:t>≥ 1 device per employee</w:t>
            </w:r>
          </w:p>
        </w:tc>
        <w:tc>
          <w:tcPr>
            <w:tcW w:type="dxa" w:w="4320"/>
          </w:tcPr>
          <w:p>
            <w:r/>
            <w:r>
              <w:rPr>
                <w:rFonts w:ascii="Calibri" w:hAnsi="Calibri"/>
                <w:color w:val="2D2D2D"/>
                <w:sz w:val="19"/>
              </w:rPr>
              <w:t>Count of devices ÷ number of employees</w:t>
            </w:r>
          </w:p>
        </w:tc>
      </w:tr>
      <w:tr>
        <w:tc>
          <w:tcPr>
            <w:tcW w:type="dxa" w:w="3168"/>
            <w:shd w:fill="F2F2F2"/>
          </w:tcPr>
          <w:p>
            <w:r/>
            <w:r>
              <w:rPr>
                <w:rFonts w:ascii="Calibri" w:hAnsi="Calibri"/>
                <w:color w:val="2D2D2D"/>
                <w:sz w:val="19"/>
              </w:rPr>
              <w:t>Internet Connectivity Score</w:t>
            </w:r>
          </w:p>
        </w:tc>
        <w:tc>
          <w:tcPr>
            <w:tcW w:type="dxa" w:w="2592"/>
            <w:shd w:fill="F2F2F2"/>
          </w:tcPr>
          <w:p>
            <w:r/>
            <w:r>
              <w:rPr>
                <w:rFonts w:ascii="Calibri" w:hAnsi="Calibri"/>
                <w:color w:val="2D2D2D"/>
                <w:sz w:val="19"/>
              </w:rPr>
              <w:t>Median Likert ≥ 3 (“Adequate”)</w:t>
            </w:r>
          </w:p>
        </w:tc>
        <w:tc>
          <w:tcPr>
            <w:tcW w:type="dxa" w:w="4320"/>
            <w:shd w:fill="F2F2F2"/>
          </w:tcPr>
          <w:p>
            <w:r/>
            <w:r>
              <w:rPr>
                <w:rFonts w:ascii="Calibri" w:hAnsi="Calibri"/>
                <w:color w:val="2D2D2D"/>
                <w:sz w:val="19"/>
              </w:rPr>
              <w:t>5-point Likert scale</w:t>
            </w:r>
          </w:p>
        </w:tc>
      </w:tr>
      <w:tr>
        <w:tc>
          <w:tcPr>
            <w:tcW w:type="dxa" w:w="3168"/>
          </w:tcPr>
          <w:p>
            <w:r/>
            <w:r>
              <w:rPr>
                <w:rFonts w:ascii="Calibri" w:hAnsi="Calibri"/>
                <w:color w:val="2D2D2D"/>
                <w:sz w:val="19"/>
              </w:rPr>
              <w:t>Digital Tool Awareness Rate</w:t>
            </w:r>
          </w:p>
        </w:tc>
        <w:tc>
          <w:tcPr>
            <w:tcW w:type="dxa" w:w="2592"/>
          </w:tcPr>
          <w:p>
            <w:r/>
            <w:r>
              <w:rPr>
                <w:rFonts w:ascii="Calibri" w:hAnsi="Calibri"/>
                <w:color w:val="2D2D2D"/>
                <w:sz w:val="19"/>
              </w:rPr>
              <w:t>≥ 70% aware of core tools</w:t>
            </w:r>
          </w:p>
        </w:tc>
        <w:tc>
          <w:tcPr>
            <w:tcW w:type="dxa" w:w="4320"/>
          </w:tcPr>
          <w:p>
            <w:r/>
            <w:r>
              <w:rPr>
                <w:rFonts w:ascii="Calibri" w:hAnsi="Calibri"/>
                <w:color w:val="2D2D2D"/>
                <w:sz w:val="19"/>
              </w:rPr>
              <w:t>% selecting each tool on checklist</w:t>
            </w:r>
          </w:p>
        </w:tc>
      </w:tr>
      <w:tr>
        <w:tc>
          <w:tcPr>
            <w:tcW w:type="dxa" w:w="3168"/>
            <w:shd w:fill="F2F2F2"/>
          </w:tcPr>
          <w:p>
            <w:r/>
            <w:r>
              <w:rPr>
                <w:rFonts w:ascii="Calibri" w:hAnsi="Calibri"/>
                <w:color w:val="2D2D2D"/>
                <w:sz w:val="19"/>
              </w:rPr>
              <w:t>Daily Digital Tool Usage Rate</w:t>
            </w:r>
          </w:p>
        </w:tc>
        <w:tc>
          <w:tcPr>
            <w:tcW w:type="dxa" w:w="2592"/>
            <w:shd w:fill="F2F2F2"/>
          </w:tcPr>
          <w:p>
            <w:r/>
            <w:r>
              <w:rPr>
                <w:rFonts w:ascii="Calibri" w:hAnsi="Calibri"/>
                <w:color w:val="2D2D2D"/>
                <w:sz w:val="19"/>
              </w:rPr>
              <w:t>≥ 50% use tools daily</w:t>
            </w:r>
          </w:p>
        </w:tc>
        <w:tc>
          <w:tcPr>
            <w:tcW w:type="dxa" w:w="4320"/>
            <w:shd w:fill="F2F2F2"/>
          </w:tcPr>
          <w:p>
            <w:r/>
            <w:r>
              <w:rPr>
                <w:rFonts w:ascii="Calibri" w:hAnsi="Calibri"/>
                <w:color w:val="2D2D2D"/>
                <w:sz w:val="19"/>
              </w:rPr>
              <w:t>% responding “Daily”</w:t>
            </w:r>
          </w:p>
        </w:tc>
      </w:tr>
      <w:tr>
        <w:tc>
          <w:tcPr>
            <w:tcW w:type="dxa" w:w="3168"/>
          </w:tcPr>
          <w:p>
            <w:r/>
            <w:r>
              <w:rPr>
                <w:rFonts w:ascii="Calibri" w:hAnsi="Calibri"/>
                <w:color w:val="2D2D2D"/>
                <w:sz w:val="19"/>
              </w:rPr>
              <w:t>Training Coverage</w:t>
            </w:r>
          </w:p>
        </w:tc>
        <w:tc>
          <w:tcPr>
            <w:tcW w:type="dxa" w:w="2592"/>
          </w:tcPr>
          <w:p>
            <w:r/>
            <w:r>
              <w:rPr>
                <w:rFonts w:ascii="Calibri" w:hAnsi="Calibri"/>
                <w:color w:val="2D2D2D"/>
                <w:sz w:val="19"/>
              </w:rPr>
              <w:t>≥ 60% trained in last 2 years</w:t>
            </w:r>
          </w:p>
        </w:tc>
        <w:tc>
          <w:tcPr>
            <w:tcW w:type="dxa" w:w="4320"/>
          </w:tcPr>
          <w:p>
            <w:r/>
            <w:r>
              <w:rPr>
                <w:rFonts w:ascii="Calibri" w:hAnsi="Calibri"/>
                <w:color w:val="2D2D2D"/>
                <w:sz w:val="19"/>
              </w:rPr>
              <w:t>% responding “Yes” to attendance</w:t>
            </w:r>
          </w:p>
        </w:tc>
      </w:tr>
      <w:tr>
        <w:tc>
          <w:tcPr>
            <w:tcW w:type="dxa" w:w="3168"/>
            <w:shd w:fill="F2F2F2"/>
          </w:tcPr>
          <w:p>
            <w:r/>
            <w:r>
              <w:rPr>
                <w:rFonts w:ascii="Calibri" w:hAnsi="Calibri"/>
                <w:color w:val="2D2D2D"/>
                <w:sz w:val="19"/>
              </w:rPr>
              <w:t>Training Satisfaction Score</w:t>
            </w:r>
          </w:p>
        </w:tc>
        <w:tc>
          <w:tcPr>
            <w:tcW w:type="dxa" w:w="2592"/>
            <w:shd w:fill="F2F2F2"/>
          </w:tcPr>
          <w:p>
            <w:r/>
            <w:r>
              <w:rPr>
                <w:rFonts w:ascii="Calibri" w:hAnsi="Calibri"/>
                <w:color w:val="2D2D2D"/>
                <w:sz w:val="19"/>
              </w:rPr>
              <w:t>Median Likert ≥ 3.5</w:t>
            </w:r>
          </w:p>
        </w:tc>
        <w:tc>
          <w:tcPr>
            <w:tcW w:type="dxa" w:w="4320"/>
            <w:shd w:fill="F2F2F2"/>
          </w:tcPr>
          <w:p>
            <w:r/>
            <w:r>
              <w:rPr>
                <w:rFonts w:ascii="Calibri" w:hAnsi="Calibri"/>
                <w:color w:val="2D2D2D"/>
                <w:sz w:val="19"/>
              </w:rPr>
              <w:t>5-point Likert scale</w:t>
            </w:r>
          </w:p>
        </w:tc>
      </w:tr>
      <w:tr>
        <w:tc>
          <w:tcPr>
            <w:tcW w:type="dxa" w:w="3168"/>
          </w:tcPr>
          <w:p>
            <w:r/>
            <w:r>
              <w:rPr>
                <w:rFonts w:ascii="Calibri" w:hAnsi="Calibri"/>
                <w:color w:val="2D2D2D"/>
                <w:sz w:val="19"/>
              </w:rPr>
              <w:t>Perceived Difficulty (Effort Expectancy)</w:t>
            </w:r>
          </w:p>
        </w:tc>
        <w:tc>
          <w:tcPr>
            <w:tcW w:type="dxa" w:w="2592"/>
          </w:tcPr>
          <w:p>
            <w:r/>
            <w:r>
              <w:rPr>
                <w:rFonts w:ascii="Calibri" w:hAnsi="Calibri"/>
                <w:color w:val="2D2D2D"/>
                <w:sz w:val="19"/>
              </w:rPr>
              <w:t>Median Likert ≤ 2.5</w:t>
            </w:r>
          </w:p>
        </w:tc>
        <w:tc>
          <w:tcPr>
            <w:tcW w:type="dxa" w:w="4320"/>
          </w:tcPr>
          <w:p>
            <w:r/>
            <w:r>
              <w:rPr>
                <w:rFonts w:ascii="Calibri" w:hAnsi="Calibri"/>
                <w:color w:val="2D2D2D"/>
                <w:sz w:val="19"/>
              </w:rPr>
              <w:t>5-point Likert (reverse scored)</w:t>
            </w:r>
          </w:p>
        </w:tc>
      </w:tr>
      <w:tr>
        <w:tc>
          <w:tcPr>
            <w:tcW w:type="dxa" w:w="3168"/>
            <w:shd w:fill="F2F2F2"/>
          </w:tcPr>
          <w:p>
            <w:r/>
            <w:r>
              <w:rPr>
                <w:rFonts w:ascii="Calibri" w:hAnsi="Calibri"/>
                <w:color w:val="2D2D2D"/>
                <w:sz w:val="19"/>
              </w:rPr>
              <w:t>IT Support Availability</w:t>
            </w:r>
          </w:p>
        </w:tc>
        <w:tc>
          <w:tcPr>
            <w:tcW w:type="dxa" w:w="2592"/>
            <w:shd w:fill="F2F2F2"/>
          </w:tcPr>
          <w:p>
            <w:r/>
            <w:r>
              <w:rPr>
                <w:rFonts w:ascii="Calibri" w:hAnsi="Calibri"/>
                <w:color w:val="2D2D2D"/>
                <w:sz w:val="19"/>
              </w:rPr>
              <w:t>≥ 70% report accessible support</w:t>
            </w:r>
          </w:p>
        </w:tc>
        <w:tc>
          <w:tcPr>
            <w:tcW w:type="dxa" w:w="4320"/>
            <w:shd w:fill="F2F2F2"/>
          </w:tcPr>
          <w:p>
            <w:r/>
            <w:r>
              <w:rPr>
                <w:rFonts w:ascii="Calibri" w:hAnsi="Calibri"/>
                <w:color w:val="2D2D2D"/>
                <w:sz w:val="19"/>
              </w:rPr>
              <w:t>% responding “Yes”</w:t>
            </w:r>
          </w:p>
        </w:tc>
      </w:tr>
      <w:tr>
        <w:tc>
          <w:tcPr>
            <w:tcW w:type="dxa" w:w="3168"/>
          </w:tcPr>
          <w:p>
            <w:r/>
            <w:r>
              <w:rPr>
                <w:rFonts w:ascii="Calibri" w:hAnsi="Calibri"/>
                <w:color w:val="2D2D2D"/>
                <w:sz w:val="19"/>
              </w:rPr>
              <w:t>Technical Issue Frequency</w:t>
            </w:r>
          </w:p>
        </w:tc>
        <w:tc>
          <w:tcPr>
            <w:tcW w:type="dxa" w:w="2592"/>
          </w:tcPr>
          <w:p>
            <w:r/>
            <w:r>
              <w:rPr>
                <w:rFonts w:ascii="Calibri" w:hAnsi="Calibri"/>
                <w:color w:val="2D2D2D"/>
                <w:sz w:val="19"/>
              </w:rPr>
              <w:t>≤ 20% report daily issues</w:t>
            </w:r>
          </w:p>
        </w:tc>
        <w:tc>
          <w:tcPr>
            <w:tcW w:type="dxa" w:w="4320"/>
          </w:tcPr>
          <w:p>
            <w:r/>
            <w:r>
              <w:rPr>
                <w:rFonts w:ascii="Calibri" w:hAnsi="Calibri"/>
                <w:color w:val="2D2D2D"/>
                <w:sz w:val="19"/>
              </w:rPr>
              <w:t>% responding “Daily”</w:t>
            </w:r>
          </w:p>
        </w:tc>
      </w:tr>
      <w:tr>
        <w:tc>
          <w:tcPr>
            <w:tcW w:type="dxa" w:w="3168"/>
            <w:shd w:fill="F2F2F2"/>
          </w:tcPr>
          <w:p>
            <w:r/>
            <w:r>
              <w:rPr>
                <w:rFonts w:ascii="Calibri" w:hAnsi="Calibri"/>
                <w:color w:val="2D2D2D"/>
                <w:sz w:val="19"/>
              </w:rPr>
              <w:t>Instrument Reliability (Cronbach’s α)</w:t>
            </w:r>
          </w:p>
        </w:tc>
        <w:tc>
          <w:tcPr>
            <w:tcW w:type="dxa" w:w="2592"/>
            <w:shd w:fill="F2F2F2"/>
          </w:tcPr>
          <w:p>
            <w:r/>
            <w:r>
              <w:rPr>
                <w:rFonts w:ascii="Calibri" w:hAnsi="Calibri"/>
                <w:color w:val="2D2D2D"/>
                <w:sz w:val="19"/>
              </w:rPr>
              <w:t>α ≥ 0.70 per construct</w:t>
            </w:r>
          </w:p>
        </w:tc>
        <w:tc>
          <w:tcPr>
            <w:tcW w:type="dxa" w:w="4320"/>
            <w:shd w:fill="F2F2F2"/>
          </w:tcPr>
          <w:p>
            <w:r/>
            <w:r>
              <w:rPr>
                <w:rFonts w:ascii="Calibri" w:hAnsi="Calibri"/>
                <w:color w:val="2D2D2D"/>
                <w:sz w:val="19"/>
              </w:rPr>
              <w:t>Cronbach’s Alpha on sub-scales</w:t>
            </w:r>
          </w:p>
        </w:tc>
      </w:tr>
    </w:tbl>
    <w:p>
      <w:pPr>
        <w:spacing w:after="120"/>
      </w:pPr>
      <w:r>
        <w:rPr>
          <w:rFonts w:ascii="Calibri" w:hAnsi="Calibri"/>
          <w:b w:val="0"/>
          <w:i w:val="0"/>
          <w:color w:val="2D2D2D"/>
          <w:sz w:val="22"/>
        </w:rPr>
      </w:r>
    </w:p>
    <w:p>
      <w:pPr>
        <w:pStyle w:val="Heading2"/>
      </w:pPr>
      <w:r>
        <w:rPr>
          <w:rFonts w:ascii="Calibri" w:hAnsi="Calibri"/>
          <w:color w:val="1B2A4A"/>
        </w:rPr>
        <w:t>3.2 Qualitative Evaluation Factors</w:t>
      </w:r>
    </w:p>
    <w:tbl>
      <w:tblPr>
        <w:tblStyle w:val="TableGrid"/>
        <w:tblW w:type="auto" w:w="0"/>
        <w:jc w:val="center"/>
        <w:tblLook w:firstColumn="1" w:firstRow="1" w:lastColumn="0" w:lastRow="0" w:noHBand="0" w:noVBand="1" w:val="04A0"/>
      </w:tblPr>
      <w:tblGrid>
        <w:gridCol w:w="4680"/>
        <w:gridCol w:w="4680"/>
      </w:tblGrid>
      <w:tr>
        <w:tc>
          <w:tcPr>
            <w:tcW w:type="dxa" w:w="3600"/>
            <w:shd w:fill="1B2A4A"/>
          </w:tcPr>
          <w:p>
            <w:pPr>
              <w:jc w:val="center"/>
            </w:pPr>
            <w:r/>
            <w:r>
              <w:rPr>
                <w:rFonts w:ascii="Calibri" w:hAnsi="Calibri"/>
                <w:b/>
                <w:color w:val="FFFFFF"/>
                <w:sz w:val="20"/>
              </w:rPr>
              <w:t>Factor</w:t>
            </w:r>
          </w:p>
        </w:tc>
        <w:tc>
          <w:tcPr>
            <w:tcW w:type="dxa" w:w="6480"/>
            <w:shd w:fill="1B2A4A"/>
          </w:tcPr>
          <w:p>
            <w:pPr>
              <w:jc w:val="center"/>
            </w:pPr>
            <w:r/>
            <w:r>
              <w:rPr>
                <w:rFonts w:ascii="Calibri" w:hAnsi="Calibri"/>
                <w:b/>
                <w:color w:val="FFFFFF"/>
                <w:sz w:val="20"/>
              </w:rPr>
              <w:t>What Constitutes "Success"</w:t>
            </w:r>
          </w:p>
        </w:tc>
      </w:tr>
      <w:tr>
        <w:tc>
          <w:tcPr>
            <w:tcW w:type="dxa" w:w="3600"/>
          </w:tcPr>
          <w:p>
            <w:r/>
            <w:r>
              <w:rPr>
                <w:rFonts w:ascii="Calibri" w:hAnsi="Calibri"/>
                <w:color w:val="2D2D2D"/>
                <w:sz w:val="19"/>
              </w:rPr>
              <w:t>Thematic Saturation</w:t>
            </w:r>
          </w:p>
        </w:tc>
        <w:tc>
          <w:tcPr>
            <w:tcW w:type="dxa" w:w="6480"/>
          </w:tcPr>
          <w:p>
            <w:r/>
            <w:r>
              <w:rPr>
                <w:rFonts w:ascii="Calibri" w:hAnsi="Calibri"/>
                <w:color w:val="2D2D2D"/>
                <w:sz w:val="19"/>
              </w:rPr>
              <w:t>No new significant themes emerge in the final 2–3 interviews/FGDs</w:t>
            </w:r>
          </w:p>
        </w:tc>
      </w:tr>
      <w:tr>
        <w:tc>
          <w:tcPr>
            <w:tcW w:type="dxa" w:w="3600"/>
            <w:shd w:fill="F2F2F2"/>
          </w:tcPr>
          <w:p>
            <w:r/>
            <w:r>
              <w:rPr>
                <w:rFonts w:ascii="Calibri" w:hAnsi="Calibri"/>
                <w:color w:val="2D2D2D"/>
                <w:sz w:val="19"/>
              </w:rPr>
              <w:t>Triangulation Convergence</w:t>
            </w:r>
          </w:p>
        </w:tc>
        <w:tc>
          <w:tcPr>
            <w:tcW w:type="dxa" w:w="6480"/>
            <w:shd w:fill="F2F2F2"/>
          </w:tcPr>
          <w:p>
            <w:r/>
            <w:r>
              <w:rPr>
                <w:rFonts w:ascii="Calibri" w:hAnsi="Calibri"/>
                <w:color w:val="2D2D2D"/>
                <w:sz w:val="19"/>
              </w:rPr>
              <w:t>Qualitative themes corroborate quantitative findings across ≥ 2 data sources</w:t>
            </w:r>
          </w:p>
        </w:tc>
      </w:tr>
      <w:tr>
        <w:tc>
          <w:tcPr>
            <w:tcW w:type="dxa" w:w="3600"/>
          </w:tcPr>
          <w:p>
            <w:r/>
            <w:r>
              <w:rPr>
                <w:rFonts w:ascii="Calibri" w:hAnsi="Calibri"/>
                <w:color w:val="2D2D2D"/>
                <w:sz w:val="19"/>
              </w:rPr>
              <w:t>TAM/UTAUT Construct Coverage</w:t>
            </w:r>
          </w:p>
        </w:tc>
        <w:tc>
          <w:tcPr>
            <w:tcW w:type="dxa" w:w="6480"/>
          </w:tcPr>
          <w:p>
            <w:r/>
            <w:r>
              <w:rPr>
                <w:rFonts w:ascii="Calibri" w:hAnsi="Calibri"/>
                <w:color w:val="2D2D2D"/>
                <w:sz w:val="19"/>
              </w:rPr>
              <w:t>All four constructs (PE, EE, SI, FC) addressed by at least one theme</w:t>
            </w:r>
          </w:p>
        </w:tc>
      </w:tr>
      <w:tr>
        <w:tc>
          <w:tcPr>
            <w:tcW w:type="dxa" w:w="3600"/>
            <w:shd w:fill="F2F2F2"/>
          </w:tcPr>
          <w:p>
            <w:r/>
            <w:r>
              <w:rPr>
                <w:rFonts w:ascii="Calibri" w:hAnsi="Calibri"/>
                <w:color w:val="2D2D2D"/>
                <w:sz w:val="19"/>
              </w:rPr>
              <w:t>Actionability of Findings</w:t>
            </w:r>
          </w:p>
        </w:tc>
        <w:tc>
          <w:tcPr>
            <w:tcW w:type="dxa" w:w="6480"/>
            <w:shd w:fill="F2F2F2"/>
          </w:tcPr>
          <w:p>
            <w:r/>
            <w:r>
              <w:rPr>
                <w:rFonts w:ascii="Calibri" w:hAnsi="Calibri"/>
                <w:color w:val="2D2D2D"/>
                <w:sz w:val="19"/>
              </w:rPr>
              <w:t>Each bottleneck mapped to a specific, feasible recommendation</w:t>
            </w:r>
          </w:p>
        </w:tc>
      </w:tr>
      <w:tr>
        <w:tc>
          <w:tcPr>
            <w:tcW w:type="dxa" w:w="3600"/>
          </w:tcPr>
          <w:p>
            <w:r/>
            <w:r>
              <w:rPr>
                <w:rFonts w:ascii="Calibri" w:hAnsi="Calibri"/>
                <w:color w:val="2D2D2D"/>
                <w:sz w:val="19"/>
              </w:rPr>
              <w:t>Participant Representativeness</w:t>
            </w:r>
          </w:p>
        </w:tc>
        <w:tc>
          <w:tcPr>
            <w:tcW w:type="dxa" w:w="6480"/>
          </w:tcPr>
          <w:p>
            <w:r/>
            <w:r>
              <w:rPr>
                <w:rFonts w:ascii="Calibri" w:hAnsi="Calibri"/>
                <w:color w:val="2D2D2D"/>
                <w:sz w:val="19"/>
              </w:rPr>
              <w:t>Sub-sample covers all cadres, office types, age groups, and departments</w:t>
            </w:r>
          </w:p>
        </w:tc>
      </w:tr>
    </w:tbl>
    <w:p>
      <w:pPr>
        <w:spacing w:after="120"/>
      </w:pPr>
      <w:r>
        <w:rPr>
          <w:rFonts w:ascii="Calibri" w:hAnsi="Calibri"/>
          <w:b w:val="0"/>
          <w:i w:val="0"/>
          <w:color w:val="2D2D2D"/>
          <w:sz w:val="22"/>
        </w:rPr>
      </w:r>
    </w:p>
    <w:p>
      <w:pPr>
        <w:pStyle w:val="Heading2"/>
      </w:pPr>
      <w:r>
        <w:rPr>
          <w:rFonts w:ascii="Calibri" w:hAnsi="Calibri"/>
          <w:color w:val="1B2A4A"/>
        </w:rPr>
        <w:t>3.3 Criteria for Viability of Recommendations</w:t>
      </w:r>
    </w:p>
    <w:p>
      <w:r>
        <w:rPr>
          <w:rFonts w:ascii="Calibri" w:hAnsi="Calibri"/>
          <w:b/>
          <w:color w:val="1B2A4A"/>
          <w:sz w:val="21"/>
        </w:rPr>
        <w:t xml:space="preserve">1. Evidence Base: </w:t>
      </w:r>
      <w:r>
        <w:rPr>
          <w:rFonts w:ascii="Calibri" w:hAnsi="Calibri"/>
          <w:color w:val="2D2D2D"/>
          <w:sz w:val="21"/>
        </w:rPr>
        <w:t>Is it directly supported by data from this study?</w:t>
      </w:r>
    </w:p>
    <w:p>
      <w:r>
        <w:rPr>
          <w:rFonts w:ascii="Calibri" w:hAnsi="Calibri"/>
          <w:b/>
          <w:color w:val="1B2A4A"/>
          <w:sz w:val="21"/>
        </w:rPr>
        <w:t xml:space="preserve">2. Policy Alignment: </w:t>
      </w:r>
      <w:r>
        <w:rPr>
          <w:rFonts w:ascii="Calibri" w:hAnsi="Calibri"/>
          <w:color w:val="2D2D2D"/>
          <w:sz w:val="21"/>
        </w:rPr>
        <w:t>Does it align with Digital India / Mission Karmayogi objectives?</w:t>
      </w:r>
    </w:p>
    <w:p>
      <w:r>
        <w:rPr>
          <w:rFonts w:ascii="Calibri" w:hAnsi="Calibri"/>
          <w:b/>
          <w:color w:val="1B2A4A"/>
          <w:sz w:val="21"/>
        </w:rPr>
        <w:t xml:space="preserve">3. Feasibility: </w:t>
      </w:r>
      <w:r>
        <w:rPr>
          <w:rFonts w:ascii="Calibri" w:hAnsi="Calibri"/>
          <w:color w:val="2D2D2D"/>
          <w:sz w:val="21"/>
        </w:rPr>
        <w:t>Can it be implemented within existing institutional constraints and budget?</w:t>
      </w:r>
    </w:p>
    <w:p>
      <w:r>
        <w:rPr>
          <w:rFonts w:ascii="Calibri" w:hAnsi="Calibri"/>
          <w:b/>
          <w:color w:val="1B2A4A"/>
          <w:sz w:val="21"/>
        </w:rPr>
        <w:t xml:space="preserve">4. Scalability: </w:t>
      </w:r>
      <w:r>
        <w:rPr>
          <w:rFonts w:ascii="Calibri" w:hAnsi="Calibri"/>
          <w:color w:val="2D2D2D"/>
          <w:sz w:val="21"/>
        </w:rPr>
        <w:t>Can it be replicated across other departments or states?</w:t>
      </w:r>
    </w:p>
    <w:p>
      <w:r>
        <w:rPr>
          <w:rFonts w:ascii="Calibri" w:hAnsi="Calibri"/>
          <w:b/>
          <w:color w:val="1B2A4A"/>
          <w:sz w:val="21"/>
        </w:rPr>
        <w:t xml:space="preserve">5. Impact Potential: </w:t>
      </w:r>
      <w:r>
        <w:rPr>
          <w:rFonts w:ascii="Calibri" w:hAnsi="Calibri"/>
          <w:color w:val="2D2D2D"/>
          <w:sz w:val="21"/>
        </w:rPr>
        <w:t>Will it demonstrably improve service delivery timelines or employee efficiency?</w:t>
      </w:r>
    </w:p>
    <w:p>
      <w:r>
        <w:br w:type="page"/>
      </w:r>
    </w:p>
    <w:p>
      <w:pPr>
        <w:pStyle w:val="Heading1"/>
      </w:pPr>
      <w:r>
        <w:rPr>
          <w:rFonts w:ascii="Calibri" w:hAnsi="Calibri"/>
          <w:color w:val="1B2A4A"/>
        </w:rPr>
        <w:t>PART 4 — EXPECTED OUTCOMES</w:t>
      </w:r>
    </w:p>
    <w:p>
      <w:pPr>
        <w:pStyle w:val="Heading2"/>
      </w:pPr>
      <w:r>
        <w:rPr>
          <w:rFonts w:ascii="Calibri" w:hAnsi="Calibri"/>
          <w:color w:val="1B2A4A"/>
        </w:rPr>
        <w:t>4.1 Anticipated Findings</w:t>
      </w:r>
    </w:p>
    <w:p>
      <w:pPr>
        <w:spacing w:after="80"/>
      </w:pPr>
      <w:r>
        <w:rPr>
          <w:rFonts w:ascii="Calibri" w:hAnsi="Calibri"/>
          <w:b/>
          <w:i w:val="0"/>
          <w:color w:val="1B2A4A"/>
          <w:sz w:val="22"/>
        </w:rPr>
        <w:t>Objective 1 (Infrastructure &amp; Awareness)</w:t>
      </w:r>
    </w:p>
    <w:p>
      <w:pPr>
        <w:pStyle w:val="ListBullet"/>
      </w:pPr>
      <w:r>
        <w:rPr>
          <w:rFonts w:ascii="Calibri" w:hAnsi="Calibri"/>
          <w:color w:val="2D2D2D"/>
          <w:sz w:val="21"/>
        </w:rPr>
        <w:t>Significant disparity in device availability between Head Offices (better equipped) and District Offices</w:t>
      </w:r>
    </w:p>
    <w:p>
      <w:pPr>
        <w:pStyle w:val="ListBullet"/>
      </w:pPr>
      <w:r>
        <w:rPr>
          <w:rFonts w:ascii="Calibri" w:hAnsi="Calibri"/>
          <w:color w:val="2D2D2D"/>
          <w:sz w:val="21"/>
        </w:rPr>
        <w:t>High awareness of basic tools (email) but low awareness of specialised platforms (e-Office, CPGRAMS)</w:t>
      </w:r>
    </w:p>
    <w:p>
      <w:pPr>
        <w:pStyle w:val="ListBullet"/>
      </w:pPr>
      <w:r>
        <w:rPr>
          <w:rFonts w:ascii="Calibri" w:hAnsi="Calibri"/>
          <w:color w:val="2D2D2D"/>
          <w:sz w:val="21"/>
        </w:rPr>
        <w:t>Usage frequency likely correlated with age group (lower in 46–60 cohort)</w:t>
      </w:r>
    </w:p>
    <w:p>
      <w:pPr>
        <w:spacing w:after="80"/>
      </w:pPr>
      <w:r>
        <w:rPr>
          <w:rFonts w:ascii="Calibri" w:hAnsi="Calibri"/>
          <w:b/>
          <w:i w:val="0"/>
          <w:color w:val="1B2A4A"/>
          <w:sz w:val="22"/>
        </w:rPr>
        <w:t>Objective 2 (Capacity Building)</w:t>
      </w:r>
    </w:p>
    <w:p>
      <w:pPr>
        <w:pStyle w:val="ListBullet"/>
      </w:pPr>
      <w:r>
        <w:rPr>
          <w:rFonts w:ascii="Calibri" w:hAnsi="Calibri"/>
          <w:color w:val="2D2D2D"/>
          <w:sz w:val="21"/>
        </w:rPr>
        <w:t>Formal training coverage likely below 50% of total staff</w:t>
      </w:r>
    </w:p>
    <w:p>
      <w:pPr>
        <w:pStyle w:val="ListBullet"/>
      </w:pPr>
      <w:r>
        <w:rPr>
          <w:rFonts w:ascii="Calibri" w:hAnsi="Calibri"/>
          <w:color w:val="2D2D2D"/>
          <w:sz w:val="21"/>
        </w:rPr>
        <w:t>Training satisfaction likely varies significantly by cadre — Class III/IV staff may report lower satisfaction</w:t>
      </w:r>
    </w:p>
    <w:p>
      <w:pPr>
        <w:pStyle w:val="ListBullet"/>
      </w:pPr>
      <w:r>
        <w:rPr>
          <w:rFonts w:ascii="Calibri" w:hAnsi="Calibri"/>
          <w:color w:val="2D2D2D"/>
          <w:sz w:val="21"/>
        </w:rPr>
        <w:t>IT helpdesk availability expected to be significantly higher at Head Offices than District Offices</w:t>
      </w:r>
    </w:p>
    <w:p>
      <w:pPr>
        <w:spacing w:after="80"/>
      </w:pPr>
      <w:r>
        <w:rPr>
          <w:rFonts w:ascii="Calibri" w:hAnsi="Calibri"/>
          <w:b/>
          <w:i w:val="0"/>
          <w:color w:val="1B2A4A"/>
          <w:sz w:val="22"/>
        </w:rPr>
        <w:t>Objective 3 (Bottlenecks)</w:t>
      </w:r>
    </w:p>
    <w:p>
      <w:pPr>
        <w:pStyle w:val="ListBullet"/>
      </w:pPr>
      <w:r>
        <w:rPr>
          <w:rFonts w:ascii="Calibri" w:hAnsi="Calibri"/>
          <w:color w:val="2D2D2D"/>
          <w:sz w:val="21"/>
        </w:rPr>
        <w:t>Top bottleneck anticipated: poor internet connectivity at District Offices (Facilitating Conditions)</w:t>
      </w:r>
    </w:p>
    <w:p>
      <w:pPr>
        <w:pStyle w:val="ListBullet"/>
      </w:pPr>
      <w:r>
        <w:rPr>
          <w:rFonts w:ascii="Calibri" w:hAnsi="Calibri"/>
          <w:color w:val="2D2D2D"/>
          <w:sz w:val="21"/>
        </w:rPr>
        <w:t>Significant attitudinal resistance among senior employees (46–60 age group) — Effort Expectancy</w:t>
      </w:r>
    </w:p>
    <w:p>
      <w:pPr>
        <w:pStyle w:val="ListBullet"/>
      </w:pPr>
      <w:r>
        <w:rPr>
          <w:rFonts w:ascii="Calibri" w:hAnsi="Calibri"/>
          <w:color w:val="2D2D2D"/>
          <w:sz w:val="21"/>
        </w:rPr>
        <w:t>Lack of departmental mandate / accountability for digital adoption — Social Influence</w:t>
      </w:r>
    </w:p>
    <w:p>
      <w:pPr>
        <w:pStyle w:val="ListBullet"/>
      </w:pPr>
      <w:r>
        <w:rPr>
          <w:rFonts w:ascii="Calibri" w:hAnsi="Calibri"/>
          <w:color w:val="2D2D2D"/>
          <w:sz w:val="21"/>
        </w:rPr>
        <w:t>Software usability issues (complex interfaces) — Performance Expectancy</w:t>
      </w:r>
    </w:p>
    <w:p>
      <w:pPr>
        <w:spacing w:after="80"/>
      </w:pPr>
      <w:r>
        <w:rPr>
          <w:rFonts w:ascii="Calibri" w:hAnsi="Calibri"/>
          <w:b/>
          <w:i w:val="0"/>
          <w:color w:val="1B2A4A"/>
          <w:sz w:val="22"/>
        </w:rPr>
        <w:t>Objective 4 (Recommendations)</w:t>
      </w:r>
    </w:p>
    <w:p>
      <w:pPr>
        <w:pStyle w:val="ListBullet"/>
      </w:pPr>
      <w:r>
        <w:rPr>
          <w:rFonts w:ascii="Calibri" w:hAnsi="Calibri"/>
          <w:color w:val="2D2D2D"/>
          <w:sz w:val="21"/>
        </w:rPr>
        <w:t>Infrastructure investment priorities (bandwidth, devices) for District Offices</w:t>
      </w:r>
    </w:p>
    <w:p>
      <w:pPr>
        <w:pStyle w:val="ListBullet"/>
      </w:pPr>
      <w:r>
        <w:rPr>
          <w:rFonts w:ascii="Calibri" w:hAnsi="Calibri"/>
          <w:color w:val="2D2D2D"/>
          <w:sz w:val="21"/>
        </w:rPr>
        <w:t>Cadre-specific, role-based training programmes (not one-size-fits-all)</w:t>
      </w:r>
    </w:p>
    <w:p>
      <w:pPr>
        <w:pStyle w:val="ListBullet"/>
      </w:pPr>
      <w:r>
        <w:rPr>
          <w:rFonts w:ascii="Calibri" w:hAnsi="Calibri"/>
          <w:color w:val="2D2D2D"/>
          <w:sz w:val="21"/>
        </w:rPr>
        <w:t>Establishment of permanent IT helpdesk at District level</w:t>
      </w:r>
    </w:p>
    <w:p>
      <w:pPr>
        <w:pStyle w:val="ListBullet"/>
      </w:pPr>
      <w:r>
        <w:rPr>
          <w:rFonts w:ascii="Calibri" w:hAnsi="Calibri"/>
          <w:color w:val="2D2D2D"/>
          <w:sz w:val="21"/>
        </w:rPr>
        <w:t>Policy mandate for digital-first workflows with transition support</w:t>
      </w:r>
    </w:p>
    <w:p>
      <w:pPr>
        <w:pStyle w:val="Heading2"/>
      </w:pPr>
      <w:r>
        <w:rPr>
          <w:rFonts w:ascii="Calibri" w:hAnsi="Calibri"/>
          <w:color w:val="1B2A4A"/>
        </w:rPr>
        <w:t>4.2 Next Steps Following Research</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B2A4A"/>
          </w:tcPr>
          <w:p>
            <w:pPr>
              <w:jc w:val="center"/>
            </w:pPr>
            <w:r/>
            <w:r>
              <w:rPr>
                <w:rFonts w:ascii="Calibri" w:hAnsi="Calibri"/>
                <w:b/>
                <w:color w:val="FFFFFF"/>
                <w:sz w:val="20"/>
              </w:rPr>
              <w:t>Phase</w:t>
            </w:r>
          </w:p>
        </w:tc>
        <w:tc>
          <w:tcPr>
            <w:tcW w:type="dxa" w:w="5040"/>
            <w:shd w:fill="1B2A4A"/>
          </w:tcPr>
          <w:p>
            <w:pPr>
              <w:jc w:val="center"/>
            </w:pPr>
            <w:r/>
            <w:r>
              <w:rPr>
                <w:rFonts w:ascii="Calibri" w:hAnsi="Calibri"/>
                <w:b/>
                <w:color w:val="FFFFFF"/>
                <w:sz w:val="20"/>
              </w:rPr>
              <w:t>Action</w:t>
            </w:r>
          </w:p>
        </w:tc>
        <w:tc>
          <w:tcPr>
            <w:tcW w:type="dxa" w:w="2448"/>
            <w:shd w:fill="1B2A4A"/>
          </w:tcPr>
          <w:p>
            <w:pPr>
              <w:jc w:val="center"/>
            </w:pPr>
            <w:r/>
            <w:r>
              <w:rPr>
                <w:rFonts w:ascii="Calibri" w:hAnsi="Calibri"/>
                <w:b/>
                <w:color w:val="FFFFFF"/>
                <w:sz w:val="20"/>
              </w:rPr>
              <w:t>Timeline</w:t>
            </w:r>
          </w:p>
        </w:tc>
      </w:tr>
      <w:tr>
        <w:tc>
          <w:tcPr>
            <w:tcW w:type="dxa" w:w="2592"/>
          </w:tcPr>
          <w:p>
            <w:r/>
            <w:r>
              <w:rPr>
                <w:rFonts w:ascii="Calibri" w:hAnsi="Calibri"/>
                <w:color w:val="2D2D2D"/>
                <w:sz w:val="19"/>
              </w:rPr>
              <w:t>Immediate (Week 4)</w:t>
            </w:r>
          </w:p>
        </w:tc>
        <w:tc>
          <w:tcPr>
            <w:tcW w:type="dxa" w:w="5040"/>
          </w:tcPr>
          <w:p>
            <w:r/>
            <w:r>
              <w:rPr>
                <w:rFonts w:ascii="Calibri" w:hAnsi="Calibri"/>
                <w:color w:val="2D2D2D"/>
                <w:sz w:val="19"/>
              </w:rPr>
              <w:t>Present findings and evidence-based recommendations to AIGGPA senior management</w:t>
            </w:r>
          </w:p>
        </w:tc>
        <w:tc>
          <w:tcPr>
            <w:tcW w:type="dxa" w:w="2448"/>
          </w:tcPr>
          <w:p>
            <w:r/>
            <w:r>
              <w:rPr>
                <w:rFonts w:ascii="Calibri" w:hAnsi="Calibri"/>
                <w:color w:val="2D2D2D"/>
                <w:sz w:val="19"/>
              </w:rPr>
              <w:t>End of internship</w:t>
            </w:r>
          </w:p>
        </w:tc>
      </w:tr>
      <w:tr>
        <w:tc>
          <w:tcPr>
            <w:tcW w:type="dxa" w:w="2592"/>
            <w:shd w:fill="F2F2F2"/>
          </w:tcPr>
          <w:p>
            <w:r/>
            <w:r>
              <w:rPr>
                <w:rFonts w:ascii="Calibri" w:hAnsi="Calibri"/>
                <w:color w:val="2D2D2D"/>
                <w:sz w:val="19"/>
              </w:rPr>
              <w:t>Short-term (1–3 months)</w:t>
            </w:r>
          </w:p>
        </w:tc>
        <w:tc>
          <w:tcPr>
            <w:tcW w:type="dxa" w:w="5040"/>
            <w:shd w:fill="F2F2F2"/>
          </w:tcPr>
          <w:p>
            <w:r/>
            <w:r>
              <w:rPr>
                <w:rFonts w:ascii="Calibri" w:hAnsi="Calibri"/>
                <w:color w:val="2D2D2D"/>
                <w:sz w:val="19"/>
              </w:rPr>
              <w:t>Department-level dissemination; initiate pilot training programmes</w:t>
            </w:r>
          </w:p>
        </w:tc>
        <w:tc>
          <w:tcPr>
            <w:tcW w:type="dxa" w:w="2448"/>
            <w:shd w:fill="F2F2F2"/>
          </w:tcPr>
          <w:p>
            <w:r/>
            <w:r>
              <w:rPr>
                <w:rFonts w:ascii="Calibri" w:hAnsi="Calibri"/>
                <w:color w:val="2D2D2D"/>
                <w:sz w:val="19"/>
              </w:rPr>
              <w:t>Post-internship</w:t>
            </w:r>
          </w:p>
        </w:tc>
      </w:tr>
      <w:tr>
        <w:tc>
          <w:tcPr>
            <w:tcW w:type="dxa" w:w="2592"/>
          </w:tcPr>
          <w:p>
            <w:r/>
            <w:r>
              <w:rPr>
                <w:rFonts w:ascii="Calibri" w:hAnsi="Calibri"/>
                <w:color w:val="2D2D2D"/>
                <w:sz w:val="19"/>
              </w:rPr>
              <w:t>Medium-term (3–6 months)</w:t>
            </w:r>
          </w:p>
        </w:tc>
        <w:tc>
          <w:tcPr>
            <w:tcW w:type="dxa" w:w="5040"/>
          </w:tcPr>
          <w:p>
            <w:r/>
            <w:r>
              <w:rPr>
                <w:rFonts w:ascii="Calibri" w:hAnsi="Calibri"/>
                <w:color w:val="2D2D2D"/>
                <w:sz w:val="19"/>
              </w:rPr>
              <w:t>Policy brief prepared for state administration</w:t>
            </w:r>
          </w:p>
        </w:tc>
        <w:tc>
          <w:tcPr>
            <w:tcW w:type="dxa" w:w="2448"/>
          </w:tcPr>
          <w:p>
            <w:r/>
            <w:r>
              <w:rPr>
                <w:rFonts w:ascii="Calibri" w:hAnsi="Calibri"/>
                <w:color w:val="2D2D2D"/>
                <w:sz w:val="19"/>
              </w:rPr>
              <w:t>Post-internship</w:t>
            </w:r>
          </w:p>
        </w:tc>
      </w:tr>
      <w:tr>
        <w:tc>
          <w:tcPr>
            <w:tcW w:type="dxa" w:w="2592"/>
            <w:shd w:fill="F2F2F2"/>
          </w:tcPr>
          <w:p>
            <w:r/>
            <w:r>
              <w:rPr>
                <w:rFonts w:ascii="Calibri" w:hAnsi="Calibri"/>
                <w:color w:val="2D2D2D"/>
                <w:sz w:val="19"/>
              </w:rPr>
              <w:t>Long-term (6–12 months)</w:t>
            </w:r>
          </w:p>
        </w:tc>
        <w:tc>
          <w:tcPr>
            <w:tcW w:type="dxa" w:w="5040"/>
            <w:shd w:fill="F2F2F2"/>
          </w:tcPr>
          <w:p>
            <w:r/>
            <w:r>
              <w:rPr>
                <w:rFonts w:ascii="Calibri" w:hAnsi="Calibri"/>
                <w:color w:val="2D2D2D"/>
                <w:sz w:val="19"/>
              </w:rPr>
              <w:t>Follow-up study to measure impact of implemented recommendations</w:t>
            </w:r>
          </w:p>
        </w:tc>
        <w:tc>
          <w:tcPr>
            <w:tcW w:type="dxa" w:w="2448"/>
            <w:shd w:fill="F2F2F2"/>
          </w:tcPr>
          <w:p>
            <w:r/>
            <w:r>
              <w:rPr>
                <w:rFonts w:ascii="Calibri" w:hAnsi="Calibri"/>
                <w:color w:val="2D2D2D"/>
                <w:sz w:val="19"/>
              </w:rPr>
              <w:t>Future research</w:t>
            </w:r>
          </w:p>
        </w:tc>
      </w:tr>
    </w:tbl>
    <w:p>
      <w:pPr>
        <w:spacing w:after="120"/>
      </w:pPr>
      <w:r>
        <w:rPr>
          <w:rFonts w:ascii="Calibri" w:hAnsi="Calibri"/>
          <w:b w:val="0"/>
          <w:i w:val="0"/>
          <w:color w:val="2D2D2D"/>
          <w:sz w:val="22"/>
        </w:rPr>
      </w:r>
    </w:p>
    <w:p>
      <w:pPr>
        <w:pStyle w:val="Heading2"/>
      </w:pPr>
      <w:r>
        <w:rPr>
          <w:rFonts w:ascii="Calibri" w:hAnsi="Calibri"/>
          <w:color w:val="1B2A4A"/>
        </w:rPr>
        <w:t>4.3 Deliverables</w:t>
      </w:r>
    </w:p>
    <w:p>
      <w:pPr>
        <w:pStyle w:val="ListBullet"/>
      </w:pPr>
      <w:r>
        <w:rPr>
          <w:rFonts w:ascii="Calibri" w:hAnsi="Calibri"/>
          <w:color w:val="2D2D2D"/>
          <w:sz w:val="21"/>
        </w:rPr>
        <w:t>1. Final Research Report — comprehensive mixed-methods analysis with all findings, visualisations, and recommendations</w:t>
      </w:r>
    </w:p>
    <w:p>
      <w:pPr>
        <w:pStyle w:val="ListBullet"/>
      </w:pPr>
      <w:r>
        <w:rPr>
          <w:rFonts w:ascii="Calibri" w:hAnsi="Calibri"/>
          <w:color w:val="2D2D2D"/>
          <w:sz w:val="21"/>
        </w:rPr>
        <w:t>2. Executive Summary — 2-page brief for senior management</w:t>
      </w:r>
    </w:p>
    <w:p>
      <w:pPr>
        <w:pStyle w:val="ListBullet"/>
      </w:pPr>
      <w:r>
        <w:rPr>
          <w:rFonts w:ascii="Calibri" w:hAnsi="Calibri"/>
          <w:color w:val="2D2D2D"/>
          <w:sz w:val="21"/>
        </w:rPr>
        <w:t>3. Policy Brief — actionable recommendations aligned with Digital India / Mission Karmayogi</w:t>
      </w:r>
    </w:p>
    <w:p>
      <w:pPr>
        <w:pStyle w:val="ListBullet"/>
      </w:pPr>
      <w:r>
        <w:rPr>
          <w:rFonts w:ascii="Calibri" w:hAnsi="Calibri"/>
          <w:color w:val="2D2D2D"/>
          <w:sz w:val="21"/>
        </w:rPr>
        <w:t>4. Raw Data Archive — anonymised datasets for institutional records</w:t>
      </w:r>
    </w:p>
    <w:p>
      <w:pPr>
        <w:pStyle w:val="ListBullet"/>
      </w:pPr>
      <w:r>
        <w:rPr>
          <w:rFonts w:ascii="Calibri" w:hAnsi="Calibri"/>
          <w:color w:val="2D2D2D"/>
          <w:sz w:val="21"/>
        </w:rPr>
        <w:t>5. Presentation Deck — visual presentation for stakeholder briefing</w:t>
      </w:r>
    </w:p>
    <w:p>
      <w:r>
        <w:br w:type="page"/>
      </w:r>
    </w:p>
    <w:p>
      <w:pPr>
        <w:pStyle w:val="Heading1"/>
      </w:pPr>
      <w:r>
        <w:rPr>
          <w:rFonts w:ascii="Calibri" w:hAnsi="Calibri"/>
          <w:color w:val="1B2A4A"/>
        </w:rPr>
        <w:t>REFERENCES</w:t>
      </w:r>
    </w:p>
    <w:p>
      <w:pPr>
        <w:spacing w:after="80"/>
        <w:ind w:left="720" w:hanging="720"/>
      </w:pPr>
      <w:r>
        <w:rPr>
          <w:rFonts w:ascii="Calibri" w:hAnsi="Calibri"/>
          <w:color w:val="4A4A4A"/>
          <w:sz w:val="20"/>
        </w:rPr>
        <w:t>Agresti, A. (2018). Statistical Methods for the Social Sciences (5th ed.). Pearson.</w:t>
      </w:r>
    </w:p>
    <w:p>
      <w:pPr>
        <w:spacing w:after="80"/>
        <w:ind w:left="720" w:hanging="720"/>
      </w:pPr>
      <w:r>
        <w:rPr>
          <w:rFonts w:ascii="Calibri" w:hAnsi="Calibri"/>
          <w:color w:val="4A4A4A"/>
          <w:sz w:val="20"/>
        </w:rPr>
        <w:t>Braun, V., &amp; Clarke, V. (2006). Using thematic analysis in psychology. Qualitative Research in Psychology, 3(2), 77–101.</w:t>
      </w:r>
    </w:p>
    <w:p>
      <w:pPr>
        <w:spacing w:after="80"/>
        <w:ind w:left="720" w:hanging="720"/>
      </w:pPr>
      <w:r>
        <w:rPr>
          <w:rFonts w:ascii="Calibri" w:hAnsi="Calibri"/>
          <w:color w:val="4A4A4A"/>
          <w:sz w:val="20"/>
        </w:rPr>
        <w:t>Braun, V., &amp; Clarke, V. (2019). Reflecting on reflexive thematic analysis. Qualitative Research in Sport, Exercise and Health, 11(4), 589–597.</w:t>
      </w:r>
    </w:p>
    <w:p>
      <w:pPr>
        <w:spacing w:after="80"/>
        <w:ind w:left="720" w:hanging="720"/>
      </w:pPr>
      <w:r>
        <w:rPr>
          <w:rFonts w:ascii="Calibri" w:hAnsi="Calibri"/>
          <w:color w:val="4A4A4A"/>
          <w:sz w:val="20"/>
        </w:rPr>
        <w:t>Conover, W. J. (1999). Practical Nonparametric Statistics (3rd ed.). Wiley.</w:t>
      </w:r>
    </w:p>
    <w:p>
      <w:pPr>
        <w:spacing w:after="80"/>
        <w:ind w:left="720" w:hanging="720"/>
      </w:pPr>
      <w:r>
        <w:rPr>
          <w:rFonts w:ascii="Calibri" w:hAnsi="Calibri"/>
          <w:color w:val="4A4A4A"/>
          <w:sz w:val="20"/>
        </w:rPr>
        <w:t>Creswell, J. W. (2014). Research Design: Qualitative, Quantitative, and Mixed Methods Approaches (4th ed.). SAGE Publications.</w:t>
      </w:r>
    </w:p>
    <w:p>
      <w:pPr>
        <w:spacing w:after="80"/>
        <w:ind w:left="720" w:hanging="720"/>
      </w:pPr>
      <w:r>
        <w:rPr>
          <w:rFonts w:ascii="Calibri" w:hAnsi="Calibri"/>
          <w:color w:val="4A4A4A"/>
          <w:sz w:val="20"/>
        </w:rPr>
        <w:t>Cronbach, L. J. (1951). Coefficient alpha and the internal structure of tests. Psychometrika, 16(3), 297–334.</w:t>
      </w:r>
    </w:p>
    <w:p>
      <w:pPr>
        <w:spacing w:after="80"/>
        <w:ind w:left="720" w:hanging="720"/>
      </w:pPr>
      <w:r>
        <w:rPr>
          <w:rFonts w:ascii="Calibri" w:hAnsi="Calibri"/>
          <w:color w:val="4A4A4A"/>
          <w:sz w:val="20"/>
        </w:rPr>
        <w:t>Davis, F. D. (1989). Perceived usefulness, perceived ease of use, and user acceptance of information technology. MIS Quarterly, 13(3), 319–340.</w:t>
      </w:r>
    </w:p>
    <w:p>
      <w:pPr>
        <w:spacing w:after="80"/>
        <w:ind w:left="720" w:hanging="720"/>
      </w:pPr>
      <w:r>
        <w:rPr>
          <w:rFonts w:ascii="Calibri" w:hAnsi="Calibri"/>
          <w:color w:val="4A4A4A"/>
          <w:sz w:val="20"/>
        </w:rPr>
        <w:t>Field, A. (2018). Discovering Statistics Using IBM SPSS Statistics (5th ed.). SAGE Publications.</w:t>
      </w:r>
    </w:p>
    <w:p>
      <w:pPr>
        <w:spacing w:after="80"/>
        <w:ind w:left="720" w:hanging="720"/>
      </w:pPr>
      <w:r>
        <w:rPr>
          <w:rFonts w:ascii="Calibri" w:hAnsi="Calibri"/>
          <w:color w:val="4A4A4A"/>
          <w:sz w:val="20"/>
        </w:rPr>
        <w:t>Gibbons, J. D., &amp; Chakraborti, S. (2010). Nonparametric Statistical Inference (5th ed.). CRC Press.</w:t>
      </w:r>
    </w:p>
    <w:p>
      <w:pPr>
        <w:spacing w:after="80"/>
        <w:ind w:left="720" w:hanging="720"/>
      </w:pPr>
      <w:r>
        <w:rPr>
          <w:rFonts w:ascii="Calibri" w:hAnsi="Calibri"/>
          <w:color w:val="4A4A4A"/>
          <w:sz w:val="20"/>
        </w:rPr>
        <w:t>Government of India, Department of Personnel &amp; Training. (2020). National Programme for Civil Services Capacity Building (Mission Karmayogi).</w:t>
      </w:r>
    </w:p>
    <w:p>
      <w:pPr>
        <w:spacing w:after="80"/>
        <w:ind w:left="720" w:hanging="720"/>
      </w:pPr>
      <w:r>
        <w:rPr>
          <w:rFonts w:ascii="Calibri" w:hAnsi="Calibri"/>
          <w:color w:val="4A4A4A"/>
          <w:sz w:val="20"/>
        </w:rPr>
        <w:t>Government of India, Ministry of Electronics &amp; Information Technology. (2015). Digital India.</w:t>
      </w:r>
    </w:p>
    <w:p>
      <w:pPr>
        <w:spacing w:after="80"/>
        <w:ind w:left="720" w:hanging="720"/>
      </w:pPr>
      <w:r>
        <w:rPr>
          <w:rFonts w:ascii="Calibri" w:hAnsi="Calibri"/>
          <w:color w:val="4A4A4A"/>
          <w:sz w:val="20"/>
        </w:rPr>
        <w:t>Heeks, R. (2003). Most eGovernment-for-Development Projects Fail: How Can Risks Be Reduced? University of Manchester.</w:t>
      </w:r>
    </w:p>
    <w:p>
      <w:pPr>
        <w:spacing w:after="80"/>
        <w:ind w:left="720" w:hanging="720"/>
      </w:pPr>
      <w:r>
        <w:rPr>
          <w:rFonts w:ascii="Calibri" w:hAnsi="Calibri"/>
          <w:color w:val="4A4A4A"/>
          <w:sz w:val="20"/>
        </w:rPr>
        <w:t>Heeks, R. (2006). Implementing and Managing eGovernment. SAGE Publications.</w:t>
      </w:r>
    </w:p>
    <w:p>
      <w:pPr>
        <w:spacing w:after="80"/>
        <w:ind w:left="720" w:hanging="720"/>
      </w:pPr>
      <w:r>
        <w:rPr>
          <w:rFonts w:ascii="Calibri" w:hAnsi="Calibri"/>
          <w:color w:val="4A4A4A"/>
          <w:sz w:val="20"/>
        </w:rPr>
        <w:t>Jamieson, S. (2004). Likert scales: How to (ab)use them. Medical Education, 38(12), 1217–1218.</w:t>
      </w:r>
    </w:p>
    <w:p>
      <w:pPr>
        <w:spacing w:after="80"/>
        <w:ind w:left="720" w:hanging="720"/>
      </w:pPr>
      <w:r>
        <w:rPr>
          <w:rFonts w:ascii="Calibri" w:hAnsi="Calibri"/>
          <w:color w:val="4A4A4A"/>
          <w:sz w:val="20"/>
        </w:rPr>
        <w:t>Krippendorff, K. (2018). Content Analysis: An Introduction to Its Methodology (4th ed.). SAGE Publications.</w:t>
      </w:r>
    </w:p>
    <w:p>
      <w:pPr>
        <w:spacing w:after="80"/>
        <w:ind w:left="720" w:hanging="720"/>
      </w:pPr>
      <w:r>
        <w:rPr>
          <w:rFonts w:ascii="Calibri" w:hAnsi="Calibri"/>
          <w:color w:val="4A4A4A"/>
          <w:sz w:val="20"/>
        </w:rPr>
        <w:t>OECD. (2014). Recommendation of the Council on Digital Government Strategies. OECD Publishing.</w:t>
      </w:r>
    </w:p>
    <w:p>
      <w:pPr>
        <w:spacing w:after="80"/>
        <w:ind w:left="720" w:hanging="720"/>
      </w:pPr>
      <w:r>
        <w:rPr>
          <w:rFonts w:ascii="Calibri" w:hAnsi="Calibri"/>
          <w:color w:val="4A4A4A"/>
          <w:sz w:val="20"/>
        </w:rPr>
        <w:t>OECD. (2020). Digital Government Index: 2019 Results. OECD Public Governance Policy Papers, No. 03.</w:t>
      </w:r>
    </w:p>
    <w:p>
      <w:pPr>
        <w:spacing w:after="80"/>
        <w:ind w:left="720" w:hanging="720"/>
      </w:pPr>
      <w:r>
        <w:rPr>
          <w:rFonts w:ascii="Calibri" w:hAnsi="Calibri"/>
          <w:color w:val="4A4A4A"/>
          <w:sz w:val="20"/>
        </w:rPr>
        <w:t>Roni, S. M., &amp; Djajadikerta, H. G. (2021). Data Analysis with SPSS for Survey-based Research. Springer.</w:t>
      </w:r>
    </w:p>
    <w:p>
      <w:pPr>
        <w:spacing w:after="80"/>
        <w:ind w:left="720" w:hanging="720"/>
      </w:pPr>
      <w:r>
        <w:rPr>
          <w:rFonts w:ascii="Calibri" w:hAnsi="Calibri"/>
          <w:color w:val="4A4A4A"/>
          <w:sz w:val="20"/>
        </w:rPr>
        <w:t>Tavakol, M., &amp; Dennick, R. (2011). Making sense of Cronbach’s alpha. International Journal of Medical Education, 2, 53–55.</w:t>
      </w:r>
    </w:p>
    <w:p>
      <w:pPr>
        <w:spacing w:after="80"/>
        <w:ind w:left="720" w:hanging="720"/>
      </w:pPr>
      <w:r>
        <w:rPr>
          <w:rFonts w:ascii="Calibri" w:hAnsi="Calibri"/>
          <w:color w:val="4A4A4A"/>
          <w:sz w:val="20"/>
        </w:rPr>
        <w:t>United Nations. (2024). E-Government Survey 2024: The Future of Digital Government. UN DESA.</w:t>
      </w:r>
    </w:p>
    <w:p>
      <w:pPr>
        <w:spacing w:after="80"/>
        <w:ind w:left="720" w:hanging="720"/>
      </w:pPr>
      <w:r>
        <w:rPr>
          <w:rFonts w:ascii="Calibri" w:hAnsi="Calibri"/>
          <w:color w:val="4A4A4A"/>
          <w:sz w:val="20"/>
        </w:rPr>
        <w:t>Venkatesh, V., Morris, M. G., Davis, G. B., &amp; Davis, F. D. (2003). User acceptance of information technology: Toward a unified view. MIS Quarterly, 27(3), 425–478.</w:t>
      </w:r>
    </w:p>
    <w:p>
      <w:pPr>
        <w:spacing w:after="80"/>
        <w:ind w:left="720" w:hanging="720"/>
      </w:pPr>
      <w:r>
        <w:rPr>
          <w:rFonts w:ascii="Calibri" w:hAnsi="Calibri"/>
          <w:color w:val="4A4A4A"/>
          <w:sz w:val="20"/>
        </w:rPr>
        <w:t>Venkatesh, V., Thong, J. Y. L., &amp; Xu, X. (2012). Consumer acceptance and use of information technology. MIS Quarterly, 36(1), 157–178.</w:t>
      </w:r>
    </w:p>
    <w:p>
      <w:pPr>
        <w:spacing w:after="80"/>
        <w:ind w:left="720" w:hanging="720"/>
      </w:pPr>
      <w:r>
        <w:rPr>
          <w:rFonts w:ascii="Calibri" w:hAnsi="Calibri"/>
          <w:color w:val="4A4A4A"/>
          <w:sz w:val="20"/>
        </w:rPr>
        <w:t>World Bank. (2016). World Development Report 2016: Digital Dividends. The World Bank.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