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  <Override PartName="/word/media/rId1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753894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./temp_media_v2/cover_pag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The Government of Madhya Pradesh, architected primarily by technical agencies such as MAP-IT and NIC, has built an impressive portfolio of digital platforms across its key departments: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School Education:</w:t>
      </w:r>
      <w:r>
        <w:t xml:space="preserve"> </w:t>
      </w:r>
      <w:r>
        <w:t xml:space="preserve">Education Portal 3.0 is designed to manage approximately 350,000 permanent teachers.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The department operates HRMIS, NHM CHETNA, and Ayushman Sakhi.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Forest:</w:t>
      </w:r>
      <w:r>
        <w:t xml:space="preserve"> </w:t>
      </w:r>
      <w:r>
        <w:t xml:space="preserve">Uses satellite data for encroachment alerts and wildlife tourism permitting.</w:t>
      </w:r>
    </w:p>
    <w:p>
      <w:pPr>
        <w:pStyle w:val="FirstParagraph"/>
      </w:pPr>
      <w:r>
        <w:t xml:space="preserve">Institutional observation reveals a design-reality gap where day-to-day workflows still default to physical registers and informal digital tools.</w:t>
      </w:r>
    </w:p>
    <w:bookmarkEnd w:id="12"/>
    <w:bookmarkStart w:id="13" w:name="rationale"/>
    <w:p>
      <w:pPr>
        <w:pStyle w:val="Heading1"/>
      </w:pPr>
      <w:r>
        <w:t xml:space="preserve">Rationale</w:t>
      </w:r>
    </w:p>
    <w:p>
      <w:pPr>
        <w:pStyle w:val="FirstParagraph"/>
      </w:pPr>
      <w:r>
        <w:t xml:space="preserve">Maximizing the adoption of IT tools translates to productivity gains and structural resilience. Modernization bridges the talent drain by automating manual workarounds historically rigid in routine processing.</w:t>
      </w:r>
    </w:p>
    <w:bookmarkEnd w:id="13"/>
    <w:bookmarkStart w:id="14" w:name="capacity-building-framework"/>
    <w:p>
      <w:pPr>
        <w:pStyle w:val="Heading1"/>
      </w:pPr>
      <w:r>
        <w:t xml:space="preserve">Capacity Building Framework</w:t>
      </w:r>
    </w:p>
    <w:p>
      <w:pPr>
        <w:pStyle w:val="FirstParagraph"/>
      </w:pPr>
      <w:r>
        <w:t xml:space="preserve">Mission Karmayogi shifts from rule-based to role-based competency. This research feeds AIGGPA’s mandate to design evidence-based modules for the iGOT platform.</w:t>
      </w:r>
    </w:p>
    <w:bookmarkEnd w:id="14"/>
    <w:bookmarkStart w:id="18" w:name="theoretical-framework"/>
    <w:p>
      <w:pPr>
        <w:pStyle w:val="Heading1"/>
      </w:pPr>
      <w:r>
        <w:t xml:space="preserve">Theoretical Framework</w:t>
      </w:r>
    </w:p>
    <w:p>
      <w:pPr>
        <w:pStyle w:val="FirstParagraph"/>
      </w:pPr>
      <w:r>
        <w:t xml:space="preserve">This study employs the</w:t>
      </w:r>
      <w:r>
        <w:t xml:space="preserve"> </w:t>
      </w:r>
      <w:r>
        <w:rPr>
          <w:b/>
          <w:bCs/>
        </w:rPr>
        <w:t xml:space="preserve">Unified Theory of Acceptance and Use of Technology (UTAUT)</w:t>
      </w:r>
      <w:r>
        <w:t xml:space="preserve">, mapping Performance Expectancy (PE), Effort Expectancy (EE), Social Influence (SI), and Facilitating Conditions (FC).</w:t>
      </w:r>
    </w:p>
    <w:p>
      <w:pPr>
        <w:pStyle w:val="BodyText"/>
      </w:pPr>
      <w:r>
        <w:drawing>
          <wp:inline>
            <wp:extent cx="4267200" cy="1335931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./temp_media_v2/figure_utau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3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research-objectives"/>
    <w:p>
      <w:pPr>
        <w:pStyle w:val="Heading1"/>
      </w:pPr>
      <w:r>
        <w:t xml:space="preserve">Research Objectives</w:t>
      </w:r>
    </w:p>
    <w:p>
      <w:pPr>
        <w:numPr>
          <w:ilvl w:val="0"/>
          <w:numId w:val="1002"/>
        </w:numPr>
      </w:pPr>
      <w:r>
        <w:t xml:space="preserve">Map actual tool usage across official categories.</w:t>
      </w:r>
    </w:p>
    <w:p>
      <w:pPr>
        <w:numPr>
          <w:ilvl w:val="0"/>
          <w:numId w:val="1002"/>
        </w:numPr>
      </w:pPr>
      <w:r>
        <w:t xml:space="preserve">Assess document workflow and record maintenance.</w:t>
      </w:r>
    </w:p>
    <w:p>
      <w:pPr>
        <w:numPr>
          <w:ilvl w:val="0"/>
          <w:numId w:val="1002"/>
        </w:numPr>
      </w:pPr>
      <w:r>
        <w:t xml:space="preserve">Capture the IT department’s perspective via login statistics.</w:t>
      </w:r>
    </w:p>
    <w:p>
      <w:pPr>
        <w:numPr>
          <w:ilvl w:val="0"/>
          <w:numId w:val="1002"/>
        </w:numPr>
      </w:pPr>
      <w:r>
        <w:t xml:space="preserve">Classify barriers using the UTAUT framework.</w:t>
      </w:r>
    </w:p>
    <w:p>
      <w:pPr>
        <w:numPr>
          <w:ilvl w:val="0"/>
          <w:numId w:val="1002"/>
        </w:numPr>
      </w:pPr>
      <w:r>
        <w:t xml:space="preserve">Produce actionable recommendations for AIGGPA training design.</w:t>
      </w:r>
    </w:p>
    <w:bookmarkEnd w:id="19"/>
    <w:bookmarkStart w:id="20" w:name="scope"/>
    <w:p>
      <w:pPr>
        <w:pStyle w:val="Heading1"/>
      </w:pPr>
      <w:r>
        <w:t xml:space="preserve">Scope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Departments:</w:t>
      </w:r>
      <w:r>
        <w:t xml:space="preserve"> </w:t>
      </w:r>
      <w:r>
        <w:t xml:space="preserve">School Education, Health, Forest (Madhya Pradesh).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Respondents:</w:t>
      </w:r>
      <w:r>
        <w:t xml:space="preserve"> </w:t>
      </w:r>
      <w:r>
        <w:t xml:space="preserve">Class I, II, III officials and IT staff.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April to June 2026 (10 weeks).</w:t>
      </w:r>
    </w:p>
    <w:bookmarkEnd w:id="20"/>
    <w:bookmarkStart w:id="24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mixed-methods study uses two parallel streams: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Stream A:</w:t>
      </w:r>
      <w:r>
        <w:t xml:space="preserve"> </w:t>
      </w:r>
      <w:r>
        <w:t xml:space="preserve">Tasks, tools, portals, and training history.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Stream B:</w:t>
      </w:r>
      <w:r>
        <w:t xml:space="preserve"> </w:t>
      </w:r>
      <w:r>
        <w:t xml:space="preserve">Platform deployment stats and IT support structure.</w:t>
      </w:r>
    </w:p>
    <w:bookmarkStart w:id="21" w:name="sampling-strategy"/>
    <w:p>
      <w:pPr>
        <w:pStyle w:val="Heading2"/>
      </w:pPr>
      <w:r>
        <w:t xml:space="preserve">Sampling Strategy</w:t>
      </w:r>
    </w:p>
    <w:p>
      <w:pPr>
        <w:pStyle w:val="FirstParagraph"/>
      </w:pPr>
      <w:r>
        <w:t xml:space="preserve">Purposive sampling of 54 respondents analyzed as stratified case studies.</w:t>
      </w:r>
    </w:p>
    <w:bookmarkEnd w:id="21"/>
    <w:bookmarkStart w:id="22" w:name="data-collection-instruments"/>
    <w:p>
      <w:pPr>
        <w:pStyle w:val="Heading2"/>
      </w:pPr>
      <w:r>
        <w:t xml:space="preserve">Data Collection Instruments</w:t>
      </w:r>
    </w:p>
    <w:p>
      <w:pPr>
        <w:pStyle w:val="FirstParagraph"/>
      </w:pPr>
      <w:r>
        <w:t xml:space="preserve">1. Semi-structured interview guide.</w:t>
      </w:r>
      <w:r>
        <w:t xml:space="preserve"> </w:t>
      </w:r>
      <w:r>
        <w:t xml:space="preserve">2. Aggregated usage statistics (IT nodal data).</w:t>
      </w:r>
      <w:r>
        <w:t xml:space="preserve"> </w:t>
      </w:r>
      <w:r>
        <w:t xml:space="preserve">3. Direct workflow observation checklist.</w:t>
      </w:r>
    </w:p>
    <w:bookmarkEnd w:id="22"/>
    <w:bookmarkStart w:id="23" w:name="data-analysis-plan"/>
    <w:p>
      <w:pPr>
        <w:pStyle w:val="Heading2"/>
      </w:pPr>
      <w:r>
        <w:t xml:space="preserve">Data Analysis Plan</w:t>
      </w:r>
    </w:p>
    <w:p>
      <w:pPr>
        <w:pStyle w:val="FirstParagraph"/>
      </w:pPr>
      <w:r>
        <w:t xml:space="preserve">Manual thematic coding using ATLAS.ti, following Braun &amp; Clarke (2006). Discrepancies between qualitative claims and numerical metrics isolate hidden blockers.</w:t>
      </w:r>
    </w:p>
    <w:bookmarkEnd w:id="23"/>
    <w:bookmarkEnd w:id="24"/>
    <w:bookmarkStart w:id="25" w:name="work-plan"/>
    <w:p>
      <w:pPr>
        <w:pStyle w:val="Heading1"/>
      </w:pPr>
      <w:r>
        <w:t xml:space="preserve">Work Plan</w:t>
      </w:r>
    </w:p>
    <w:p>
      <w:pPr>
        <w:pStyle w:val="FirstParagraph"/>
      </w:pPr>
      <w:r>
        <w:t xml:space="preserve">A 10-week schedule covering literature review, pilot testing, departmental observations (Weeks 4-8), and final report generation (Week 10).</w:t>
      </w:r>
    </w:p>
    <w:bookmarkEnd w:id="25"/>
    <w:bookmarkStart w:id="26" w:name="budget-estimate"/>
    <w:p>
      <w:pPr>
        <w:pStyle w:val="Heading1"/>
      </w:pPr>
      <w:r>
        <w:t xml:space="preserve">Budget Estimate</w:t>
      </w:r>
    </w:p>
    <w:p>
      <w:pPr>
        <w:pStyle w:val="FirstParagraph"/>
      </w:pPr>
      <w:r>
        <w:t xml:space="preserve">Total Research Budget:</w:t>
      </w:r>
      <w:r>
        <w:t xml:space="preserve"> </w:t>
      </w:r>
      <w:r>
        <w:rPr>
          <w:b/>
          <w:bCs/>
        </w:rPr>
        <w:t xml:space="preserve">30,000 INR</w:t>
      </w:r>
      <w:r>
        <w:t xml:space="preserve"> </w:t>
      </w:r>
      <w:r>
        <w:t xml:space="preserve">(covering transit, software licensing, and consumables).</w:t>
      </w:r>
    </w:p>
    <w:bookmarkEnd w:id="26"/>
    <w:bookmarkStart w:id="27" w:name="limitations-and-ethical-considerations"/>
    <w:p>
      <w:pPr>
        <w:pStyle w:val="Heading1"/>
      </w:pPr>
      <w:r>
        <w:t xml:space="preserve">Limitations and Ethical Considerations</w:t>
      </w:r>
    </w:p>
    <w:p>
      <w:pPr>
        <w:pStyle w:val="FirstParagraph"/>
      </w:pPr>
      <w:r>
        <w:t xml:space="preserve">Covers access constraints, self-reporting bias, and the Hawthorne effect (mitigated via IT Ecosystem Audit). Ethical standards ensure voluntary participation and data anonymity.</w:t>
      </w:r>
    </w:p>
    <w:bookmarkEnd w:id="27"/>
    <w:bookmarkStart w:id="34" w:name="expected-output"/>
    <w:p>
      <w:pPr>
        <w:pStyle w:val="Heading1"/>
      </w:pPr>
      <w:r>
        <w:t xml:space="preserve">Expected Output</w:t>
      </w:r>
    </w:p>
    <w:p>
      <w:pPr>
        <w:pStyle w:val="FirstParagraph"/>
      </w:pPr>
      <w:r>
        <w:drawing>
          <wp:inline>
            <wp:extent cx="4800600" cy="1357784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./temp_media_v2/expected_outpu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5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800600" cy="994410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./temp_media_v2/impact_pathwa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9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Venkatesh, V., et al. (2003). User acceptance of information technology: Toward a unified view.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.</w:t>
      </w:r>
      <w:r>
        <w:t xml:space="preserve"> </w:t>
      </w:r>
      <w:r>
        <w:t xml:space="preserve">Heeks, R. (2003). Most IT-for-development projects fail.</w:t>
      </w:r>
      <w:r>
        <w:t xml:space="preserve"> </w:t>
      </w:r>
      <w:r>
        <w:t xml:space="preserve">Braun, V., &amp; Clarke, V. (2006). Using thematic analysis in psychology.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2026-04-17T07:16:02Z</dcterms:created>
  <dcterms:modified xsi:type="dcterms:W3CDTF">2026-04-17T07:16:02Z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