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INSTITUTIONAL RESEARCH PROPOSAL</w:t>
      </w:r>
      <w:r>
        <w:br/>
      </w:r>
      <w:r>
        <w:rPr>
          <w:b/>
          <w:bCs/>
        </w:rPr>
        <w:t xml:space="preserve">Assessment of IT Tool</w:t>
      </w:r>
      <w:r>
        <w:br/>
      </w:r>
      <w:r>
        <w:rPr>
          <w:b/>
          <w:bCs/>
        </w:rPr>
        <w:t xml:space="preserve">Utilisation Among</w:t>
      </w:r>
      <w:r>
        <w:br/>
      </w:r>
      <w:r>
        <w:rPr>
          <w:b/>
          <w:bCs/>
        </w:rPr>
        <w:t xml:space="preserve">Government Officials</w:t>
      </w:r>
      <w:r>
        <w:br/>
      </w:r>
      <w:r>
        <w:rPr>
          <w:b/>
          <w:bCs/>
        </w:rPr>
        <w:t xml:space="preserve">सरकारी अधिकारियों द्वारा आईटी उपकरणों के उपयोग का आकलन</w:t>
      </w:r>
    </w:p>
    <w:bookmarkStart w:id="11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The Government of Madhya Pradesh, architected primarily by technical agencies such as MAP-IT and NIC, has built an impressive portfolio of digital platforms across its key departments: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School Education:</w:t>
      </w:r>
      <w:r>
        <w:t xml:space="preserve"> </w:t>
      </w:r>
      <w:r>
        <w:t xml:space="preserve">Education Portal 3.0 is designed to manage</w:t>
      </w:r>
      <w:r>
        <w:t xml:space="preserve"> </w:t>
      </w:r>
      <w:r>
        <w:t xml:space="preserve">approximately 350,000 permanent teachers across 92,000+ schools, covering</w:t>
      </w:r>
      <w:r>
        <w:t xml:space="preserve"> </w:t>
      </w:r>
      <w:r>
        <w:t xml:space="preserve">transfers, promotions, attendance, and academic monitoring.</w:t>
      </w:r>
      <w:r>
        <w:rPr>
          <w:rStyle w:val="FootnoteReference"/>
        </w:rPr>
        <w:footnoteReference w:id="9"/>
      </w:r>
      <w:r>
        <w:t xml:space="preserve"> </w:t>
      </w:r>
      <w:r>
        <w:t xml:space="preserve">Despite its scale and scope, ground-level adoption among district and block</w:t>
      </w:r>
      <w:r>
        <w:t xml:space="preserve"> </w:t>
      </w:r>
      <w:r>
        <w:t xml:space="preserve">officials remains uneven.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Health:</w:t>
      </w:r>
      <w:r>
        <w:t xml:space="preserve"> </w:t>
      </w:r>
      <w:r>
        <w:t xml:space="preserve">The department operates HRMIS for HR management, NHM CHETNA</w:t>
      </w:r>
      <w:r>
        <w:t xml:space="preserve"> </w:t>
      </w:r>
      <w:r>
        <w:t xml:space="preserve">for frontline health worker training, and has recently launched an AI chatbot called</w:t>
      </w:r>
      <w:r>
        <w:t xml:space="preserve"> </w:t>
      </w:r>
      <w:r>
        <w:t xml:space="preserve">“Ayushman Sakhi”</w:t>
      </w:r>
      <w:r>
        <w:t xml:space="preserve"> </w:t>
      </w:r>
      <w:r>
        <w:t xml:space="preserve">to help citizens locate hospitals and access health</w:t>
      </w:r>
      <w:r>
        <w:t xml:space="preserve"> </w:t>
      </w:r>
      <w:r>
        <w:t xml:space="preserve">information.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Forest:</w:t>
      </w:r>
      <w:r>
        <w:t xml:space="preserve"> </w:t>
      </w:r>
      <w:r>
        <w:t xml:space="preserve">The Forest Department uses satellite data</w:t>
      </w:r>
      <w:r>
        <w:t xml:space="preserve"> </w:t>
      </w:r>
      <w:r>
        <w:t xml:space="preserve">to generate real-time encroachment alerts. All wildlife tourism permitting is</w:t>
      </w:r>
      <w:r>
        <w:t xml:space="preserve"> </w:t>
      </w:r>
      <w:r>
        <w:t xml:space="preserve">processed through MPOnline.</w:t>
      </w:r>
    </w:p>
    <w:p>
      <w:pPr>
        <w:pStyle w:val="FirstParagraph"/>
      </w:pPr>
      <w:r>
        <w:t xml:space="preserve">Despite the sophistication of these platforms, institutional observation</w:t>
      </w:r>
      <w:r>
        <w:t xml:space="preserve"> </w:t>
      </w:r>
      <w:r>
        <w:t xml:space="preserve">reveals that day-to-day workflows at the district and block level still run</w:t>
      </w:r>
      <w:r>
        <w:t xml:space="preserve"> </w:t>
      </w:r>
      <w:r>
        <w:t xml:space="preserve">on physical registers, courier dak, and informal digital tools. The lack of</w:t>
      </w:r>
      <w:r>
        <w:t xml:space="preserve"> </w:t>
      </w:r>
      <w:r>
        <w:t xml:space="preserve">institutionalised usage norms and inadequate front-line computing training are common</w:t>
      </w:r>
      <w:r>
        <w:t xml:space="preserve"> </w:t>
      </w:r>
      <w:r>
        <w:t xml:space="preserve">barriers to IT tools in public administration (Bhatnagar, 2004). Often, failures in IT</w:t>
      </w:r>
      <w:r>
        <w:t xml:space="preserve"> </w:t>
      </w:r>
      <w:r>
        <w:t xml:space="preserve">adoption originate from a</w:t>
      </w:r>
      <w:r>
        <w:t xml:space="preserve"> </w:t>
      </w:r>
      <w:r>
        <w:rPr>
          <w:i/>
          <w:iCs/>
        </w:rPr>
        <w:t xml:space="preserve">design-reality gap</w:t>
      </w:r>
      <w:r>
        <w:t xml:space="preserve">: the mismatch between assumptions</w:t>
      </w:r>
      <w:r>
        <w:t xml:space="preserve"> </w:t>
      </w:r>
      <w:r>
        <w:t xml:space="preserve">built into a digital system and the actual context in which intended users operate (Heeks, 2003).</w:t>
      </w:r>
    </w:p>
    <w:p>
      <w:pPr>
        <w:pStyle w:val="BodyText"/>
      </w:pPr>
      <w:r>
        <w:t xml:space="preserve">AIGGPA’s own training programme feedback consistently surfaces the</w:t>
      </w:r>
      <w:r>
        <w:t xml:space="preserve"> </w:t>
      </w:r>
      <w:r>
        <w:t xml:space="preserve">same concern: officials know that digital platforms exist, but default to informal</w:t>
      </w:r>
      <w:r>
        <w:t xml:space="preserve"> </w:t>
      </w:r>
      <w:r>
        <w:t xml:space="preserve">alternatives. A systematic, evidence-based mapping of which tools are being under-used</w:t>
      </w:r>
      <w:r>
        <w:t xml:space="preserve"> </w:t>
      </w:r>
      <w:r>
        <w:t xml:space="preserve">and why has not yet been conducted for this state.</w:t>
      </w:r>
    </w:p>
    <w:bookmarkEnd w:id="11"/>
    <w:bookmarkStart w:id="12" w:name="rationale"/>
    <w:p>
      <w:pPr>
        <w:pStyle w:val="Heading1"/>
      </w:pPr>
      <w:r>
        <w:t xml:space="preserve">Rationale</w:t>
      </w:r>
    </w:p>
    <w:p>
      <w:pPr>
        <w:pStyle w:val="FirstParagraph"/>
      </w:pPr>
      <w:r>
        <w:t xml:space="preserve">Maximizing the adoption of IT tools translates directly to massive productivity gains</w:t>
      </w:r>
      <w:r>
        <w:t xml:space="preserve"> </w:t>
      </w:r>
      <w:r>
        <w:t xml:space="preserve">and structural resilience. The digitization of legacy systems in the public sector is</w:t>
      </w:r>
      <w:r>
        <w:t xml:space="preserve"> </w:t>
      </w:r>
      <w:r>
        <w:t xml:space="preserve">widely recognized as a critical strategy for enhancing operational efficiency.</w:t>
      </w:r>
      <w:r>
        <w:t xml:space="preserve"> </w:t>
      </w:r>
      <w:r>
        <w:t xml:space="preserve">Current public sector agencies globally face significant hurdles due to aging infrastructure,</w:t>
      </w:r>
      <w:r>
        <w:t xml:space="preserve"> </w:t>
      </w:r>
      <w:r>
        <w:t xml:space="preserve">with up to 80% of IT budgets consumed by "operations and maintenance" of legacy systems,</w:t>
      </w:r>
      <w:r>
        <w:t xml:space="preserve"> </w:t>
      </w:r>
      <w:r>
        <w:t xml:space="preserve">starving modern digital transformation efforts (GAO, 2019; Cordella &amp; Bonina, 2012).</w:t>
      </w:r>
      <w:r>
        <w:t xml:space="preserve"> </w:t>
      </w:r>
      <w:r>
        <w:t xml:space="preserve">True modernization bridges the talent and productivity drain by automating manual</w:t>
      </w:r>
      <w:r>
        <w:t xml:space="preserve"> </w:t>
      </w:r>
      <w:r>
        <w:t xml:space="preserve">workarounds that are historically rigid in routine document processing.</w:t>
      </w:r>
    </w:p>
    <w:p>
      <w:pPr>
        <w:pStyle w:val="BodyText"/>
      </w:pPr>
      <w:r>
        <w:t xml:space="preserve">Rather than relying on disjointed paper ledgers and fragmented records, transitioning</w:t>
      </w:r>
      <w:r>
        <w:t xml:space="preserve"> </w:t>
      </w:r>
      <w:r>
        <w:t xml:space="preserve">to cohesive digital platforms allows for centralized, data-driven policy decisions</w:t>
      </w:r>
      <w:r>
        <w:t xml:space="preserve"> </w:t>
      </w:r>
      <w:r>
        <w:t xml:space="preserve">at the state level. This proposal aims to study the adoption chokepoints preventing</w:t>
      </w:r>
      <w:r>
        <w:t xml:space="preserve"> </w:t>
      </w:r>
      <w:r>
        <w:t xml:space="preserve">Madhya Pradesh’s foundational IT platforms from achieving these strategic ROI milestones.</w:t>
      </w:r>
    </w:p>
    <w:bookmarkEnd w:id="12"/>
    <w:bookmarkStart w:id="13" w:name="capacity-building-framework"/>
    <w:p>
      <w:pPr>
        <w:pStyle w:val="Heading1"/>
      </w:pPr>
      <w:r>
        <w:t xml:space="preserve">Capacity Building Framework</w:t>
      </w:r>
    </w:p>
    <w:p>
      <w:pPr>
        <w:pStyle w:val="FirstParagraph"/>
      </w:pPr>
      <w:r>
        <w:t xml:space="preserve">Mission Karmayogi (NPCSCB) has fundamentally transformed the approach to government training,</w:t>
      </w:r>
      <w:r>
        <w:t xml:space="preserve"> </w:t>
      </w:r>
      <w:r>
        <w:t xml:space="preserve">shifting from a rule-based to a role-based competency framework. The Department of</w:t>
      </w:r>
      <w:r>
        <w:t xml:space="preserve"> </w:t>
      </w:r>
      <w:r>
        <w:t xml:space="preserve">Personnel and Training (DoPT) mandates capacity building through the iGOT Karmayogi</w:t>
      </w:r>
      <w:r>
        <w:t xml:space="preserve"> </w:t>
      </w:r>
      <w:r>
        <w:t xml:space="preserve">platform, requiring employees to complete digital and functional courses mapped</w:t>
      </w:r>
      <w:r>
        <w:t xml:space="preserve"> </w:t>
      </w:r>
      <w:r>
        <w:t xml:space="preserve">to their specific roles.</w:t>
      </w:r>
    </w:p>
    <w:p>
      <w:pPr>
        <w:pStyle w:val="BodyText"/>
      </w:pPr>
      <w:r>
        <w:t xml:space="preserve">AIGGPA is Madhya Pradesh’s apex institution for civil service training. This research</w:t>
      </w:r>
      <w:r>
        <w:t xml:space="preserve"> </w:t>
      </w:r>
      <w:r>
        <w:t xml:space="preserve">will directly fuel AIGGPA’s mandate to design evidence-based capacity-building</w:t>
      </w:r>
      <w:r>
        <w:t xml:space="preserve"> </w:t>
      </w:r>
      <w:r>
        <w:t xml:space="preserve">programmes. The findings will be used to develop targeted, functional IT modules</w:t>
      </w:r>
      <w:r>
        <w:t xml:space="preserve"> </w:t>
      </w:r>
      <w:r>
        <w:t xml:space="preserve">for the iGOT platform, enhancing digital skills and modernising Madhya Pradesh’s</w:t>
      </w:r>
      <w:r>
        <w:t xml:space="preserve"> </w:t>
      </w:r>
      <w:r>
        <w:t xml:space="preserve">administrative framework in alignment with DoPT guidelines.</w:t>
      </w:r>
    </w:p>
    <w:bookmarkEnd w:id="13"/>
    <w:bookmarkStart w:id="14" w:name="theoretical-framework"/>
    <w:p>
      <w:pPr>
        <w:pStyle w:val="Heading1"/>
      </w:pPr>
      <w:r>
        <w:t xml:space="preserve">Theoretical Framework</w:t>
      </w:r>
    </w:p>
    <w:p>
      <w:pPr>
        <w:pStyle w:val="FirstParagraph"/>
      </w:pPr>
      <w:r>
        <w:t xml:space="preserve">To securely bridge individual psychological constraints with the rigid bureaucratic</w:t>
      </w:r>
      <w:r>
        <w:t xml:space="preserve"> </w:t>
      </w:r>
      <w:r>
        <w:t xml:space="preserve">realities of state departments, this study employs Venkatesh et al.’s (2003)</w:t>
      </w:r>
      <w:r>
        <w:t xml:space="preserve"> </w:t>
      </w:r>
      <w:r>
        <w:t xml:space="preserve">Unified Theory of Acceptance and Use of Technology (UTAUT). UTAUT is the most</w:t>
      </w:r>
      <w:r>
        <w:t xml:space="preserve"> </w:t>
      </w:r>
      <w:r>
        <w:t xml:space="preserve">robust framework for evaluating government IT adoption because it explicitly maps</w:t>
      </w:r>
      <w:r>
        <w:t xml:space="preserve"> </w:t>
      </w:r>
      <w:r>
        <w:t xml:space="preserve">Organizational Behavior (OB) dynamics alongside individual metrics. The model</w:t>
      </w:r>
      <w:r>
        <w:t xml:space="preserve"> </w:t>
      </w:r>
      <w:r>
        <w:t xml:space="preserve">identifies four primary determinants: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Performance Expectancy (PE):</w:t>
      </w:r>
      <w:r>
        <w:t xml:space="preserve"> </w:t>
      </w:r>
      <w:r>
        <w:t xml:space="preserve">the belief that using the system</w:t>
      </w:r>
      <w:r>
        <w:t xml:space="preserve"> </w:t>
      </w:r>
      <w:r>
        <w:t xml:space="preserve">will enhance job performance.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Effort Expectancy (EE):</w:t>
      </w:r>
      <w:r>
        <w:t xml:space="preserve"> </w:t>
      </w:r>
      <w:r>
        <w:t xml:space="preserve">the degree of ease associated with</w:t>
      </w:r>
      <w:r>
        <w:t xml:space="preserve"> </w:t>
      </w:r>
      <w:r>
        <w:t xml:space="preserve">the system’s interface.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Social Influence (SI):</w:t>
      </w:r>
      <w:r>
        <w:t xml:space="preserve"> </w:t>
      </w:r>
      <w:r>
        <w:t xml:space="preserve">the degree to which an individual</w:t>
      </w:r>
      <w:r>
        <w:t xml:space="preserve"> </w:t>
      </w:r>
      <w:r>
        <w:t xml:space="preserve">perceives that important others (e.g., District Education Officers, peers)</w:t>
      </w:r>
      <w:r>
        <w:t xml:space="preserve"> </w:t>
      </w:r>
      <w:r>
        <w:t xml:space="preserve">mandate or desire the use of the new system.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Facilitating Conditions (FC):</w:t>
      </w:r>
      <w:r>
        <w:t xml:space="preserve"> </w:t>
      </w:r>
      <w:r>
        <w:t xml:space="preserve">the belief that an organizational</w:t>
      </w:r>
      <w:r>
        <w:t xml:space="preserve"> </w:t>
      </w:r>
      <w:r>
        <w:t xml:space="preserve">and technical infrastructure (e.g., hardware availability, training) exists</w:t>
      </w:r>
      <w:r>
        <w:t xml:space="preserve"> </w:t>
      </w:r>
      <w:r>
        <w:t xml:space="preserve">to support the system.</w:t>
      </w:r>
    </w:p>
    <w:p>
      <w:pPr>
        <w:pStyle w:val="FirstParagraph"/>
      </w:pPr>
      <w:r>
        <w:t xml:space="preserve">UTAUT resolves a critical flaw in purely psychological models by acknowledging</w:t>
      </w:r>
      <w:r>
        <w:t xml:space="preserve"> </w:t>
      </w:r>
      <w:r>
        <w:t xml:space="preserve">hierarchical compliance; if a senior officer mandates a physical wet signature, a</w:t>
      </w:r>
      <w:r>
        <w:t xml:space="preserve"> </w:t>
      </w:r>
      <w:r>
        <w:t xml:space="preserve">subordinate’s perception of ease-of-use becomes irrelevant. Every data point</w:t>
      </w:r>
      <w:r>
        <w:t xml:space="preserve"> </w:t>
      </w:r>
      <w:r>
        <w:t xml:space="preserve">collected will be coded against these four dimensions directly informing AIGGPA</w:t>
      </w:r>
      <w:r>
        <w:t xml:space="preserve"> </w:t>
      </w:r>
      <w:r>
        <w:t xml:space="preserve">training designs.</w:t>
      </w:r>
    </w:p>
    <w:p>
      <w:pPr>
        <w:pStyle w:val="BodyText"/>
      </w:pPr>
      <w:r>
        <w:rPr>
          <w:i/>
          <w:iCs/>
        </w:rPr>
        <w:t xml:space="preserve">Figure 1. UTAUT classification flow: bureaucratic and individual</w:t>
      </w:r>
      <w:r>
        <w:rPr>
          <w:i/>
          <w:iCs/>
        </w:rPr>
        <w:t xml:space="preserve"> </w:t>
      </w:r>
      <w:r>
        <w:rPr>
          <w:i/>
          <w:iCs/>
        </w:rPr>
        <w:t xml:space="preserve">barriers are coded and mapped to a targeted AIGGPA intervention.</w:t>
      </w:r>
    </w:p>
    <w:bookmarkEnd w:id="14"/>
    <w:bookmarkStart w:id="15" w:name="research-objectives"/>
    <w:p>
      <w:pPr>
        <w:pStyle w:val="Heading1"/>
      </w:pPr>
      <w:r>
        <w:t xml:space="preserve">Research Objectives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Map actual tool usage</w:t>
      </w:r>
      <w:r>
        <w:t xml:space="preserve"> </w:t>
      </w:r>
      <w:r>
        <w:t xml:space="preserve">across official categories (identify which</w:t>
      </w:r>
      <w:r>
        <w:t xml:space="preserve"> </w:t>
      </w:r>
      <w:r>
        <w:t xml:space="preserve">portals, apps, and informal tools like WhatsApp or Excel each</w:t>
      </w:r>
      <w:r>
        <w:t xml:space="preserve"> </w:t>
      </w:r>
      <w:r>
        <w:t xml:space="preserve">class of official uses on a typical working day).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Assess document workflow</w:t>
      </w:r>
      <w:r>
        <w:t xml:space="preserve"> </w:t>
      </w:r>
      <w:r>
        <w:t xml:space="preserve">to understand how officials draft official</w:t>
      </w:r>
      <w:r>
        <w:t xml:space="preserve"> </w:t>
      </w:r>
      <w:r>
        <w:t xml:space="preserve">correspondence, process incoming dak, and maintain records.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Capture the IT department’s perspective</w:t>
      </w:r>
      <w:r>
        <w:t xml:space="preserve"> </w:t>
      </w:r>
      <w:r>
        <w:t xml:space="preserve">by obtaining usage data,</w:t>
      </w:r>
      <w:r>
        <w:t xml:space="preserve"> </w:t>
      </w:r>
      <w:r>
        <w:t xml:space="preserve">system login statistics, and the IT cell’s own analysis of low adoption.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Classify every barrier</w:t>
      </w:r>
      <w:r>
        <w:t xml:space="preserve"> </w:t>
      </w:r>
      <w:r>
        <w:t xml:space="preserve">using the UTAUT framework (PE,</w:t>
      </w:r>
      <w:r>
        <w:t xml:space="preserve"> </w:t>
      </w:r>
      <w:r>
        <w:t xml:space="preserve">EE, SI, and FC).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Produce actionable recommendations</w:t>
      </w:r>
      <w:r>
        <w:t xml:space="preserve"> </w:t>
      </w:r>
      <w:r>
        <w:t xml:space="preserve">for AIGGPA training design,</w:t>
      </w:r>
      <w:r>
        <w:t xml:space="preserve"> </w:t>
      </w:r>
      <w:r>
        <w:t xml:space="preserve">prioritised by gap severity and departmental need.</w:t>
      </w:r>
    </w:p>
    <w:bookmarkEnd w:id="15"/>
    <w:bookmarkStart w:id="16" w:name="scope"/>
    <w:p>
      <w:pPr>
        <w:pStyle w:val="Heading1"/>
      </w:pPr>
      <w:r>
        <w:t xml:space="preserve">Scope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Education • Health • Forest</w:t>
            </w:r>
            <w:r>
              <w:t xml:space="preserve"> </w:t>
            </w:r>
            <w:r>
              <w:t xml:space="preserve">(Government of Madhya Pradesh)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officials (Class I, II &amp; III cadres) and IT cell / IT department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State-level Secretariat offices in Bhopal; selected district &amp; sub-district territorial offices (e.g., Beat Guards, Block Health Officers)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to June 2026 (approximately 10 weeks)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contractors; citizen-facing front-end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analysis report and a set of prioritised recommendations for AIGGPA</w:t>
            </w:r>
          </w:p>
        </w:tc>
      </w:tr>
    </w:tbl>
    <w:bookmarkEnd w:id="16"/>
    <w:bookmarkStart w:id="20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This study uses a</w:t>
      </w:r>
      <w:r>
        <w:t xml:space="preserve"> </w:t>
      </w:r>
      <w:r>
        <w:rPr>
          <w:b/>
          <w:bCs/>
        </w:rPr>
        <w:t xml:space="preserve">mixed-methods, descriptive design</w:t>
      </w:r>
      <w:r>
        <w:t xml:space="preserve">. Quantitative data</w:t>
      </w:r>
      <w:r>
        <w:t xml:space="preserve"> </w:t>
      </w:r>
      <w:r>
        <w:t xml:space="preserve">(usage frequency, login counts, tool inventories) will be supplemented with</w:t>
      </w:r>
      <w:r>
        <w:t xml:space="preserve"> </w:t>
      </w:r>
      <w:r>
        <w:t xml:space="preserve">qualitative interview data to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usage patterns are what they are.</w:t>
      </w:r>
      <w:r>
        <w:t xml:space="preserve"> </w:t>
      </w:r>
      <w:r>
        <w:t xml:space="preserve">Data collection runs through two parallel streams:</w:t>
      </w:r>
    </w:p>
    <w:p>
      <w:pPr>
        <w:pStyle w:val="BodyText"/>
      </w:pPr>
      <w:r>
        <w:t xml:space="preserve">2</w:t>
      </w:r>
    </w:p>
    <w:p>
      <w:pPr>
        <w:numPr>
          <w:ilvl w:val="0"/>
          <w:numId w:val="1004"/>
        </w:numPr>
      </w:pPr>
      <w:r>
        <w:t xml:space="preserve">What tasks do you perform every day?</w:t>
      </w:r>
    </w:p>
    <w:p>
      <w:pPr>
        <w:numPr>
          <w:ilvl w:val="0"/>
          <w:numId w:val="1004"/>
        </w:numPr>
      </w:pPr>
      <w:r>
        <w:t xml:space="preserve">Which apps, websites, or tools do you use for them?</w:t>
      </w:r>
    </w:p>
    <w:p>
      <w:pPr>
        <w:numPr>
          <w:ilvl w:val="0"/>
          <w:numId w:val="1004"/>
        </w:numPr>
      </w:pPr>
      <w:r>
        <w:t xml:space="preserve">Do you use the official departmental portal? If not, why?</w:t>
      </w:r>
    </w:p>
    <w:p>
      <w:pPr>
        <w:numPr>
          <w:ilvl w:val="0"/>
          <w:numId w:val="1004"/>
        </w:numPr>
      </w:pPr>
      <w:r>
        <w:t xml:space="preserve">Who trained you to use your current tools?</w:t>
      </w:r>
    </w:p>
    <w:p>
      <w:pPr>
        <w:numPr>
          <w:ilvl w:val="0"/>
          <w:numId w:val="1004"/>
        </w:numPr>
      </w:pPr>
      <w:r>
        <w:t xml:space="preserve">What would make you switch to the official platform?</w:t>
      </w:r>
    </w:p>
    <w:p>
      <w:pPr>
        <w:numPr>
          <w:ilvl w:val="0"/>
          <w:numId w:val="1005"/>
        </w:numPr>
      </w:pPr>
      <w:r>
        <w:t xml:space="preserve">What platforms have you built and deployed for staff?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[Usage Statistics]:</w:t>
      </w:r>
      <w:r>
        <w:t xml:space="preserve"> </w:t>
      </w:r>
      <w:r>
        <w:t xml:space="preserve">Request aggregated, anonymized portal usage statistics from the departmental IT nodal officer.</w:t>
      </w:r>
    </w:p>
    <w:p>
      <w:pPr>
        <w:numPr>
          <w:ilvl w:val="0"/>
          <w:numId w:val="1005"/>
        </w:numPr>
      </w:pPr>
      <w:r>
        <w:t xml:space="preserve">How is technical support currently structured?</w:t>
      </w:r>
    </w:p>
    <w:p>
      <w:pPr>
        <w:numPr>
          <w:ilvl w:val="0"/>
          <w:numId w:val="1005"/>
        </w:numPr>
      </w:pPr>
      <w:r>
        <w:t xml:space="preserve">Have you conducted any usage training? With what outcome?</w:t>
      </w:r>
    </w:p>
    <w:bookmarkStart w:id="17" w:name="sampling-strategy"/>
    <w:p>
      <w:pPr>
        <w:pStyle w:val="Heading2"/>
      </w:pPr>
      <w:r>
        <w:t xml:space="preserve">Sampling Strategy</w:t>
      </w:r>
    </w:p>
    <w:p>
      <w:pPr>
        <w:pStyle w:val="FirstParagraph"/>
      </w:pPr>
      <w:r>
        <w:t xml:space="preserve">The study will use</w:t>
      </w:r>
      <w:r>
        <w:t xml:space="preserve"> </w:t>
      </w:r>
      <w:r>
        <w:rPr>
          <w:b/>
          <w:bCs/>
        </w:rPr>
        <w:t xml:space="preserve">purposive sampling</w:t>
      </w:r>
      <w:r>
        <w:t xml:space="preserve"> </w:t>
      </w:r>
      <w:r>
        <w:t xml:space="preserve">to ensure representation across</w:t>
      </w:r>
      <w:r>
        <w:t xml:space="preserve"> </w:t>
      </w:r>
      <w:r>
        <w:t xml:space="preserve">office levels, cadre classes, and departments. Target sample sizes are: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Role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Edu.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Approvers (Class I/II)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Creators (Class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 App Users (Territorial)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 Nodal Support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54</w:t>
            </w:r>
          </w:p>
        </w:tc>
      </w:tr>
    </w:tbl>
    <w:p>
      <w:pPr>
        <w:pStyle w:val="BodyText"/>
      </w:pPr>
      <w:r>
        <w:t xml:space="preserve">Rather than attempting broad statistical representation, a sample of</w:t>
      </w:r>
      <w:r>
        <w:t xml:space="preserve"> </w:t>
      </w:r>
      <w:r>
        <w:rPr>
          <w:b/>
          <w:bCs/>
        </w:rPr>
        <w:t xml:space="preserve">54 respondents</w:t>
      </w:r>
      <w:r>
        <w:t xml:space="preserve"> </w:t>
      </w:r>
      <w:r>
        <w:t xml:space="preserve">will be analysed strictly as a series of</w:t>
      </w:r>
      <w:r>
        <w:t xml:space="preserve"> </w:t>
      </w:r>
      <w:r>
        <w:rPr>
          <w:b/>
          <w:bCs/>
        </w:rPr>
        <w:t xml:space="preserve">stratified case studies</w:t>
      </w:r>
      <w:r>
        <w:t xml:space="preserve">. This mitigates dataset</w:t>
      </w:r>
      <w:r>
        <w:t xml:space="preserve"> </w:t>
      </w:r>
      <w:r>
        <w:t xml:space="preserve">dilution across the four operational tiers while preserving deep qualitative saturation.</w:t>
      </w:r>
    </w:p>
    <w:bookmarkEnd w:id="17"/>
    <w:bookmarkStart w:id="18" w:name="data-collection-instruments"/>
    <w:p>
      <w:pPr>
        <w:pStyle w:val="Heading2"/>
      </w:pPr>
      <w:r>
        <w:t xml:space="preserve">Data Collection Instruments</w:t>
      </w:r>
    </w:p>
    <w:p>
      <w:pPr>
        <w:pStyle w:val="FirstParagraph"/>
      </w:pPr>
      <w:r>
        <w:t xml:space="preserve">Three instruments will be used: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Semi-structured interview guide (Stream A)</w:t>
      </w:r>
      <w:r>
        <w:t xml:space="preserve">: A 12-question guide</w:t>
      </w:r>
      <w:r>
        <w:t xml:space="preserve"> </w:t>
      </w:r>
      <w:r>
        <w:t xml:space="preserve">covering daily tasks, tools in use, perceived barriers, and training history.</w:t>
      </w:r>
      <w:r>
        <w:t xml:space="preserve"> </w:t>
      </w:r>
      <w:r>
        <w:t xml:space="preserve">Interviews will run approximately 25–35 minutes and will be conducted in</w:t>
      </w:r>
      <w:r>
        <w:t xml:space="preserve"> </w:t>
      </w:r>
      <w:r>
        <w:t xml:space="preserve">Hindi or English per respondent preference.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Aggregated Usage Statistics (Stream B)</w:t>
      </w:r>
      <w:r>
        <w:t xml:space="preserve">: A formal request to the</w:t>
      </w:r>
      <w:r>
        <w:t xml:space="preserve"> </w:t>
      </w:r>
      <w:r>
        <w:t xml:space="preserve">IT nodal officer for aggregated, anonymized login metadata and support ticket frequency.</w:t>
      </w:r>
      <w:r>
        <w:t xml:space="preserve"> </w:t>
      </w:r>
      <w:r>
        <w:rPr>
          <w:i/>
          <w:iCs/>
        </w:rPr>
        <w:t xml:space="preserve">Fallback:</w:t>
      </w:r>
      <w:r>
        <w:t xml:space="preserve"> </w:t>
      </w:r>
      <w:r>
        <w:t xml:space="preserve">If backend access is denied due to administrative constraints, the</w:t>
      </w:r>
      <w:r>
        <w:t xml:space="preserve"> </w:t>
      </w:r>
      <w:r>
        <w:t xml:space="preserve">study relies exclusively on self-reported usage triangulated via the IT Ecosystem Audit.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Direct workflow observation checklist</w:t>
      </w:r>
      <w:r>
        <w:t xml:space="preserve">: A structured observation</w:t>
      </w:r>
      <w:r>
        <w:t xml:space="preserve"> </w:t>
      </w:r>
      <w:r>
        <w:t xml:space="preserve">sheet used during brief desk visits to record the actual hardware, open</w:t>
      </w:r>
      <w:r>
        <w:t xml:space="preserve"> </w:t>
      </w:r>
      <w:r>
        <w:t xml:space="preserve">applications, and physical materials visible on an official’s workstation.</w:t>
      </w:r>
      <w:r>
        <w:t xml:space="preserve"> </w:t>
      </w:r>
      <w:r>
        <w:t xml:space="preserve">Observation is non-intrusive and does not require the official to change</w:t>
      </w:r>
      <w:r>
        <w:t xml:space="preserve"> </w:t>
      </w:r>
      <w:r>
        <w:t xml:space="preserve">their routine.</w:t>
      </w:r>
    </w:p>
    <w:bookmarkEnd w:id="18"/>
    <w:bookmarkStart w:id="19" w:name="data-analysis-plan"/>
    <w:p>
      <w:pPr>
        <w:pStyle w:val="Heading2"/>
      </w:pPr>
      <w:r>
        <w:t xml:space="preserve">Data Analysis Plan</w:t>
      </w:r>
    </w:p>
    <w:p>
      <w:pPr>
        <w:pStyle w:val="FirstParagraph"/>
      </w:pPr>
      <w:r>
        <w:t xml:space="preserve">All interview audio (where consent is given) and written field notes will be</w:t>
      </w:r>
      <w:r>
        <w:t xml:space="preserve"> </w:t>
      </w:r>
      <w:r>
        <w:rPr>
          <w:b/>
          <w:bCs/>
        </w:rPr>
        <w:t xml:space="preserve">transcribed verbatim</w:t>
      </w:r>
      <w:r>
        <w:t xml:space="preserve">. Given that government officials frequently</w:t>
      </w:r>
      <w:r>
        <w:t xml:space="preserve"> </w:t>
      </w:r>
      <w:r>
        <w:t xml:space="preserve">code-mix Hindi and English during conversation, automated NLP pipelines are highly</w:t>
      </w:r>
      <w:r>
        <w:t xml:space="preserve"> </w:t>
      </w:r>
      <w:r>
        <w:t xml:space="preserve">vulnerable to overfitting on this sample size. Therefore, this study relies</w:t>
      </w:r>
      <w:r>
        <w:t xml:space="preserve"> </w:t>
      </w:r>
      <w:r>
        <w:t xml:space="preserve">exclusively on a rigorous qualitative</w:t>
      </w:r>
      <w:r>
        <w:t xml:space="preserve"> </w:t>
      </w:r>
      <w:r>
        <w:rPr>
          <w:b/>
          <w:bCs/>
        </w:rPr>
        <w:t xml:space="preserve">manual thematic coding pipeline</w:t>
      </w:r>
      <w:r>
        <w:t xml:space="preserve"> </w:t>
      </w:r>
      <w:r>
        <w:t xml:space="preserve">using</w:t>
      </w:r>
      <w:r>
        <w:t xml:space="preserve"> </w:t>
      </w:r>
      <w:r>
        <w:t xml:space="preserve">ATLAS.ti to maximise interpretive depth.</w:t>
      </w:r>
    </w:p>
    <w:p>
      <w:pPr>
        <w:pStyle w:val="BodyText"/>
      </w:pPr>
      <w:r>
        <w:rPr>
          <w:b/>
          <w:bCs/>
        </w:rPr>
        <w:t xml:space="preserve">Stage 1: Primary Thematic Coding (ATLAS.ti).</w:t>
      </w:r>
      <w:r>
        <w:t xml:space="preserve"> </w:t>
      </w:r>
      <w:r>
        <w:t xml:space="preserve">Transcripts will be imported into ATLAS.ti. A</w:t>
      </w:r>
      <w:r>
        <w:t xml:space="preserve"> </w:t>
      </w:r>
      <w:r>
        <w:rPr>
          <w:i/>
          <w:iCs/>
        </w:rPr>
        <w:t xml:space="preserve">UTAUT thematic codebook</w:t>
      </w:r>
      <w:r>
        <w:t xml:space="preserve"> </w:t>
      </w:r>
      <w:r>
        <w:t xml:space="preserve">will</w:t>
      </w:r>
      <w:r>
        <w:t xml:space="preserve"> </w:t>
      </w:r>
      <w:r>
        <w:t xml:space="preserve">be constructed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for each of the four determinants. For example,</w:t>
      </w:r>
      <w:r>
        <w:t xml:space="preserve"> </w:t>
      </w:r>
      <w:r>
        <w:t xml:space="preserve">terms such as</w:t>
      </w:r>
      <w:r>
        <w:t xml:space="preserve"> </w:t>
      </w:r>
      <w:r>
        <w:rPr>
          <w:i/>
          <w:iCs/>
        </w:rPr>
        <w:t xml:space="preserve">“DEO demands paper,”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“CM Helpline pressure”</w:t>
      </w:r>
      <w:r>
        <w:t xml:space="preserve"> </w:t>
      </w:r>
      <w:r>
        <w:t xml:space="preserve">map to Social Influence (SI);</w:t>
      </w:r>
      <w:r>
        <w:t xml:space="preserve"> </w:t>
      </w:r>
      <w:r>
        <w:rPr>
          <w:i/>
          <w:iCs/>
        </w:rPr>
        <w:t xml:space="preserve">“no computers working”</w:t>
      </w:r>
      <w:r>
        <w:t xml:space="preserve"> </w:t>
      </w:r>
      <w:r>
        <w:t xml:space="preserve">maps to Facilitating</w:t>
      </w:r>
      <w:r>
        <w:t xml:space="preserve"> </w:t>
      </w:r>
      <w:r>
        <w:t xml:space="preserve">Conditions (FC). The researcher will manually flag transcript sentences and map them</w:t>
      </w:r>
      <w:r>
        <w:t xml:space="preserve"> </w:t>
      </w:r>
      <w:r>
        <w:t xml:space="preserve">to these primary UTAUT nodes.</w:t>
      </w:r>
    </w:p>
    <w:p>
      <w:pPr>
        <w:pStyle w:val="BodyText"/>
      </w:pPr>
      <w:r>
        <w:rPr>
          <w:b/>
          <w:bCs/>
        </w:rPr>
        <w:t xml:space="preserve">Stage 2: Validation and Synthesis.</w:t>
      </w:r>
      <w:r>
        <w:t xml:space="preserve"> </w:t>
      </w:r>
      <w:r>
        <w:t xml:space="preserve">Primary tags are reviewed against full transcript context using the thematic</w:t>
      </w:r>
      <w:r>
        <w:t xml:space="preserve"> </w:t>
      </w:r>
      <w:r>
        <w:t xml:space="preserve">analysis framework of Braun and Clarke (2006) to identify higher-order themes</w:t>
      </w:r>
      <w:r>
        <w:t xml:space="preserve"> </w:t>
      </w:r>
      <w:r>
        <w:t xml:space="preserve">(e.g., political reluctance, genuine technical barriers, and</w:t>
      </w:r>
      <w:r>
        <w:t xml:space="preserve"> </w:t>
      </w:r>
      <w:r>
        <w:rPr>
          <w:b/>
          <w:bCs/>
        </w:rPr>
        <w:t xml:space="preserve">Informal Process Incentives</w:t>
      </w:r>
      <w:r>
        <w:t xml:space="preserve"> </w:t>
      </w:r>
      <w:r>
        <w:t xml:space="preserve">like slowing file routing for power leverage). To ensure</w:t>
      </w:r>
      <w:r>
        <w:t xml:space="preserve"> </w:t>
      </w:r>
      <w:r>
        <w:t xml:space="preserve">coding reliability,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will be calculated on a 10% randomly</w:t>
      </w:r>
      <w:r>
        <w:t xml:space="preserve"> </w:t>
      </w:r>
      <w:r>
        <w:t xml:space="preserve">selected sub-sample reviewed independently by a second coder; a target</w:t>
      </w:r>
      <w:r>
        <w:t xml:space="preserve"> </w:t>
      </w:r>
      <m:oMath>
        <m:r>
          <m:t>κ</m:t>
        </m:r>
        <m:r>
          <m:rPr>
            <m:sty m:val="p"/>
          </m:rPr>
          <m:t>≥</m:t>
        </m:r>
        <m:r>
          <m:t>0.70</m:t>
        </m:r>
      </m:oMath>
      <w:r>
        <w:t xml:space="preserve"> </w:t>
      </w:r>
      <w:r>
        <w:t xml:space="preserve">is required before the full dataset is finalised.</w:t>
      </w:r>
    </w:p>
    <w:p>
      <w:pPr>
        <w:pStyle w:val="BodyText"/>
      </w:pPr>
      <w:r>
        <w:rPr>
          <w:b/>
          <w:bCs/>
        </w:rPr>
        <w:t xml:space="preserve">Data Triangulation and Synthesis.</w:t>
      </w:r>
      <w:r>
        <w:t xml:space="preserve"> </w:t>
      </w:r>
      <w:r>
        <w:t xml:space="preserve">Numerical usage metrics effectively pressure-test qualitative claims. If qualitative</w:t>
      </w:r>
      <w:r>
        <w:t xml:space="preserve"> </w:t>
      </w:r>
      <w:r>
        <w:t xml:space="preserve">coding indicates high Facilitating Conditions (FC) but nodal statistics reveal zero</w:t>
      </w:r>
      <w:r>
        <w:t xml:space="preserve"> </w:t>
      </w:r>
      <w:r>
        <w:t xml:space="preserve">logins at a specific block, this discrepancy isolates hidden informal blockers.</w:t>
      </w:r>
    </w:p>
    <w:p>
      <w:pPr>
        <w:pStyle w:val="BodyText"/>
      </w:pPr>
      <w:r>
        <w:t xml:space="preserve">To prevent conflating vastly different technological ecosystems, findings are bifurcated into</w:t>
      </w:r>
      <w:r>
        <w:t xml:space="preserve"> </w:t>
      </w:r>
      <w:r>
        <w:rPr>
          <w:b/>
          <w:bCs/>
        </w:rPr>
        <w:t xml:space="preserve">Two UTAUT Gap Analysis Matrices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Matrix A (Secretariat-Level Workflow Tools; e.g., e-Office, HRMIS)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Perform. (PE)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(EE)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(SI)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Cond. (FC)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 Edu.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Matrix B (Territorial/Field Execution MIS; e.g., Education P3, CHETNA)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Perform. (PE)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(EE)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(SI)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Cond. (FC)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 Edu.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Each cell receives a severity trace (High/Med/Low) derived from ATLAS.ti codes.</w:t>
      </w:r>
    </w:p>
    <w:bookmarkEnd w:id="19"/>
    <w:bookmarkEnd w:id="20"/>
    <w:bookmarkStart w:id="21" w:name="work-plan"/>
    <w:p>
      <w:pPr>
        <w:pStyle w:val="Heading1"/>
      </w:pPr>
      <w:r>
        <w:t xml:space="preserve">Work Plan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/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Literature review; finalise theoretical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proposal; supervisor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 and pilot-test interview guides and observation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instruments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4–5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 Education Department: interviews &amp; observations (Bhopal + 1 district)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Stratified Case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6–7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Department: interviews &amp;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Stratified Case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Forest Department: interviews &amp;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Stratified Case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coding, UTAUT classification, gap matrix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gap analysis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 final report; prepare AIGGPA recommendations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+ presentation</w:t>
            </w:r>
          </w:p>
        </w:tc>
      </w:tr>
    </w:tbl>
    <w:bookmarkEnd w:id="21"/>
    <w:bookmarkStart w:id="22" w:name="budget-estimate"/>
    <w:p>
      <w:pPr>
        <w:pStyle w:val="Heading1"/>
      </w:pPr>
      <w:r>
        <w:t xml:space="preserve">Budget Estimate</w:t>
      </w:r>
    </w:p>
    <w:p>
      <w:pPr>
        <w:pStyle w:val="FirstParagraph"/>
      </w:pPr>
      <w:r>
        <w:t xml:space="preserve">This section provides a realistic financial estimate for the qualitative field research study at AIGGPA, covering commercial software licensing, rigorous 10-week transit, and field incidentals for a 54-respondent sample.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Description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Basis of Calculation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 (INR)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&amp; Intercity Transit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Bhopal city auto-rickshaws &amp; train fare for 1 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Licensing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ATLAS.ti Academic / Student License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Surveys Incidentals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Refreshments and access during shadow sessions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Consumables &amp; Printing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Interview guides, stationery, and formal report binding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Research Budget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Sources: AIGGPA Institutional Guidelines (2024); Current Madhya Pradesh Transit Rates.</w:t>
      </w:r>
    </w:p>
    <w:p>
      <w:pPr>
        <w:pStyle w:val="BodyText"/>
      </w:pPr>
      <w:r>
        <w:rPr>
          <w:i/>
          <w:iCs/>
        </w:rPr>
        <w:t xml:space="preserve">*Note: Budget represents worst-case out-of-pocket scaling. If AIGGPA holds an existing institutional site-license for NVivo/ATLAS.ti software on network terminals, the 8,000 INR software allocation drops to zero, yielding a revised net ceiling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22,000 INR</w:t>
      </w:r>
      <w:r>
        <w:rPr>
          <w:i/>
          <w:iCs/>
        </w:rPr>
        <w:t xml:space="preserve">.</w:t>
      </w:r>
    </w:p>
    <w:bookmarkEnd w:id="22"/>
    <w:bookmarkStart w:id="25" w:name="limitations-and-ethical-considerations"/>
    <w:p>
      <w:pPr>
        <w:pStyle w:val="Heading1"/>
      </w:pPr>
      <w:r>
        <w:t xml:space="preserve">Limitations and Ethical Considerations</w:t>
      </w:r>
    </w:p>
    <w:bookmarkStart w:id="23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Access constraints:</w:t>
      </w:r>
      <w:r>
        <w:t xml:space="preserve"> </w:t>
      </w:r>
      <w:r>
        <w:t xml:space="preserve">Senior officers (Class I) may have limited</w:t>
      </w:r>
      <w:r>
        <w:t xml:space="preserve"> </w:t>
      </w:r>
      <w:r>
        <w:t xml:space="preserve">availability. The study will mitigate this by scheduling interviews flexibly</w:t>
      </w:r>
      <w:r>
        <w:t xml:space="preserve"> </w:t>
      </w:r>
      <w:r>
        <w:t xml:space="preserve">and using the observation checklist as a fallback where interviews are declined.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Self-reporting bias:</w:t>
      </w:r>
      <w:r>
        <w:t xml:space="preserve"> </w:t>
      </w:r>
      <w:r>
        <w:t xml:space="preserve">Officials may over-report use of official</w:t>
      </w:r>
      <w:r>
        <w:t xml:space="preserve"> </w:t>
      </w:r>
      <w:r>
        <w:t xml:space="preserve">platforms to appear compliant. The observation checklist provides an independent</w:t>
      </w:r>
      <w:r>
        <w:t xml:space="preserve"> </w:t>
      </w:r>
      <w:r>
        <w:t xml:space="preserve">check on self-reported data.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Hawthorne effect &amp; OpSec:</w:t>
      </w:r>
      <w:r>
        <w:t xml:space="preserve"> </w:t>
      </w:r>
      <w:r>
        <w:t xml:space="preserve">Observations may alter behaviour or risk exposure</w:t>
      </w:r>
      <w:r>
        <w:t xml:space="preserve"> </w:t>
      </w:r>
      <w:r>
        <w:t xml:space="preserve">to confidential memos. Rather than intrusive shadowing, we formalise an</w:t>
      </w:r>
      <w:r>
        <w:t xml:space="preserve"> </w:t>
      </w:r>
      <w:r>
        <w:rPr>
          <w:b/>
          <w:bCs/>
        </w:rPr>
        <w:t xml:space="preserve">IT Ecosystem Audit</w:t>
      </w:r>
      <w:r>
        <w:t xml:space="preserve">.</w:t>
      </w:r>
      <w:r>
        <w:t xml:space="preserve"> </w:t>
      </w:r>
      <w:r>
        <w:t xml:space="preserve">Observations are strictly limited to the physical IT ecosystem (PC availability, LAN checks,</w:t>
      </w:r>
      <w:r>
        <w:t xml:space="preserve"> </w:t>
      </w:r>
      <w:r>
        <w:t xml:space="preserve">printer connections) and explicitly prevent any viewing of active screen content or secure files.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Geographic scope:</w:t>
      </w:r>
      <w:r>
        <w:t xml:space="preserve"> </w:t>
      </w:r>
      <w:r>
        <w:t xml:space="preserve">Fieldwork is primarily limited to Bhopal state</w:t>
      </w:r>
      <w:r>
        <w:t xml:space="preserve"> </w:t>
      </w:r>
      <w:r>
        <w:t xml:space="preserve">offices and one accessible district. Findings may not fully represent rural</w:t>
      </w:r>
      <w:r>
        <w:t xml:space="preserve"> </w:t>
      </w:r>
      <w:r>
        <w:t xml:space="preserve">district realities.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Generalisability:</w:t>
      </w:r>
      <w:r>
        <w:t xml:space="preserve"> </w:t>
      </w:r>
      <w:r>
        <w:t xml:space="preserve">Results are contextualised to Madhya Pradesh and</w:t>
      </w:r>
      <w:r>
        <w:t xml:space="preserve"> </w:t>
      </w:r>
      <w:r>
        <w:t xml:space="preserve">cannot be directly extrapolated to other states without replication.</w:t>
      </w:r>
    </w:p>
    <w:bookmarkEnd w:id="23"/>
    <w:bookmarkStart w:id="24" w:name="ethical-considerations"/>
    <w:p>
      <w:pPr>
        <w:pStyle w:val="Heading2"/>
      </w:pPr>
      <w:r>
        <w:t xml:space="preserve">Ethical Considerations</w:t>
      </w:r>
    </w:p>
    <w:p>
      <w:pPr>
        <w:numPr>
          <w:ilvl w:val="0"/>
          <w:numId w:val="1008"/>
        </w:numPr>
      </w:pPr>
      <w:r>
        <w:t xml:space="preserve">All participation is</w:t>
      </w:r>
      <w:r>
        <w:t xml:space="preserve"> </w:t>
      </w:r>
      <w:r>
        <w:rPr>
          <w:b/>
          <w:bCs/>
        </w:rPr>
        <w:t xml:space="preserve">voluntary</w:t>
      </w:r>
      <w:r>
        <w:t xml:space="preserve">. Respondents will be briefed on the</w:t>
      </w:r>
      <w:r>
        <w:t xml:space="preserve"> </w:t>
      </w:r>
      <w:r>
        <w:t xml:space="preserve">purpose of the study before the interview begins.</w:t>
      </w:r>
    </w:p>
    <w:p>
      <w:pPr>
        <w:numPr>
          <w:ilvl w:val="0"/>
          <w:numId w:val="1008"/>
        </w:numPr>
      </w:pPr>
      <w:r>
        <w:t xml:space="preserve">No personally identifiable information will appear in the final report.</w:t>
      </w:r>
      <w:r>
        <w:t xml:space="preserve"> </w:t>
      </w:r>
      <w:r>
        <w:t xml:space="preserve">Designations and departments will be used in place of names.</w:t>
      </w:r>
    </w:p>
    <w:p>
      <w:pPr>
        <w:numPr>
          <w:ilvl w:val="0"/>
          <w:numId w:val="1008"/>
        </w:numPr>
      </w:pPr>
      <w:r>
        <w:t xml:space="preserve">Interview notes will be stored securely on a password-protected device and</w:t>
      </w:r>
      <w:r>
        <w:t xml:space="preserve"> </w:t>
      </w:r>
      <w:r>
        <w:t xml:space="preserve">will not be shared outside the AIGGPA internship supervision structure.</w:t>
      </w:r>
    </w:p>
    <w:p>
      <w:pPr>
        <w:numPr>
          <w:ilvl w:val="0"/>
          <w:numId w:val="1008"/>
        </w:numPr>
      </w:pPr>
      <w:r>
        <w:t xml:space="preserve">No audio recordings will be made without explicit informed consent.</w:t>
      </w:r>
    </w:p>
    <w:bookmarkEnd w:id="24"/>
    <w:bookmarkEnd w:id="25"/>
    <w:bookmarkStart w:id="26" w:name="expected-output"/>
    <w:p>
      <w:pPr>
        <w:pStyle w:val="Heading1"/>
      </w:pPr>
      <w:r>
        <w:t xml:space="preserve">Expected Output</w:t>
      </w:r>
    </w:p>
    <w:p>
      <w:pPr>
        <w:pStyle w:val="FirstParagraph"/>
      </w:pPr>
      <w:r>
        <w:t xml:space="preserve">3</w:t>
      </w:r>
    </w:p>
    <w:p>
      <w:pPr>
        <w:pStyle w:val="BodyText"/>
      </w:pPr>
      <w:r>
        <w:rPr>
          <w:b/>
          <w:bCs/>
        </w:rPr>
        <w:t xml:space="preserve">01</w:t>
      </w:r>
      <w:r>
        <w:br/>
      </w:r>
      <w:r>
        <w:rPr>
          <w:b/>
          <w:bCs/>
        </w:rPr>
        <w:t xml:space="preserve">IT Utilisation Map</w:t>
      </w:r>
      <w:r>
        <w:br/>
      </w:r>
      <w:r>
        <w:t xml:space="preserve">Role-wise and level-wise map of tools used vs. tools available, per department</w:t>
      </w:r>
    </w:p>
    <w:p>
      <w:pPr>
        <w:pStyle w:val="BodyText"/>
      </w:pPr>
      <w:r>
        <w:rPr>
          <w:b/>
          <w:bCs/>
        </w:rPr>
        <w:t xml:space="preserve">02</w:t>
      </w:r>
      <w:r>
        <w:br/>
      </w:r>
      <w:r>
        <w:rPr>
          <w:b/>
          <w:bCs/>
        </w:rPr>
        <w:t xml:space="preserve">Bifurcated UTAUT Matrices</w:t>
      </w:r>
      <w:r>
        <w:br/>
      </w:r>
      <w:r>
        <w:t xml:space="preserve">Separating Policy toolsets from Field execution portals</w:t>
      </w:r>
    </w:p>
    <w:p>
      <w:pPr>
        <w:pStyle w:val="BodyText"/>
      </w:pPr>
      <w:r>
        <w:rPr>
          <w:b/>
          <w:bCs/>
        </w:rPr>
        <w:t xml:space="preserve">03</w:t>
      </w:r>
      <w:r>
        <w:br/>
      </w:r>
      <w:r>
        <w:rPr>
          <w:b/>
          <w:bCs/>
        </w:rPr>
        <w:t xml:space="preserve">AIGGPA Recommendations</w:t>
      </w:r>
      <w:r>
        <w:br/>
      </w:r>
      <w:r>
        <w:t xml:space="preserve">Targeted capacity-building interventions prioritised by gap severity</w:t>
      </w:r>
    </w:p>
    <w:p>
      <w:pPr>
        <w:pStyle w:val="BodyText"/>
      </w:pPr>
      <w:r>
        <w:rPr>
          <w:b/>
          <w:bCs/>
        </w:rPr>
        <w:t xml:space="preserve">Bifurcated Impact Pathway:</w:t>
      </w:r>
      <w:r>
        <w:t xml:space="preserve"> </w:t>
      </w:r>
      <w:r>
        <w:t xml:space="preserve">The gap matrix will explicitly bifurcate outputs to avoid treating technology adoption as purely a training problem: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Training Interventions (PE &amp; EE Gaps):</w:t>
      </w:r>
      <w:r>
        <w:t xml:space="preserve"> </w:t>
      </w:r>
      <w:r>
        <w:t xml:space="preserve">Forwarded to the iGOT capacity building division to design specific module upgrades.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Policy/Infrastructure Briefs (SI &amp; FC Gaps):</w:t>
      </w:r>
      <w:r>
        <w:t xml:space="preserve"> </w:t>
      </w:r>
      <w:r>
        <w:t xml:space="preserve">Forwarded to Department Secretaries as actionable memos (e.g., funding hardware repairs, or officially banning paper submittals) to resolve structural blockers that cannot be trained away.</w:t>
      </w:r>
    </w:p>
    <w:bookmarkEnd w:id="26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1.27cm</w:t>
      </w:r>
      <w:r>
        <w:t xml:space="preserve">1</w:t>
      </w:r>
    </w:p>
    <w:p>
      <w:pPr>
        <w:pStyle w:val="BodyText"/>
      </w:pPr>
      <w:r>
        <w:t xml:space="preserve">Alrawabdeh, W. (2014). Examining factors affecting digital platform adoption in Jordan.</w:t>
      </w:r>
      <w:r>
        <w:t xml:space="preserve"> </w:t>
      </w:r>
      <w:r>
        <w:rPr>
          <w:i/>
          <w:iCs/>
        </w:rPr>
        <w:t xml:space="preserve">International Journal of Business and Social Science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(8), 232–241.</w:t>
      </w:r>
    </w:p>
    <w:p>
      <w:pPr>
        <w:pStyle w:val="BodyText"/>
      </w:pPr>
      <w:r>
        <w:t xml:space="preserve">Atal Bihari Vajpayee Institute of Good Governance and Policy Analysis (AIGGPA). (2024).</w:t>
      </w:r>
      <w:r>
        <w:t xml:space="preserve"> </w:t>
      </w:r>
      <w:r>
        <w:rPr>
          <w:i/>
          <w:iCs/>
        </w:rPr>
        <w:t xml:space="preserve">Institutional Research Guidelines</w:t>
      </w:r>
      <w:r>
        <w:t xml:space="preserve">. Government of Madhya Pradesh.</w:t>
      </w:r>
    </w:p>
    <w:p>
      <w:pPr>
        <w:pStyle w:val="BodyText"/>
      </w:pPr>
      <w:r>
        <w:t xml:space="preserve">Bhatnagar, S. (2004).</w:t>
      </w:r>
      <w:r>
        <w:t xml:space="preserve"> </w:t>
      </w:r>
      <w:r>
        <w:rPr>
          <w:i/>
          <w:iCs/>
        </w:rPr>
        <w:t xml:space="preserve">IT platforms: From vision to implementation: A</w:t>
      </w:r>
      <w:r>
        <w:rPr>
          <w:i/>
          <w:iCs/>
        </w:rPr>
        <w:t xml:space="preserve"> </w:t>
      </w:r>
      <w:r>
        <w:rPr>
          <w:i/>
          <w:iCs/>
        </w:rPr>
        <w:t xml:space="preserve">practical guide with case studies</w:t>
      </w:r>
      <w:r>
        <w:t xml:space="preserve">. Sage Publications.</w:t>
      </w:r>
    </w:p>
    <w:p>
      <w:pPr>
        <w:pStyle w:val="BodyText"/>
      </w:pPr>
      <w:r>
        <w:t xml:space="preserve">Braun, V., &amp; Clarke, V. (2006). Using thematic analysis in psychology.</w:t>
      </w:r>
      <w:r>
        <w:t xml:space="preserve"> </w:t>
      </w:r>
      <w:r>
        <w:rPr>
          <w:i/>
          <w:iCs/>
        </w:rPr>
        <w:t xml:space="preserve">Qualitative Research in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(2), 77–101.</w:t>
      </w:r>
    </w:p>
    <w:p>
      <w:pPr>
        <w:pStyle w:val="BodyText"/>
      </w:pPr>
      <w:r>
        <w:t xml:space="preserve">Cordella, A., &amp; Bonina, C. M. (2012). A public value perspective for ICT enabled public sector reforms: A theoretical reflection.</w:t>
      </w:r>
      <w:r>
        <w:t xml:space="preserve"> </w:t>
      </w:r>
      <w:r>
        <w:rPr>
          <w:i/>
          <w:iCs/>
        </w:rPr>
        <w:t xml:space="preserve">Government Information Quarterly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(4), 512–520.</w:t>
      </w:r>
    </w:p>
    <w:p>
      <w:pPr>
        <w:pStyle w:val="BodyText"/>
      </w:pPr>
      <w:r>
        <w:t xml:space="preserve">Government of India, Department of Personnel &amp; Training. (2020).</w:t>
      </w:r>
      <w:r>
        <w:t xml:space="preserve"> </w:t>
      </w:r>
      <w:r>
        <w:rPr>
          <w:i/>
          <w:iCs/>
        </w:rPr>
        <w:t xml:space="preserve">National programme for civil services capacity building (Mission Karmayogi)</w:t>
      </w:r>
      <w:r>
        <w:t xml:space="preserve">.</w:t>
      </w:r>
      <w:r>
        <w:t xml:space="preserve"> </w:t>
      </w:r>
      <w:r>
        <w:t xml:space="preserve">Ministry of Personnel, Public Grievances and Pensions.</w:t>
      </w:r>
    </w:p>
    <w:p>
      <w:pPr>
        <w:pStyle w:val="BodyText"/>
      </w:pPr>
      <w:r>
        <w:t xml:space="preserve">Government of India, Ministry of Finance (2026).</w:t>
      </w:r>
      <w:r>
        <w:t xml:space="preserve"> </w:t>
      </w:r>
      <w:r>
        <w:rPr>
          <w:i/>
          <w:iCs/>
        </w:rPr>
        <w:t xml:space="preserve">Union Budget 2026-27: Expenditure Profile</w:t>
      </w:r>
      <w:r>
        <w:t xml:space="preserve">.</w:t>
      </w:r>
      <w:r>
        <w:t xml:space="preserve"> </w:t>
      </w:r>
      <w:r>
        <w:t xml:space="preserve">Economic Division, Department of Economic Affairs.</w:t>
      </w:r>
    </w:p>
    <w:p>
      <w:pPr>
        <w:pStyle w:val="BodyText"/>
      </w:pPr>
      <w:r>
        <w:t xml:space="preserve">Government of Madhya Pradesh, School Education Department. (2025).</w:t>
      </w:r>
      <w:r>
        <w:t xml:space="preserve"> </w:t>
      </w:r>
      <w:r>
        <w:rPr>
          <w:i/>
          <w:iCs/>
        </w:rPr>
        <w:t xml:space="preserve">Education Portal 3.0</w:t>
      </w:r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https://sederp.educationportal3.in</w:t>
        </w:r>
      </w:hyperlink>
    </w:p>
    <w:p>
      <w:pPr>
        <w:pStyle w:val="BodyText"/>
      </w:pPr>
      <w:r>
        <w:t xml:space="preserve">Government of Madhya Pradesh, Forest Department. (2024).</w:t>
      </w:r>
      <w:r>
        <w:t xml:space="preserve"> </w:t>
      </w:r>
      <w:r>
        <w:rPr>
          <w:i/>
          <w:iCs/>
        </w:rPr>
        <w:t xml:space="preserve">AI-based real-time forest alert system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https://forest.mponline.gov.in/</w:t>
        </w:r>
      </w:hyperlink>
    </w:p>
    <w:p>
      <w:pPr>
        <w:pStyle w:val="BodyText"/>
      </w:pPr>
      <w:r>
        <w:t xml:space="preserve">Heeks, R. (2003).</w:t>
      </w:r>
      <w:r>
        <w:t xml:space="preserve"> </w:t>
      </w:r>
      <w:r>
        <w:rPr>
          <w:i/>
          <w:iCs/>
        </w:rPr>
        <w:t xml:space="preserve">Most IT-for-development projects fail: How can</w:t>
      </w:r>
      <w:r>
        <w:rPr>
          <w:i/>
          <w:iCs/>
        </w:rPr>
        <w:t xml:space="preserve"> </w:t>
      </w:r>
      <w:r>
        <w:rPr>
          <w:i/>
          <w:iCs/>
        </w:rPr>
        <w:t xml:space="preserve">risks be reduced?</w:t>
      </w:r>
      <w:r>
        <w:t xml:space="preserve"> </w:t>
      </w:r>
      <w:r>
        <w:t xml:space="preserve">(iGovernment Working Paper No. 14).</w:t>
      </w:r>
      <w:r>
        <w:t xml:space="preserve"> </w:t>
      </w:r>
      <w:r>
        <w:t xml:space="preserve">Institute for Development Policy and Management, University of Manchester.</w:t>
      </w:r>
    </w:p>
    <w:p>
      <w:pPr>
        <w:pStyle w:val="BodyText"/>
      </w:pPr>
      <w:r>
        <w:t xml:space="preserve">Ministry of Electronics &amp; Information Technology, Government of India. (2015).</w:t>
      </w:r>
      <w:r>
        <w:t xml:space="preserve"> </w:t>
      </w:r>
      <w:r>
        <w:rPr>
          <w:i/>
          <w:iCs/>
        </w:rPr>
        <w:t xml:space="preserve">Digital India: Programme to transform India into a digitally empowered society</w:t>
      </w:r>
      <w:r>
        <w:rPr>
          <w:i/>
          <w:iCs/>
        </w:rPr>
        <w:t xml:space="preserve"> </w:t>
      </w:r>
      <w:r>
        <w:rPr>
          <w:i/>
          <w:iCs/>
        </w:rPr>
        <w:t xml:space="preserve">and knowledge economy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https://digitalindia.gov.in/</w:t>
        </w:r>
      </w:hyperlink>
    </w:p>
    <w:p>
      <w:pPr>
        <w:pStyle w:val="BodyText"/>
      </w:pPr>
      <w:r>
        <w:t xml:space="preserve">National Health Mission, Madhya Pradesh. (2024).</w:t>
      </w:r>
      <w:r>
        <w:t xml:space="preserve"> </w:t>
      </w:r>
      <w:r>
        <w:rPr>
          <w:i/>
          <w:iCs/>
        </w:rPr>
        <w:t xml:space="preserve">NHM CHETNA portal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https://ntep.in/</w:t>
        </w:r>
      </w:hyperlink>
    </w:p>
    <w:p>
      <w:pPr>
        <w:pStyle w:val="BodyText"/>
      </w:pPr>
      <w:r>
        <w:t xml:space="preserve">United States Government Accountability Office (GAO). (2019).</w:t>
      </w:r>
      <w:r>
        <w:t xml:space="preserve"> </w:t>
      </w:r>
      <w:r>
        <w:rPr>
          <w:i/>
          <w:iCs/>
        </w:rPr>
        <w:t xml:space="preserve">Information Technology: Agencies Need to Develop Modernization Plans for Critical Legacy Systems</w:t>
      </w:r>
      <w:r>
        <w:t xml:space="preserve"> </w:t>
      </w:r>
      <w:r>
        <w:t xml:space="preserve">(GAO-19-471).</w:t>
      </w:r>
    </w:p>
    <w:p>
      <w:pPr>
        <w:pStyle w:val="BodyText"/>
      </w:pPr>
      <w:r>
        <w:t xml:space="preserve">Venkatesh, V., Morris, M. G., Davis, G. B., &amp; Davis, F. D. (2003). User acceptance of information technology: Toward a unified view.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425–478.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Government</w:t>
      </w:r>
      <w:r>
        <w:t xml:space="preserve"> </w:t>
      </w:r>
      <w:r>
        <w:t xml:space="preserve">of Madhya Pradesh, School Education Department (2025).</w:t>
      </w:r>
      <w:r>
        <w:t xml:space="preserve"> </w:t>
      </w:r>
      <w:r>
        <w:rPr>
          <w:i/>
          <w:iCs/>
        </w:rPr>
        <w:t xml:space="preserve">Education Portal</w:t>
      </w:r>
      <w:r>
        <w:rPr>
          <w:i/>
          <w:iCs/>
        </w:rPr>
        <w:t xml:space="preserve"> </w:t>
      </w:r>
      <w:r>
        <w:rPr>
          <w:i/>
          <w:iCs/>
        </w:rPr>
        <w:t xml:space="preserve">3.0</w:t>
      </w:r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https://sederp.educationportal3.in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igitalindia.gov.in/" TargetMode="External" /><Relationship Type="http://schemas.openxmlformats.org/officeDocument/2006/relationships/hyperlink" Id="rId27" Target="https://forest.mponline.gov.in/" TargetMode="External" /><Relationship Type="http://schemas.openxmlformats.org/officeDocument/2006/relationships/hyperlink" Id="rId29" Target="https://ntep.in/" TargetMode="External" /><Relationship Type="http://schemas.openxmlformats.org/officeDocument/2006/relationships/hyperlink" Id="rId10" Target="https://sederp.educationportal3.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igitalindia.gov.in/" TargetMode="External" /><Relationship Type="http://schemas.openxmlformats.org/officeDocument/2006/relationships/hyperlink" Id="rId27" Target="https://forest.mponline.gov.in/" TargetMode="External" /><Relationship Type="http://schemas.openxmlformats.org/officeDocument/2006/relationships/hyperlink" Id="rId29" Target="https://ntep.in/" TargetMode="External" /><Relationship Type="http://schemas.openxmlformats.org/officeDocument/2006/relationships/hyperlink" Id="rId10" Target="https://sederp.educationportal3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2026-04-17T07:10:37Z</dcterms:created>
  <dcterms:modified xsi:type="dcterms:W3CDTF">2026-04-17T07:10:37Z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