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Pinecrest Federal Savings</w:t>
      </w:r>
    </w:p>
    <w:p>
      <w:r>
        <w:t>RFP reference PFS-2025-CDP · Submitted 2025-06-09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Identity and access</w:t>
      </w:r>
    </w:p>
    <w:p>
      <w:r>
        <w:t>Q1. Which single sign-on protocols and identity providers are supported?</w:t>
      </w:r>
    </w:p>
    <w:p>
      <w:r>
        <w:t>Response: Larkspur supports single sign-on via SAML 2.0 and OpenID Connect. SSO is tested with Okta, Microsoft Entra ID and Google Workspace, and administrators can require SSO for every user in the organisation.</w:t>
      </w:r>
    </w:p>
    <w:p>
      <w:r>
        <w:t>Q2. Describe how user accounts are provisioned and de-provisioned automatically.</w:t>
      </w:r>
    </w:p>
    <w:p>
      <w:r>
        <w:t>Response: Larkspur supports automatic provisioning and de-provisioning through SCIM 2.0 with Okta and Microsoft Entra ID. Deactivating a user in the identity provider removes their Larkspur access within minutes, and group membership in the identity provider maps to Larkspur roles.</w:t>
      </w:r>
    </w:p>
    <w:p>
      <w:r>
        <w:t>Q3. Is multi-factor authentication enforced for administrators?</w:t>
      </w:r>
    </w:p>
    <w:p>
      <w:r>
        <w:t>Response: Yes. Multi-factor authentication is mandatory for every administrative account. Administrators sign in through SSO with MFA enforced by the identity provider, or with Larkspur's built-in TOTP authenticator. Admin sessions expire after 8 hours of inactivity.</w:t>
      </w:r>
    </w:p>
    <w:p>
      <w:pPr>
        <w:pStyle w:val="Heading1"/>
      </w:pPr>
      <w:r>
        <w:t>Service levels</w:t>
      </w:r>
    </w:p>
    <w:p>
      <w:r>
        <w:t>Q4. What uptime do you commit to, and what remedies apply if you miss it?</w:t>
      </w:r>
    </w:p>
    <w:p>
      <w:r>
        <w:t>Response: Our SLA commits to 99.9% monthly uptime for the production platform. If we miss it, customers receive service credits of 10% of the monthly fee below 99.9% and 25% below 99.0%. Uptime is published on our status page at status.larkspurdata.example.</w:t>
      </w:r>
    </w:p>
    <w:p>
      <w:r>
        <w:t>Q5. Describe your support model, including hours and response times.</w:t>
      </w:r>
    </w:p>
    <w:p>
      <w:r>
        <w:t>Response: Severity-1 incidents are handled 24/7 with an initial response within 30 minutes. Other issues are handled Monday to Friday, 8am to 6pm in the customer's region, with a first response within 4 business hours. Customers reach us through the support portal or by email, and every account has a named customer success manager.</w:t>
      </w:r>
    </w:p>
    <w:p>
      <w:pPr>
        <w:pStyle w:val="Heading1"/>
      </w:pPr>
      <w:r>
        <w:t>Accessibility</w:t>
      </w:r>
    </w:p>
    <w:p>
      <w:r>
        <w:t>Q6. Does the user interface meet accessibility standards?</w:t>
      </w:r>
    </w:p>
    <w:p>
      <w:r>
        <w:t>Response: The Larkspur web application conforms to WCAG 2.1 level AA. An external accessibility firm audits it every year, and our VPAT (Voluntary Product Accessibility Template) is available on request.</w:t>
      </w:r>
    </w:p>
    <w:p>
      <w:pPr>
        <w:pStyle w:val="Heading1"/>
      </w:pPr>
      <w:r>
        <w:t>Data</w:t>
      </w:r>
    </w:p>
    <w:p>
      <w:r>
        <w:t>Q7. How do you migrate our historical data onto the platform?</w:t>
      </w:r>
    </w:p>
    <w:p>
      <w:r>
        <w:t>Response: Historical data is loaded in bulk through our Amazon S3, Snowflake or BigQuery connectors. We reconcile row counts and checksums against the source before sign-off, and most customers load two to three years of history before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