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Proposal to Meridian Health Partners (fictional)</w:t>
      </w:r>
    </w:p>
    <w:p>
      <w:pPr>
        <w:pStyle w:val="Heading1"/>
      </w:pPr>
      <w:r>
        <w:t>Security</w:t>
      </w:r>
    </w:p>
    <w:p>
      <w:r>
        <w:t>S-4 Who performs penetration testing of your service, and how often?</w:t>
      </w:r>
    </w:p>
    <w:p>
      <w:r>
        <w:t>Response: Our platform is penetration tested at least annually by Ironbridge Security, an independent CREST-accredited firm. We share the executive summary of the latest report under NDA.</w:t>
      </w:r>
    </w:p>
    <w:p>
      <w:r>
        <w:t>S-5 Is multi-factor authentication required for administrators?</w:t>
      </w:r>
    </w:p>
    <w:p>
      <w:r>
        <w:t>Response: Multi-factor authentication is enforced for all administrative accounts. Administrators sign in through SSO with MFA required by the identity provider, or with Larkspur's built-in TOTP MFA.</w:t>
      </w:r>
    </w:p>
    <w:p>
      <w:r>
        <w:t>S-8 How long are audit logs kept?</w:t>
      </w:r>
    </w:p>
    <w:p>
      <w:r>
        <w:t>Response: Audit logs of user and administrator activity are retained for 12 months and can be exported through our API.</w:t>
      </w:r>
    </w:p>
    <w:p>
      <w:pPr>
        <w:pStyle w:val="Heading1"/>
      </w:pPr>
      <w:r>
        <w:t>Data</w:t>
      </w:r>
    </w:p>
    <w:p>
      <w:r>
        <w:t>D-1 Can all patient-related data remain within the European Union?</w:t>
      </w:r>
    </w:p>
    <w:p>
      <w:r>
        <w:t>Response: Customer data can be hosted entirely within the EU in our AWS Frankfurt region (eu-central-1). Data, backups and logs remain in the EU.</w:t>
      </w:r>
    </w:p>
    <w:p>
      <w:r>
        <w:t>D-3 Explain your data handling at contract termination.</w:t>
      </w:r>
    </w:p>
    <w:p>
      <w:r>
        <w:t>Response: When the contract ends we delete all customer data within 30 days, after offering a full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